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line="660" w:lineRule="exact"/>
        <w:jc w:val="center"/>
        <w:outlineLvl w:val="0"/>
      </w:pPr>
      <w:r>
        <w:rPr>
          <w:rFonts w:ascii="Times New Roman" w:hAnsi="Times New Roman" w:eastAsia="方正小标宋简体" w:cs="方正小标宋简体"/>
          <w:sz w:val="44"/>
        </w:rPr>
        <w:t>2024年度政府工作报告</w:t>
      </w:r>
    </w:p>
    <w:p>
      <w:pPr>
        <w:pStyle w:val="Subtitle"/>
        <w:spacing w:line="660" w:lineRule="exact"/>
        <w:jc w:val="center"/>
      </w:pPr>
      <w:r>
        <w:rPr>
          <w:rFonts w:ascii="Times New Roman" w:hAnsi="Times New Roman" w:eastAsia="楷体_GB2312" w:cs="楷体_GB2312"/>
          <w:sz w:val="32"/>
        </w:rPr>
        <w:t>某某市人民政府</w:t>
      </w:r>
    </w:p>
    <w:p>
      <w:pPr>
        <w:pStyle w:val="Heading1"/>
        <w:ind w:left="0" w:right="0"/>
        <w:outlineLvl w:val="0"/>
      </w:pPr>
      <w:r>
        <w:rPr>
          <w:rFonts w:ascii="Times New Roman" w:hAnsi="Times New Roman" w:eastAsia="黑体" w:cs="黑体"/>
          <w:b/>
          <w:sz w:val="32"/>
        </w:rPr>
        <w:t>一、工作回顾</w:t>
      </w:r>
    </w:p>
    <w:p>
      <w:pPr>
        <w:spacing w:line="560" w:lineRule="exact"/>
        <w:ind w:left="0" w:right="0"/>
      </w:pPr>
      <w:r>
        <w:rPr>
          <w:rFonts w:ascii="Times New Roman" w:hAnsi="Times New Roman" w:eastAsia="仿宋_GB2312" w:cs="仿宋_GB2312"/>
          <w:sz w:val="32"/>
        </w:rPr>
        <w:t>过去一年，全市坚持以高质量发展为主题，统筹发展和安全，经济运行稳中向好。地区生产总值增长5.8%，一般公共预算收入增长6.2%，城镇新增就业8.6万人，居民消费价格涨幅控制在2%以内，全面完成年度主要目标任务。</w:t>
      </w:r>
    </w:p>
    <w:p>
      <w:pPr>
        <w:pStyle w:val="Heading2"/>
        <w:ind w:left="0" w:right="0"/>
        <w:outlineLvl w:val="1"/>
      </w:pPr>
      <w:r>
        <w:rPr>
          <w:rFonts w:ascii="Times New Roman" w:hAnsi="Times New Roman" w:eastAsia="楷体_GB2312" w:cs="楷体_GB2312"/>
          <w:b w:val="0"/>
          <w:sz w:val="32"/>
        </w:rPr>
        <w:t>（一）经济运行稳中有进</w:t>
      </w:r>
    </w:p>
    <w:p>
      <w:pPr>
        <w:spacing w:line="560" w:lineRule="exact"/>
        <w:ind w:left="0" w:right="0"/>
      </w:pPr>
      <w:r>
        <w:rPr>
          <w:rFonts w:ascii="Times New Roman" w:hAnsi="Times New Roman" w:eastAsia="仿宋_GB2312" w:cs="仿宋_GB2312"/>
          <w:sz w:val="32"/>
        </w:rPr>
        <w:t>坚持稳中求进，推动投资、消费、出口协同发力。全年固定资产投资增长7.1%，社会消费品零售总额增长5.5%，进出口总额增长4.3%。规模以上工业增加值增长6.4%，高技术制造业增加值占规上工业比重提高至32.6%。</w:t>
      </w:r>
    </w:p>
    <w:p>
      <w:pPr>
        <w:pStyle w:val="Heading2"/>
        <w:ind w:left="0" w:right="0"/>
        <w:outlineLvl w:val="1"/>
      </w:pPr>
      <w:r>
        <w:rPr>
          <w:rFonts w:ascii="Times New Roman" w:hAnsi="Times New Roman" w:eastAsia="楷体_GB2312" w:cs="楷体_GB2312"/>
          <w:b w:val="0"/>
          <w:sz w:val="32"/>
        </w:rPr>
        <w:t>（二）改革开放持续深化</w:t>
      </w:r>
    </w:p>
    <w:p>
      <w:pPr>
        <w:spacing w:line="560" w:lineRule="exact"/>
        <w:ind w:left="0" w:right="0"/>
      </w:pPr>
      <w:r>
        <w:rPr>
          <w:rFonts w:ascii="Times New Roman" w:hAnsi="Times New Roman" w:eastAsia="仿宋_GB2312" w:cs="仿宋_GB2312"/>
          <w:sz w:val="32"/>
        </w:rPr>
        <w:t>纵深推进重点领域改革，营商环境优化提升行动取得阶段性成效。新增市场主体12.4万户，实有市场主体总量突破180万户。实际使用外资增长8.9%，自贸试验区制度创新成果复制推广率达85%以上。</w:t>
      </w:r>
    </w:p>
    <w:p>
      <w:pPr>
        <w:pStyle w:val="Heading2"/>
        <w:ind w:left="0" w:right="0"/>
        <w:outlineLvl w:val="1"/>
      </w:pPr>
      <w:r>
        <w:rPr>
          <w:rFonts w:ascii="Times New Roman" w:hAnsi="Times New Roman" w:eastAsia="楷体_GB2312" w:cs="楷体_GB2312"/>
          <w:b w:val="0"/>
          <w:sz w:val="32"/>
        </w:rPr>
        <w:t>（三）民生保障扎实有力</w:t>
      </w:r>
    </w:p>
    <w:p>
      <w:pPr>
        <w:spacing w:line="560" w:lineRule="exact"/>
        <w:ind w:left="0" w:right="0"/>
      </w:pPr>
      <w:r>
        <w:rPr>
          <w:rFonts w:ascii="Times New Roman" w:hAnsi="Times New Roman" w:eastAsia="仿宋_GB2312" w:cs="仿宋_GB2312"/>
          <w:sz w:val="32"/>
        </w:rPr>
        <w:t>财政民生支出占比稳定在78%左右。新建改扩建中小学、幼儿园86所，新增学位9.2万个。基本养老、基本医疗保险参保率分别保持在95%和98%以上。改造老旧小区328个，惠及居民6.7万户。</w:t>
      </w:r>
    </w:p>
    <w:p>
      <w:pPr>
        <w:pStyle w:val="Heading1"/>
        <w:ind w:left="0" w:right="0"/>
        <w:outlineLvl w:val="0"/>
      </w:pPr>
      <w:r>
        <w:rPr>
          <w:rFonts w:ascii="Times New Roman" w:hAnsi="Times New Roman" w:eastAsia="黑体" w:cs="黑体"/>
          <w:b/>
          <w:sz w:val="32"/>
        </w:rPr>
        <w:t>二、主要成效</w:t>
      </w:r>
    </w:p>
    <w:p>
      <w:pPr>
        <w:spacing w:line="560" w:lineRule="exact"/>
        <w:ind w:left="0" w:right="0"/>
      </w:pPr>
      <w:r>
        <w:rPr>
          <w:rFonts w:ascii="Times New Roman" w:hAnsi="Times New Roman" w:eastAsia="仿宋_GB2312" w:cs="仿宋_GB2312"/>
          <w:sz w:val="32"/>
        </w:rPr>
        <w:t>一年来，我们着力转方式、调结构、增动能，高质量发展迈出坚实步伐。全社会研发经费投入强度达到3.1%，国家高新技术企业净增420家。常住人口城镇化率达到68.3%，粮食总产量稳定在126亿斤以上。</w:t>
      </w:r>
    </w:p>
    <w:p>
      <w:pPr>
        <w:jc w:val="center"/>
      </w:pPr>
      <w:r>
        <w:rPr>
          <w:rFonts w:ascii="Times New Roman" w:hAnsi="Times New Roman" w:eastAsia="黑体" w:cs="黑体"/>
          <w:sz w:val="28"/>
        </w:rPr>
        <w:t>表1 2024年主要经济指标完成情况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50"/>
        <w:gridCol w:w="2250"/>
        <w:gridCol w:w="2250"/>
        <w:gridCol w:w="2250"/>
      </w:tblGrid>
      <w:tr>
        <w:trPr>
          <w:trHeight w:val="397"/>
        </w:trPr>
        <w:tc>
          <w:tcPr>
            <w:tcW w:type="dxa" w:w="2160"/>
          </w:tcPr>
          <w:p>
            <w:pPr>
              <w:spacing w:line="440" w:lineRule="exact"/>
            </w:pPr>
            <w:r>
              <w:rPr>
                <w:rFonts w:ascii="Times New Roman" w:hAnsi="Times New Roman" w:eastAsia="仿宋_GB2312" w:cs="仿宋_GB2312"/>
                <w:b/>
                <w:sz w:val="24"/>
              </w:rPr>
              <w:t>指标名称</w:t>
            </w:r>
          </w:p>
        </w:tc>
        <w:tc>
          <w:tcPr>
            <w:tcW w:type="dxa" w:w="2160"/>
          </w:tcPr>
          <w:p>
            <w:pPr>
              <w:spacing w:line="440" w:lineRule="exact"/>
            </w:pPr>
            <w:r>
              <w:rPr>
                <w:rFonts w:ascii="Times New Roman" w:hAnsi="Times New Roman" w:eastAsia="仿宋_GB2312" w:cs="仿宋_GB2312"/>
                <w:b/>
                <w:sz w:val="24"/>
              </w:rPr>
              <w:t>年度目标</w:t>
            </w:r>
          </w:p>
        </w:tc>
        <w:tc>
          <w:tcPr>
            <w:tcW w:type="dxa" w:w="2160"/>
          </w:tcPr>
          <w:p>
            <w:pPr>
              <w:spacing w:line="440" w:lineRule="exact"/>
            </w:pPr>
            <w:r>
              <w:rPr>
                <w:rFonts w:ascii="Times New Roman" w:hAnsi="Times New Roman" w:eastAsia="仿宋_GB2312" w:cs="仿宋_GB2312"/>
                <w:b/>
                <w:sz w:val="24"/>
              </w:rPr>
              <w:t>实际完成</w:t>
            </w:r>
          </w:p>
        </w:tc>
        <w:tc>
          <w:tcPr>
            <w:tcW w:type="dxa" w:w="2160"/>
          </w:tcPr>
          <w:p>
            <w:pPr>
              <w:spacing w:line="440" w:lineRule="exact"/>
            </w:pPr>
            <w:r>
              <w:rPr>
                <w:rFonts w:ascii="Times New Roman" w:hAnsi="Times New Roman" w:eastAsia="仿宋_GB2312" w:cs="仿宋_GB2312"/>
                <w:b/>
                <w:sz w:val="24"/>
              </w:rPr>
              <w:t>完成率</w:t>
            </w:r>
          </w:p>
        </w:tc>
      </w:tr>
      <w:tr>
        <w:trPr>
          <w:trHeight w:val="397"/>
        </w:trPr>
        <w:tc>
          <w:tcPr>
            <w:tcW w:type="dxa" w:w="2160"/>
          </w:tcPr>
          <w:p>
            <w:pPr>
              <w:spacing w:line="440" w:lineRule="exact"/>
            </w:pPr>
            <w:r>
              <w:rPr>
                <w:rFonts w:ascii="Times New Roman" w:hAnsi="Times New Roman" w:eastAsia="仿宋_GB2312" w:cs="仿宋_GB2312"/>
                <w:b w:val="0"/>
                <w:sz w:val="24"/>
              </w:rPr>
              <w:t>地区生产总值增速</w:t>
            </w:r>
          </w:p>
        </w:tc>
        <w:tc>
          <w:tcPr>
            <w:tcW w:type="dxa" w:w="2160"/>
          </w:tcPr>
          <w:p>
            <w:pPr>
              <w:spacing w:line="440" w:lineRule="exact"/>
            </w:pPr>
            <w:r>
              <w:rPr>
                <w:rFonts w:ascii="Times New Roman" w:hAnsi="Times New Roman" w:eastAsia="仿宋_GB2312" w:cs="仿宋_GB2312"/>
                <w:b w:val="0"/>
                <w:sz w:val="24"/>
              </w:rPr>
              <w:t>5.5%</w:t>
            </w:r>
          </w:p>
        </w:tc>
        <w:tc>
          <w:tcPr>
            <w:tcW w:type="dxa" w:w="2160"/>
          </w:tcPr>
          <w:p>
            <w:pPr>
              <w:spacing w:line="440" w:lineRule="exact"/>
            </w:pPr>
            <w:r>
              <w:rPr>
                <w:rFonts w:ascii="Times New Roman" w:hAnsi="Times New Roman" w:eastAsia="仿宋_GB2312" w:cs="仿宋_GB2312"/>
                <w:b w:val="0"/>
                <w:sz w:val="24"/>
              </w:rPr>
              <w:t>5.8%</w:t>
            </w:r>
          </w:p>
        </w:tc>
        <w:tc>
          <w:tcPr>
            <w:tcW w:type="dxa" w:w="2160"/>
          </w:tcPr>
          <w:p>
            <w:pPr>
              <w:spacing w:line="440" w:lineRule="exact"/>
            </w:pPr>
            <w:r>
              <w:rPr>
                <w:rFonts w:ascii="Times New Roman" w:hAnsi="Times New Roman" w:eastAsia="仿宋_GB2312" w:cs="仿宋_GB2312"/>
                <w:b w:val="0"/>
                <w:sz w:val="24"/>
              </w:rPr>
              <w:t>105%</w:t>
            </w:r>
          </w:p>
        </w:tc>
      </w:tr>
      <w:tr>
        <w:trPr>
          <w:trHeight w:val="397"/>
        </w:trPr>
        <w:tc>
          <w:tcPr>
            <w:tcW w:type="dxa" w:w="2160"/>
          </w:tcPr>
          <w:p>
            <w:pPr>
              <w:spacing w:line="440" w:lineRule="exact"/>
            </w:pPr>
            <w:r>
              <w:rPr>
                <w:rFonts w:ascii="Times New Roman" w:hAnsi="Times New Roman" w:eastAsia="仿宋_GB2312" w:cs="仿宋_GB2312"/>
                <w:b w:val="0"/>
                <w:sz w:val="24"/>
              </w:rPr>
              <w:t>固定资产投资增速</w:t>
            </w:r>
          </w:p>
        </w:tc>
        <w:tc>
          <w:tcPr>
            <w:tcW w:type="dxa" w:w="2160"/>
          </w:tcPr>
          <w:p>
            <w:pPr>
              <w:spacing w:line="440" w:lineRule="exact"/>
            </w:pPr>
            <w:r>
              <w:rPr>
                <w:rFonts w:ascii="Times New Roman" w:hAnsi="Times New Roman" w:eastAsia="仿宋_GB2312" w:cs="仿宋_GB2312"/>
                <w:b w:val="0"/>
                <w:sz w:val="24"/>
              </w:rPr>
              <w:t>6.5%</w:t>
            </w:r>
          </w:p>
        </w:tc>
        <w:tc>
          <w:tcPr>
            <w:tcW w:type="dxa" w:w="2160"/>
          </w:tcPr>
          <w:p>
            <w:pPr>
              <w:spacing w:line="440" w:lineRule="exact"/>
            </w:pPr>
            <w:r>
              <w:rPr>
                <w:rFonts w:ascii="Times New Roman" w:hAnsi="Times New Roman" w:eastAsia="仿宋_GB2312" w:cs="仿宋_GB2312"/>
                <w:b w:val="0"/>
                <w:sz w:val="24"/>
              </w:rPr>
              <w:t>7.1%</w:t>
            </w:r>
          </w:p>
        </w:tc>
        <w:tc>
          <w:tcPr>
            <w:tcW w:type="dxa" w:w="2160"/>
          </w:tcPr>
          <w:p>
            <w:pPr>
              <w:spacing w:line="440" w:lineRule="exact"/>
            </w:pPr>
            <w:r>
              <w:rPr>
                <w:rFonts w:ascii="Times New Roman" w:hAnsi="Times New Roman" w:eastAsia="仿宋_GB2312" w:cs="仿宋_GB2312"/>
                <w:b w:val="0"/>
                <w:sz w:val="24"/>
              </w:rPr>
              <w:t>109%</w:t>
            </w:r>
          </w:p>
        </w:tc>
      </w:tr>
      <w:tr>
        <w:trPr>
          <w:trHeight w:val="397"/>
        </w:trPr>
        <w:tc>
          <w:tcPr>
            <w:tcW w:type="dxa" w:w="2160"/>
          </w:tcPr>
          <w:p>
            <w:pPr>
              <w:spacing w:line="440" w:lineRule="exact"/>
            </w:pPr>
            <w:r>
              <w:rPr>
                <w:rFonts w:ascii="Times New Roman" w:hAnsi="Times New Roman" w:eastAsia="仿宋_GB2312" w:cs="仿宋_GB2312"/>
                <w:b w:val="0"/>
                <w:sz w:val="24"/>
              </w:rPr>
              <w:t>城镇新增就业</w:t>
            </w:r>
          </w:p>
        </w:tc>
        <w:tc>
          <w:tcPr>
            <w:tcW w:type="dxa" w:w="2160"/>
          </w:tcPr>
          <w:p>
            <w:pPr>
              <w:spacing w:line="440" w:lineRule="exact"/>
            </w:pPr>
            <w:r>
              <w:rPr>
                <w:rFonts w:ascii="Times New Roman" w:hAnsi="Times New Roman" w:eastAsia="仿宋_GB2312" w:cs="仿宋_GB2312"/>
                <w:b w:val="0"/>
                <w:sz w:val="24"/>
              </w:rPr>
              <w:t>8万人</w:t>
            </w:r>
          </w:p>
        </w:tc>
        <w:tc>
          <w:tcPr>
            <w:tcW w:type="dxa" w:w="2160"/>
          </w:tcPr>
          <w:p>
            <w:pPr>
              <w:spacing w:line="440" w:lineRule="exact"/>
            </w:pPr>
            <w:r>
              <w:rPr>
                <w:rFonts w:ascii="Times New Roman" w:hAnsi="Times New Roman" w:eastAsia="仿宋_GB2312" w:cs="仿宋_GB2312"/>
                <w:b w:val="0"/>
                <w:sz w:val="24"/>
              </w:rPr>
              <w:t>8.6万人</w:t>
            </w:r>
          </w:p>
        </w:tc>
        <w:tc>
          <w:tcPr>
            <w:tcW w:type="dxa" w:w="2160"/>
          </w:tcPr>
          <w:p>
            <w:pPr>
              <w:spacing w:line="440" w:lineRule="exact"/>
            </w:pPr>
            <w:r>
              <w:rPr>
                <w:rFonts w:ascii="Times New Roman" w:hAnsi="Times New Roman" w:eastAsia="仿宋_GB2312" w:cs="仿宋_GB2312"/>
                <w:b w:val="0"/>
                <w:sz w:val="24"/>
              </w:rPr>
              <w:t>108%</w:t>
            </w:r>
          </w:p>
        </w:tc>
      </w:tr>
    </w:tbl>
    <w:p>
      <w:pPr>
        <w:jc w:val="center"/>
      </w:pPr>
      <w:r>
        <w:rPr>
          <w:rFonts w:ascii="Times New Roman" w:hAnsi="Times New Roman" w:eastAsia="黑体" w:cs="黑体"/>
          <w:sz w:val="28"/>
        </w:rPr>
        <w:t>图1 全市产业结构变化示意图</w:t>
      </w:r>
    </w:p>
    <w:p>
      <w:pPr>
        <w:pStyle w:val="Heading1"/>
        <w:ind w:left="0" w:right="0"/>
        <w:outlineLvl w:val="0"/>
      </w:pPr>
      <w:r>
        <w:rPr>
          <w:rFonts w:ascii="Times New Roman" w:hAnsi="Times New Roman" w:eastAsia="黑体" w:cs="黑体"/>
          <w:b/>
          <w:sz w:val="32"/>
        </w:rPr>
        <w:t>三、存在问题与不足</w:t>
      </w:r>
    </w:p>
    <w:p>
      <w:pPr>
        <w:spacing w:line="560" w:lineRule="exact"/>
        <w:ind w:left="0" w:right="0"/>
      </w:pPr>
      <w:r>
        <w:rPr>
          <w:rFonts w:ascii="Times New Roman" w:hAnsi="Times New Roman" w:eastAsia="仿宋_GB2312" w:cs="仿宋_GB2312"/>
          <w:sz w:val="32"/>
        </w:rPr>
        <w:t>外部环境复杂性上升，国内需求不足问题仍较突出。我市科技创新策源能力不强、基层治理精细化水平有待提升、安全生产存在薄弱环节。对此，我们一定采取有力措施加以解决。</w:t>
      </w:r>
    </w:p>
    <w:p>
      <w:pPr>
        <w:pStyle w:val="Heading1"/>
        <w:ind w:left="0" w:right="0"/>
        <w:outlineLvl w:val="0"/>
      </w:pPr>
      <w:r>
        <w:rPr>
          <w:rFonts w:ascii="Times New Roman" w:hAnsi="Times New Roman" w:eastAsia="黑体" w:cs="黑体"/>
          <w:b/>
          <w:sz w:val="32"/>
        </w:rPr>
        <w:t>四、2025年工作安排</w:t>
      </w:r>
    </w:p>
    <w:p>
      <w:pPr>
        <w:spacing w:line="560" w:lineRule="exact"/>
        <w:ind w:left="0" w:right="0"/>
      </w:pPr>
      <w:r>
        <w:rPr>
          <w:rFonts w:ascii="Times New Roman" w:hAnsi="Times New Roman" w:eastAsia="仿宋_GB2312" w:cs="仿宋_GB2312"/>
          <w:sz w:val="32"/>
        </w:rPr>
        <w:t>2025年是“十四五”规划收官之年。总体要求是坚持稳中求进、以进促稳，更好统筹发展和安全，推动经济持续回升向好，不断提高人民生活水平。</w:t>
      </w:r>
    </w:p>
    <w:p>
      <w:pPr>
        <w:pStyle w:val="Heading2"/>
        <w:ind w:left="0" w:right="0"/>
        <w:outlineLvl w:val="1"/>
      </w:pPr>
      <w:r>
        <w:rPr>
          <w:rFonts w:ascii="Times New Roman" w:hAnsi="Times New Roman" w:eastAsia="楷体_GB2312" w:cs="楷体_GB2312"/>
          <w:b w:val="0"/>
          <w:sz w:val="32"/>
        </w:rPr>
        <w:t>（一）着力扩大有效需求</w:t>
      </w:r>
    </w:p>
    <w:p>
      <w:pPr>
        <w:spacing w:line="560" w:lineRule="exact"/>
        <w:ind w:left="0" w:right="0"/>
      </w:pPr>
      <w:r>
        <w:rPr>
          <w:rFonts w:ascii="Times New Roman" w:hAnsi="Times New Roman" w:eastAsia="仿宋_GB2312" w:cs="仿宋_GB2312"/>
          <w:sz w:val="32"/>
        </w:rPr>
        <w:t>实施提振消费专项行动，加力扩围“两新”政策。发挥政府投资引导作用，全年安排重点项目投资2800亿元以上。</w:t>
      </w:r>
    </w:p>
    <w:p>
      <w:pPr>
        <w:pStyle w:val="Heading2"/>
        <w:ind w:left="0" w:right="0"/>
        <w:outlineLvl w:val="1"/>
      </w:pPr>
      <w:r>
        <w:rPr>
          <w:rFonts w:ascii="Times New Roman" w:hAnsi="Times New Roman" w:eastAsia="楷体_GB2312" w:cs="楷体_GB2312"/>
          <w:b w:val="0"/>
          <w:sz w:val="32"/>
        </w:rPr>
        <w:t>（二）加快建设现代化产业体系</w:t>
      </w:r>
    </w:p>
    <w:p>
      <w:pPr>
        <w:spacing w:line="560" w:lineRule="exact"/>
        <w:ind w:left="0" w:right="0"/>
      </w:pPr>
      <w:r>
        <w:rPr>
          <w:rFonts w:ascii="Times New Roman" w:hAnsi="Times New Roman" w:eastAsia="仿宋_GB2312" w:cs="仿宋_GB2312"/>
          <w:sz w:val="32"/>
        </w:rPr>
        <w:t>推动科技创新和产业创新深度融合，培育壮大战略性新兴产业。促进制造业高端化、智能化、绿色化发展。</w:t>
      </w:r>
    </w:p>
    <w:p>
      <w:pPr>
        <w:pStyle w:val="Heading2"/>
        <w:ind w:left="0" w:right="0"/>
        <w:outlineLvl w:val="1"/>
      </w:pPr>
      <w:r>
        <w:rPr>
          <w:rFonts w:ascii="Times New Roman" w:hAnsi="Times New Roman" w:eastAsia="楷体_GB2312" w:cs="楷体_GB2312"/>
          <w:b w:val="0"/>
          <w:sz w:val="32"/>
        </w:rPr>
        <w:t>（三）持续保障和改善民生</w:t>
      </w:r>
    </w:p>
    <w:p>
      <w:pPr>
        <w:spacing w:line="560" w:lineRule="exact"/>
        <w:ind w:left="0" w:right="0"/>
      </w:pPr>
      <w:r>
        <w:rPr>
          <w:rFonts w:ascii="Times New Roman" w:hAnsi="Times New Roman" w:eastAsia="仿宋_GB2312" w:cs="仿宋_GB2312"/>
          <w:sz w:val="32"/>
        </w:rPr>
        <w:t>实施就业优先战略，推进义务教育优质均衡发展，健全分层分类社会救助体系，兜牢民生底线。</w:t>
      </w:r>
    </w:p>
    <w:p>
      <w:pPr>
        <w:ind w:left="0" w:right="0"/>
      </w:pPr>
      <w:r>
        <w:rPr>
          <w:rFonts w:ascii="Times New Roman" w:hAnsi="Times New Roman" w:eastAsia="黑体" w:cs="黑体"/>
          <w:b/>
          <w:sz w:val="32"/>
        </w:rPr>
        <w:t>附件1 2025年民生实事项目清单</w:t>
      </w:r>
    </w:p>
    <w:p>
      <w:pPr>
        <w:ind w:left="0" w:right="0"/>
      </w:pPr>
      <w:r>
        <w:rPr>
          <w:rFonts w:ascii="Times New Roman" w:hAnsi="Times New Roman" w:eastAsia="黑体" w:cs="黑体"/>
          <w:b/>
          <w:sz w:val="32"/>
        </w:rPr>
        <w:t>附件2 重点改革任务分工方案</w:t>
      </w:r>
    </w:p>
    <w:sectPr w:rsidR="00FC693F" w:rsidRPr="0006063C" w:rsidSect="00034616">
      <w:footerReference w:type="default" r:id="rId9"/>
      <w:pgSz w:w="11906" w:h="16838"/>
      <w:pgMar w:top="1440" w:right="1797" w:bottom="1440" w:left="1797" w:header="720" w:footer="99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 w:cs="宋体"/>
        <w:sz w:val="28"/>
      </w:rPr>
      <w:fldChar w:fldCharType="begin"/>
      <w:instrText xml:space="preserve"> PAGE 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