
<file path=[Content_Types].xml><?xml version="1.0" encoding="utf-8"?>
<Types xmlns="http://schemas.openxmlformats.org/package/2006/content-types">
  <Default Extension="docm" ContentType="application/vnd.ms-word.documen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BCE7A" w14:textId="5632E0D5" w:rsidR="001C1830" w:rsidRDefault="006F2E50" w:rsidP="001C1830">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RULES AS CODE AND THE INTERPRETATIVE ROLE OF THE JUDICIARY</w:t>
      </w:r>
    </w:p>
    <w:p w14:paraId="6C6E774F" w14:textId="5395A163" w:rsidR="001C1830" w:rsidRDefault="00C95A92" w:rsidP="001C1830">
      <w:pPr>
        <w:spacing w:line="480" w:lineRule="auto"/>
        <w:jc w:val="center"/>
        <w:rPr>
          <w:rFonts w:ascii="Times New Roman" w:hAnsi="Times New Roman" w:cs="Times New Roman"/>
          <w:sz w:val="32"/>
          <w:szCs w:val="32"/>
        </w:rPr>
      </w:pPr>
      <w:r w:rsidRPr="00B67F00">
        <w:rPr>
          <w:rFonts w:ascii="Times New Roman" w:hAnsi="Times New Roman" w:cs="Times New Roman"/>
          <w:sz w:val="36"/>
          <w:szCs w:val="36"/>
        </w:rPr>
        <w:t>R</w:t>
      </w:r>
      <w:r w:rsidRPr="00B67F00">
        <w:rPr>
          <w:rFonts w:ascii="Times New Roman" w:hAnsi="Times New Roman" w:cs="Times New Roman"/>
          <w:sz w:val="32"/>
          <w:szCs w:val="32"/>
        </w:rPr>
        <w:t>ESEARCH</w:t>
      </w:r>
      <w:r w:rsidRPr="00B67F00">
        <w:rPr>
          <w:rFonts w:ascii="Times New Roman" w:hAnsi="Times New Roman" w:cs="Times New Roman"/>
          <w:sz w:val="36"/>
          <w:szCs w:val="36"/>
        </w:rPr>
        <w:t xml:space="preserve"> P</w:t>
      </w:r>
      <w:r w:rsidRPr="00B67F00">
        <w:rPr>
          <w:rFonts w:ascii="Times New Roman" w:hAnsi="Times New Roman" w:cs="Times New Roman"/>
          <w:sz w:val="32"/>
          <w:szCs w:val="32"/>
        </w:rPr>
        <w:t>ROPOSAL</w:t>
      </w:r>
      <w:r w:rsidRPr="00B67F00">
        <w:rPr>
          <w:rFonts w:ascii="Times New Roman" w:hAnsi="Times New Roman" w:cs="Times New Roman"/>
          <w:sz w:val="36"/>
          <w:szCs w:val="36"/>
        </w:rPr>
        <w:t xml:space="preserve"> | N</w:t>
      </w:r>
      <w:r w:rsidRPr="00B67F00">
        <w:rPr>
          <w:rFonts w:ascii="Times New Roman" w:hAnsi="Times New Roman" w:cs="Times New Roman"/>
          <w:sz w:val="32"/>
          <w:szCs w:val="32"/>
        </w:rPr>
        <w:t xml:space="preserve">ICHOLAS </w:t>
      </w:r>
      <w:r w:rsidRPr="00B67F00">
        <w:rPr>
          <w:rFonts w:ascii="Times New Roman" w:hAnsi="Times New Roman" w:cs="Times New Roman"/>
          <w:sz w:val="36"/>
          <w:szCs w:val="36"/>
        </w:rPr>
        <w:t>G</w:t>
      </w:r>
      <w:r w:rsidRPr="00B67F00">
        <w:rPr>
          <w:rFonts w:ascii="Times New Roman" w:hAnsi="Times New Roman" w:cs="Times New Roman"/>
          <w:sz w:val="32"/>
          <w:szCs w:val="32"/>
        </w:rPr>
        <w:t>ODFREY</w:t>
      </w:r>
    </w:p>
    <w:p w14:paraId="2E5D3D5D" w14:textId="77777777" w:rsidR="00AB3E6B" w:rsidRDefault="00AB3E6B" w:rsidP="001C1830">
      <w:pPr>
        <w:spacing w:line="480" w:lineRule="auto"/>
        <w:jc w:val="center"/>
        <w:rPr>
          <w:rFonts w:ascii="Times New Roman" w:hAnsi="Times New Roman" w:cs="Times New Roman"/>
          <w:sz w:val="32"/>
          <w:szCs w:val="32"/>
        </w:rPr>
      </w:pPr>
    </w:p>
    <w:p w14:paraId="67368480" w14:textId="4C613554" w:rsidR="002228A5" w:rsidRPr="00AB3E6B" w:rsidRDefault="002228A5" w:rsidP="00AB3E6B">
      <w:pPr>
        <w:jc w:val="center"/>
        <w:rPr>
          <w:rFonts w:ascii="Times New Roman" w:hAnsi="Times New Roman" w:cs="Times New Roman"/>
          <w:sz w:val="32"/>
          <w:szCs w:val="32"/>
        </w:rPr>
      </w:pPr>
      <w:bookmarkStart w:id="0" w:name="_Hlk49697676"/>
      <w:r w:rsidRPr="00B67F00">
        <w:rPr>
          <w:rFonts w:ascii="Times New Roman" w:hAnsi="Times New Roman" w:cs="Times New Roman"/>
          <w:sz w:val="28"/>
          <w:szCs w:val="28"/>
        </w:rPr>
        <w:t>I</w:t>
      </w:r>
      <w:r w:rsidRPr="00B67F00">
        <w:rPr>
          <w:rFonts w:ascii="Times New Roman" w:hAnsi="Times New Roman" w:cs="Times New Roman"/>
          <w:sz w:val="28"/>
          <w:szCs w:val="28"/>
        </w:rPr>
        <w:tab/>
      </w:r>
      <w:r w:rsidR="007B26C3">
        <w:rPr>
          <w:rFonts w:ascii="Times New Roman" w:hAnsi="Times New Roman" w:cs="Times New Roman"/>
          <w:sz w:val="28"/>
          <w:szCs w:val="28"/>
        </w:rPr>
        <w:t>I</w:t>
      </w:r>
      <w:r w:rsidR="007B26C3">
        <w:rPr>
          <w:rFonts w:ascii="Times New Roman" w:hAnsi="Times New Roman" w:cs="Times New Roman"/>
          <w:sz w:val="24"/>
          <w:szCs w:val="24"/>
        </w:rPr>
        <w:t>NTRODUCTION</w:t>
      </w:r>
    </w:p>
    <w:bookmarkEnd w:id="0"/>
    <w:p w14:paraId="565BF945" w14:textId="71F6184A" w:rsidR="0028251D" w:rsidRDefault="00255421" w:rsidP="007B26C3">
      <w:pPr>
        <w:spacing w:line="480" w:lineRule="auto"/>
        <w:jc w:val="both"/>
        <w:rPr>
          <w:rFonts w:ascii="Times New Roman" w:hAnsi="Times New Roman" w:cs="Times New Roman"/>
        </w:rPr>
      </w:pPr>
      <w:r>
        <w:rPr>
          <w:rFonts w:ascii="Times New Roman" w:hAnsi="Times New Roman" w:cs="Times New Roman"/>
        </w:rPr>
        <w:t xml:space="preserve">This </w:t>
      </w:r>
      <w:r w:rsidR="0045475E">
        <w:rPr>
          <w:rFonts w:ascii="Times New Roman" w:hAnsi="Times New Roman" w:cs="Times New Roman"/>
        </w:rPr>
        <w:t>article</w:t>
      </w:r>
      <w:r>
        <w:rPr>
          <w:rFonts w:ascii="Times New Roman" w:hAnsi="Times New Roman" w:cs="Times New Roman"/>
        </w:rPr>
        <w:t xml:space="preserve"> seeks to explore</w:t>
      </w:r>
      <w:r w:rsidR="00D831EB">
        <w:rPr>
          <w:rFonts w:ascii="Times New Roman" w:hAnsi="Times New Roman" w:cs="Times New Roman"/>
        </w:rPr>
        <w:t xml:space="preserve"> how the Rules as Code</w:t>
      </w:r>
      <w:r w:rsidR="00EE31CD">
        <w:rPr>
          <w:rFonts w:ascii="Times New Roman" w:hAnsi="Times New Roman" w:cs="Times New Roman"/>
        </w:rPr>
        <w:t xml:space="preserve"> (</w:t>
      </w:r>
      <w:r w:rsidR="00F53D7E">
        <w:rPr>
          <w:rFonts w:ascii="Times New Roman" w:hAnsi="Times New Roman" w:cs="Times New Roman"/>
        </w:rPr>
        <w:t>“</w:t>
      </w:r>
      <w:r w:rsidR="00EE31CD">
        <w:rPr>
          <w:rFonts w:ascii="Times New Roman" w:hAnsi="Times New Roman" w:cs="Times New Roman"/>
        </w:rPr>
        <w:t>RaC</w:t>
      </w:r>
      <w:r w:rsidR="00F53D7E">
        <w:rPr>
          <w:rFonts w:ascii="Times New Roman" w:hAnsi="Times New Roman" w:cs="Times New Roman"/>
        </w:rPr>
        <w:t>”</w:t>
      </w:r>
      <w:r w:rsidR="00EE31CD">
        <w:rPr>
          <w:rFonts w:ascii="Times New Roman" w:hAnsi="Times New Roman" w:cs="Times New Roman"/>
        </w:rPr>
        <w:t>)</w:t>
      </w:r>
      <w:r w:rsidR="00D831EB">
        <w:rPr>
          <w:rFonts w:ascii="Times New Roman" w:hAnsi="Times New Roman" w:cs="Times New Roman"/>
        </w:rPr>
        <w:t xml:space="preserve"> </w:t>
      </w:r>
      <w:r w:rsidR="00DB0A2E">
        <w:rPr>
          <w:rFonts w:ascii="Times New Roman" w:hAnsi="Times New Roman" w:cs="Times New Roman"/>
        </w:rPr>
        <w:t>concept might operate within Australia</w:t>
      </w:r>
      <w:r w:rsidR="00CC6104">
        <w:rPr>
          <w:rFonts w:ascii="Times New Roman" w:hAnsi="Times New Roman" w:cs="Times New Roman"/>
        </w:rPr>
        <w:t xml:space="preserve"> in a way which is compatible with the </w:t>
      </w:r>
      <w:r w:rsidR="009A692B">
        <w:rPr>
          <w:rFonts w:ascii="Times New Roman" w:hAnsi="Times New Roman" w:cs="Times New Roman"/>
        </w:rPr>
        <w:t>interpretative role of the judiciary</w:t>
      </w:r>
      <w:r w:rsidR="00CC6104">
        <w:rPr>
          <w:rFonts w:ascii="Times New Roman" w:hAnsi="Times New Roman" w:cs="Times New Roman"/>
        </w:rPr>
        <w:t xml:space="preserve">. In recent years, efforts </w:t>
      </w:r>
      <w:r w:rsidR="00C16CDC">
        <w:rPr>
          <w:rFonts w:ascii="Times New Roman" w:hAnsi="Times New Roman" w:cs="Times New Roman"/>
        </w:rPr>
        <w:t xml:space="preserve">to move further toward </w:t>
      </w:r>
      <w:r w:rsidR="00CC6104">
        <w:rPr>
          <w:rFonts w:ascii="Times New Roman" w:hAnsi="Times New Roman" w:cs="Times New Roman"/>
        </w:rPr>
        <w:t>digital government</w:t>
      </w:r>
      <w:r w:rsidR="00C16CDC" w:rsidRPr="00FF395A">
        <w:rPr>
          <w:rStyle w:val="FootnoteReference"/>
        </w:rPr>
        <w:footnoteReference w:id="1"/>
      </w:r>
      <w:r w:rsidR="00CC6104">
        <w:rPr>
          <w:rFonts w:ascii="Times New Roman" w:hAnsi="Times New Roman" w:cs="Times New Roman"/>
        </w:rPr>
        <w:t xml:space="preserve"> have increased globally, </w:t>
      </w:r>
      <w:r w:rsidR="00EE31CD">
        <w:rPr>
          <w:rFonts w:ascii="Times New Roman" w:hAnsi="Times New Roman" w:cs="Times New Roman"/>
        </w:rPr>
        <w:t xml:space="preserve">though little response has been offered to sceptics </w:t>
      </w:r>
      <w:r w:rsidR="0086462C">
        <w:rPr>
          <w:rFonts w:ascii="Times New Roman" w:hAnsi="Times New Roman" w:cs="Times New Roman"/>
        </w:rPr>
        <w:t>wary</w:t>
      </w:r>
      <w:r w:rsidR="00EE31CD">
        <w:rPr>
          <w:rFonts w:ascii="Times New Roman" w:hAnsi="Times New Roman" w:cs="Times New Roman"/>
        </w:rPr>
        <w:t xml:space="preserve"> of how RaC might impact upon </w:t>
      </w:r>
      <w:r w:rsidR="006C23DF">
        <w:rPr>
          <w:rFonts w:ascii="Times New Roman" w:hAnsi="Times New Roman" w:cs="Times New Roman"/>
        </w:rPr>
        <w:t>the constitutional powers of the judiciary</w:t>
      </w:r>
      <w:r w:rsidR="00C16CDC">
        <w:rPr>
          <w:rFonts w:ascii="Times New Roman" w:hAnsi="Times New Roman" w:cs="Times New Roman"/>
        </w:rPr>
        <w:t xml:space="preserve">. </w:t>
      </w:r>
      <w:r w:rsidR="006F2E50">
        <w:rPr>
          <w:rFonts w:ascii="Times New Roman" w:hAnsi="Times New Roman" w:cs="Times New Roman"/>
        </w:rPr>
        <w:t>This</w:t>
      </w:r>
      <w:r w:rsidR="00C16CDC">
        <w:rPr>
          <w:rFonts w:ascii="Times New Roman" w:hAnsi="Times New Roman" w:cs="Times New Roman"/>
        </w:rPr>
        <w:t xml:space="preserve"> </w:t>
      </w:r>
      <w:r w:rsidR="0045475E">
        <w:rPr>
          <w:rFonts w:ascii="Times New Roman" w:hAnsi="Times New Roman" w:cs="Times New Roman"/>
        </w:rPr>
        <w:t>article</w:t>
      </w:r>
      <w:r w:rsidR="00C16CDC">
        <w:rPr>
          <w:rFonts w:ascii="Times New Roman" w:hAnsi="Times New Roman" w:cs="Times New Roman"/>
        </w:rPr>
        <w:t xml:space="preserve"> </w:t>
      </w:r>
      <w:r w:rsidR="0045475E">
        <w:rPr>
          <w:rFonts w:ascii="Times New Roman" w:hAnsi="Times New Roman" w:cs="Times New Roman"/>
        </w:rPr>
        <w:t>investigates</w:t>
      </w:r>
      <w:r w:rsidR="00C16CDC">
        <w:rPr>
          <w:rFonts w:ascii="Times New Roman" w:hAnsi="Times New Roman" w:cs="Times New Roman"/>
        </w:rPr>
        <w:t xml:space="preserve"> how RaC might inadvertently</w:t>
      </w:r>
      <w:r w:rsidR="0067689F">
        <w:rPr>
          <w:rFonts w:ascii="Times New Roman" w:hAnsi="Times New Roman" w:cs="Times New Roman"/>
        </w:rPr>
        <w:t xml:space="preserve"> and harmfully</w:t>
      </w:r>
      <w:r w:rsidR="00C16CDC">
        <w:rPr>
          <w:rFonts w:ascii="Times New Roman" w:hAnsi="Times New Roman" w:cs="Times New Roman"/>
        </w:rPr>
        <w:t xml:space="preserve"> extend</w:t>
      </w:r>
      <w:r w:rsidR="00FE2AC1">
        <w:rPr>
          <w:rFonts w:ascii="Times New Roman" w:hAnsi="Times New Roman" w:cs="Times New Roman"/>
        </w:rPr>
        <w:t xml:space="preserve"> the judicial power of interpretation to programmers and </w:t>
      </w:r>
      <w:r w:rsidR="00C16CDC">
        <w:rPr>
          <w:rFonts w:ascii="Times New Roman" w:hAnsi="Times New Roman" w:cs="Times New Roman"/>
        </w:rPr>
        <w:t>discourage</w:t>
      </w:r>
      <w:r w:rsidR="009C19A0">
        <w:rPr>
          <w:rFonts w:ascii="Times New Roman" w:hAnsi="Times New Roman" w:cs="Times New Roman"/>
        </w:rPr>
        <w:t xml:space="preserve"> the drafting of discretionary clauses</w:t>
      </w:r>
      <w:r w:rsidR="00FE2AC1">
        <w:rPr>
          <w:rFonts w:ascii="Times New Roman" w:hAnsi="Times New Roman" w:cs="Times New Roman"/>
        </w:rPr>
        <w:t xml:space="preserve"> in order to accommodate digital conversion. </w:t>
      </w:r>
      <w:r w:rsidR="006F2E50">
        <w:rPr>
          <w:rFonts w:ascii="Times New Roman" w:hAnsi="Times New Roman" w:cs="Times New Roman"/>
        </w:rPr>
        <w:t>To this end, methods of encoding ambiguous clauses in</w:t>
      </w:r>
      <w:r w:rsidR="00563814">
        <w:rPr>
          <w:rFonts w:ascii="Times New Roman" w:hAnsi="Times New Roman" w:cs="Times New Roman"/>
        </w:rPr>
        <w:t xml:space="preserve"> </w:t>
      </w:r>
      <w:r w:rsidR="00F926D3">
        <w:rPr>
          <w:rFonts w:ascii="Times New Roman" w:hAnsi="Times New Roman" w:cs="Times New Roman"/>
        </w:rPr>
        <w:t xml:space="preserve">Chapter </w:t>
      </w:r>
      <w:r w:rsidR="00CA673A">
        <w:rPr>
          <w:rFonts w:ascii="Times New Roman" w:hAnsi="Times New Roman" w:cs="Times New Roman"/>
        </w:rPr>
        <w:t>III</w:t>
      </w:r>
      <w:r w:rsidR="00F926D3">
        <w:rPr>
          <w:rFonts w:ascii="Times New Roman" w:hAnsi="Times New Roman" w:cs="Times New Roman"/>
        </w:rPr>
        <w:t xml:space="preserve"> of the </w:t>
      </w:r>
      <w:r w:rsidR="00563814">
        <w:rPr>
          <w:rFonts w:ascii="Times New Roman" w:hAnsi="Times New Roman" w:cs="Times New Roman"/>
          <w:i/>
          <w:iCs/>
        </w:rPr>
        <w:t>National Consumer Credit Protection Act</w:t>
      </w:r>
      <w:r w:rsidR="003330D5">
        <w:rPr>
          <w:rFonts w:ascii="Times New Roman" w:hAnsi="Times New Roman" w:cs="Times New Roman"/>
          <w:i/>
          <w:iCs/>
        </w:rPr>
        <w:t xml:space="preserve"> </w:t>
      </w:r>
      <w:r w:rsidR="003330D5">
        <w:rPr>
          <w:rFonts w:ascii="Times New Roman" w:hAnsi="Times New Roman" w:cs="Times New Roman"/>
        </w:rPr>
        <w:t>(“</w:t>
      </w:r>
      <w:r w:rsidR="003330D5">
        <w:rPr>
          <w:rFonts w:ascii="Times New Roman" w:hAnsi="Times New Roman" w:cs="Times New Roman"/>
          <w:i/>
          <w:iCs/>
        </w:rPr>
        <w:t>National Credit Act”</w:t>
      </w:r>
      <w:r w:rsidR="003330D5">
        <w:rPr>
          <w:rFonts w:ascii="Times New Roman" w:hAnsi="Times New Roman" w:cs="Times New Roman"/>
        </w:rPr>
        <w:t>)</w:t>
      </w:r>
      <w:r w:rsidR="00EB65D2" w:rsidRPr="00FF395A">
        <w:rPr>
          <w:rStyle w:val="FootnoteReference"/>
        </w:rPr>
        <w:footnoteReference w:id="2"/>
      </w:r>
      <w:r w:rsidR="006F2E50">
        <w:rPr>
          <w:rFonts w:ascii="Times New Roman" w:hAnsi="Times New Roman" w:cs="Times New Roman"/>
        </w:rPr>
        <w:t xml:space="preserve"> </w:t>
      </w:r>
      <w:r w:rsidR="0045475E">
        <w:rPr>
          <w:rFonts w:ascii="Times New Roman" w:hAnsi="Times New Roman" w:cs="Times New Roman"/>
        </w:rPr>
        <w:t>were</w:t>
      </w:r>
      <w:r w:rsidR="006F2E50">
        <w:rPr>
          <w:rFonts w:ascii="Times New Roman" w:hAnsi="Times New Roman" w:cs="Times New Roman"/>
        </w:rPr>
        <w:t xml:space="preserve"> tested and evaluated</w:t>
      </w:r>
      <w:r w:rsidR="0045475E">
        <w:rPr>
          <w:rFonts w:ascii="Times New Roman" w:hAnsi="Times New Roman" w:cs="Times New Roman"/>
        </w:rPr>
        <w:t xml:space="preserve"> with particular focus on the variations between formalist and non-formalist interpretative approaches</w:t>
      </w:r>
      <w:r w:rsidR="006F2E50">
        <w:rPr>
          <w:rFonts w:ascii="Times New Roman" w:hAnsi="Times New Roman" w:cs="Times New Roman"/>
        </w:rPr>
        <w:t>.</w:t>
      </w:r>
      <w:r w:rsidR="0028251D">
        <w:rPr>
          <w:rFonts w:ascii="Times New Roman" w:hAnsi="Times New Roman" w:cs="Times New Roman"/>
          <w:i/>
          <w:iCs/>
        </w:rPr>
        <w:t xml:space="preserve"> </w:t>
      </w:r>
      <w:r w:rsidR="00FF395A">
        <w:rPr>
          <w:rFonts w:ascii="Times New Roman" w:hAnsi="Times New Roman" w:cs="Times New Roman"/>
        </w:rPr>
        <w:t xml:space="preserve">Section II offers a broad overview of the </w:t>
      </w:r>
      <w:r w:rsidR="0045475E">
        <w:rPr>
          <w:rFonts w:ascii="Times New Roman" w:hAnsi="Times New Roman" w:cs="Times New Roman"/>
        </w:rPr>
        <w:t>topic</w:t>
      </w:r>
      <w:r w:rsidR="00FF395A">
        <w:rPr>
          <w:rFonts w:ascii="Times New Roman" w:hAnsi="Times New Roman" w:cs="Times New Roman"/>
        </w:rPr>
        <w:t>, acknowledging relevant literatures</w:t>
      </w:r>
      <w:r w:rsidR="0045475E">
        <w:rPr>
          <w:rFonts w:ascii="Times New Roman" w:hAnsi="Times New Roman" w:cs="Times New Roman"/>
        </w:rPr>
        <w:t>, while Section III outlines the methodologies attempted</w:t>
      </w:r>
      <w:r w:rsidR="00FF395A">
        <w:rPr>
          <w:rFonts w:ascii="Times New Roman" w:hAnsi="Times New Roman" w:cs="Times New Roman"/>
        </w:rPr>
        <w:t>. Section IV</w:t>
      </w:r>
      <w:r w:rsidR="0045475E">
        <w:rPr>
          <w:rFonts w:ascii="Times New Roman" w:hAnsi="Times New Roman" w:cs="Times New Roman"/>
        </w:rPr>
        <w:t xml:space="preserve"> summarises and evaluates the project’s findings, with particular reference to the manners in which the </w:t>
      </w:r>
      <w:r w:rsidR="00BA7082">
        <w:rPr>
          <w:rFonts w:ascii="Times New Roman" w:hAnsi="Times New Roman" w:cs="Times New Roman"/>
        </w:rPr>
        <w:t>resultant application</w:t>
      </w:r>
      <w:r w:rsidR="00BA7082">
        <w:rPr>
          <w:rStyle w:val="FootnoteReference"/>
          <w:rFonts w:ascii="Times New Roman" w:hAnsi="Times New Roman" w:cs="Times New Roman"/>
        </w:rPr>
        <w:footnoteReference w:id="3"/>
      </w:r>
      <w:r w:rsidR="0045475E">
        <w:rPr>
          <w:rFonts w:ascii="Times New Roman" w:hAnsi="Times New Roman" w:cs="Times New Roman"/>
        </w:rPr>
        <w:t xml:space="preserve"> changed from that initially proposed.</w:t>
      </w:r>
      <w:r w:rsidR="00FF395A">
        <w:rPr>
          <w:rFonts w:ascii="Times New Roman" w:hAnsi="Times New Roman" w:cs="Times New Roman"/>
        </w:rPr>
        <w:t xml:space="preserve"> </w:t>
      </w:r>
      <w:r w:rsidR="0045475E">
        <w:rPr>
          <w:rFonts w:ascii="Times New Roman" w:hAnsi="Times New Roman" w:cs="Times New Roman"/>
        </w:rPr>
        <w:t>Section V posits that, in light of the project’s findings, alternative approaches might be better suited than that of the formalist vs non-formalist one initially proposed, focussing in particular on the lessons RaC advocates might learn from the legislative drafting process seen in multilingual jurisdictions.</w:t>
      </w:r>
      <w:r w:rsidR="00FF395A">
        <w:rPr>
          <w:rFonts w:ascii="Times New Roman" w:hAnsi="Times New Roman" w:cs="Times New Roman"/>
        </w:rPr>
        <w:t xml:space="preserve"> </w:t>
      </w:r>
      <w:r w:rsidR="00EE206D">
        <w:rPr>
          <w:rFonts w:ascii="Times New Roman" w:hAnsi="Times New Roman" w:cs="Times New Roman"/>
        </w:rPr>
        <w:lastRenderedPageBreak/>
        <w:t xml:space="preserve">Ultimately, </w:t>
      </w:r>
      <w:r w:rsidR="0045475E">
        <w:rPr>
          <w:rFonts w:ascii="Times New Roman" w:hAnsi="Times New Roman" w:cs="Times New Roman"/>
        </w:rPr>
        <w:t>this article seeks to address the question:</w:t>
      </w:r>
      <w:r w:rsidR="00EE206D">
        <w:rPr>
          <w:rFonts w:ascii="Times New Roman" w:hAnsi="Times New Roman" w:cs="Times New Roman"/>
        </w:rPr>
        <w:t xml:space="preserve"> </w:t>
      </w:r>
      <w:r w:rsidR="0028251D">
        <w:rPr>
          <w:rFonts w:ascii="Times New Roman" w:hAnsi="Times New Roman" w:cs="Times New Roman"/>
        </w:rPr>
        <w:t>i</w:t>
      </w:r>
      <w:r w:rsidR="0028251D" w:rsidRPr="00B67F00">
        <w:rPr>
          <w:rFonts w:ascii="Times New Roman" w:hAnsi="Times New Roman" w:cs="Times New Roman"/>
        </w:rPr>
        <w:t xml:space="preserve">s there a method with which to code ambiguous </w:t>
      </w:r>
      <w:r w:rsidR="0028251D">
        <w:rPr>
          <w:rFonts w:ascii="Times New Roman" w:hAnsi="Times New Roman" w:cs="Times New Roman"/>
        </w:rPr>
        <w:t xml:space="preserve">legal </w:t>
      </w:r>
      <w:r w:rsidR="0028251D" w:rsidRPr="00B67F00">
        <w:rPr>
          <w:rFonts w:ascii="Times New Roman" w:hAnsi="Times New Roman" w:cs="Times New Roman"/>
        </w:rPr>
        <w:t>terms in a way which respects th</w:t>
      </w:r>
      <w:r w:rsidR="000F2397">
        <w:rPr>
          <w:rFonts w:ascii="Times New Roman" w:hAnsi="Times New Roman" w:cs="Times New Roman"/>
        </w:rPr>
        <w:t>e</w:t>
      </w:r>
      <w:r w:rsidR="0028251D" w:rsidRPr="00B67F00">
        <w:rPr>
          <w:rFonts w:ascii="Times New Roman" w:hAnsi="Times New Roman" w:cs="Times New Roman"/>
        </w:rPr>
        <w:t xml:space="preserve"> </w:t>
      </w:r>
      <w:r w:rsidR="00AA551E">
        <w:rPr>
          <w:rFonts w:ascii="Times New Roman" w:hAnsi="Times New Roman" w:cs="Times New Roman"/>
        </w:rPr>
        <w:t>interpretative role of the</w:t>
      </w:r>
      <w:r w:rsidR="00B71580">
        <w:rPr>
          <w:rFonts w:ascii="Times New Roman" w:hAnsi="Times New Roman" w:cs="Times New Roman"/>
        </w:rPr>
        <w:t xml:space="preserve"> </w:t>
      </w:r>
      <w:r w:rsidR="000F2397">
        <w:rPr>
          <w:rFonts w:ascii="Times New Roman" w:hAnsi="Times New Roman" w:cs="Times New Roman"/>
        </w:rPr>
        <w:t>judiciary</w:t>
      </w:r>
      <w:r w:rsidR="0028251D" w:rsidRPr="00B67F00">
        <w:rPr>
          <w:rFonts w:ascii="Times New Roman" w:hAnsi="Times New Roman" w:cs="Times New Roman"/>
        </w:rPr>
        <w:t>?</w:t>
      </w:r>
    </w:p>
    <w:p w14:paraId="3BE64E74" w14:textId="77777777" w:rsidR="0015501B" w:rsidRPr="00B67F00" w:rsidRDefault="0015501B" w:rsidP="0028251D">
      <w:pPr>
        <w:spacing w:line="480" w:lineRule="auto"/>
        <w:rPr>
          <w:rFonts w:ascii="Times New Roman" w:hAnsi="Times New Roman" w:cs="Times New Roman"/>
        </w:rPr>
      </w:pPr>
    </w:p>
    <w:p w14:paraId="49FCFA67" w14:textId="3DE85F60" w:rsidR="002228A5" w:rsidRDefault="002228A5" w:rsidP="00AA6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II</w:t>
      </w:r>
      <w:r w:rsidRPr="00B67F00">
        <w:rPr>
          <w:rFonts w:ascii="Times New Roman" w:hAnsi="Times New Roman" w:cs="Times New Roman"/>
          <w:sz w:val="28"/>
          <w:szCs w:val="28"/>
        </w:rPr>
        <w:tab/>
      </w:r>
      <w:r w:rsidR="00AD2743">
        <w:rPr>
          <w:rFonts w:ascii="Times New Roman" w:hAnsi="Times New Roman" w:cs="Times New Roman"/>
          <w:sz w:val="28"/>
          <w:szCs w:val="28"/>
        </w:rPr>
        <w:t>L</w:t>
      </w:r>
      <w:r w:rsidR="00AD2743">
        <w:rPr>
          <w:rFonts w:ascii="Times New Roman" w:hAnsi="Times New Roman" w:cs="Times New Roman"/>
          <w:sz w:val="24"/>
          <w:szCs w:val="24"/>
        </w:rPr>
        <w:t xml:space="preserve">ITERATURE </w:t>
      </w:r>
      <w:r w:rsidR="00AD2743" w:rsidRPr="00AD2743">
        <w:rPr>
          <w:rFonts w:ascii="Times New Roman" w:hAnsi="Times New Roman" w:cs="Times New Roman"/>
          <w:sz w:val="28"/>
          <w:szCs w:val="28"/>
        </w:rPr>
        <w:t>R</w:t>
      </w:r>
      <w:r w:rsidR="00AD2743">
        <w:rPr>
          <w:rFonts w:ascii="Times New Roman" w:hAnsi="Times New Roman" w:cs="Times New Roman"/>
          <w:sz w:val="24"/>
          <w:szCs w:val="24"/>
        </w:rPr>
        <w:t>EVIEW</w:t>
      </w:r>
    </w:p>
    <w:p w14:paraId="2FB0ED38" w14:textId="2DCE18A9" w:rsidR="00D73D79" w:rsidRPr="00FF395A" w:rsidRDefault="00D73D79" w:rsidP="00FF395A">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Pr>
          <w:rFonts w:ascii="Times New Roman" w:hAnsi="Times New Roman" w:cs="Times New Roman"/>
          <w:i/>
          <w:iCs/>
          <w:sz w:val="24"/>
          <w:szCs w:val="24"/>
        </w:rPr>
        <w:t>Literature Review</w:t>
      </w:r>
    </w:p>
    <w:p w14:paraId="1FD12944" w14:textId="719EC2A1" w:rsidR="00AA551E" w:rsidRDefault="00AA551E" w:rsidP="007B26C3">
      <w:pPr>
        <w:spacing w:line="480" w:lineRule="auto"/>
        <w:jc w:val="both"/>
        <w:rPr>
          <w:rFonts w:ascii="Times New Roman" w:hAnsi="Times New Roman" w:cs="Times New Roman"/>
        </w:rPr>
      </w:pPr>
      <w:r>
        <w:rPr>
          <w:rFonts w:ascii="Times New Roman" w:hAnsi="Times New Roman" w:cs="Times New Roman"/>
        </w:rPr>
        <w:t>This section seeks to outline and critique the relevant literature surrounding Rules as Code. Subsection A explores how current and historical endeavours within the field of computational law have grown and provided valuable lessons for a future implementation of RaC. Subsection B considers one of</w:t>
      </w:r>
      <w:r w:rsidR="005523B9">
        <w:rPr>
          <w:rFonts w:ascii="Times New Roman" w:hAnsi="Times New Roman" w:cs="Times New Roman"/>
        </w:rPr>
        <w:t xml:space="preserve"> the</w:t>
      </w:r>
      <w:r>
        <w:rPr>
          <w:rFonts w:ascii="Times New Roman" w:hAnsi="Times New Roman" w:cs="Times New Roman"/>
        </w:rPr>
        <w:t xml:space="preserve"> key concerns arising from RaC with regard to the interpretative nature of the judiciary, this being the inherence of algorithms to align with </w:t>
      </w:r>
      <w:r w:rsidR="00C0378E">
        <w:rPr>
          <w:rFonts w:ascii="Times New Roman" w:hAnsi="Times New Roman" w:cs="Times New Roman"/>
        </w:rPr>
        <w:t>legal formalism</w:t>
      </w:r>
      <w:r>
        <w:rPr>
          <w:rFonts w:ascii="Times New Roman" w:hAnsi="Times New Roman" w:cs="Times New Roman"/>
        </w:rPr>
        <w:t>. Finally, Subsection C considers the act of interpreting and converting legislation to code with regards to the separation of powers, drawing analogies to multilingual legislation.</w:t>
      </w:r>
    </w:p>
    <w:p w14:paraId="729D972B" w14:textId="77777777" w:rsidR="00AD2743" w:rsidRDefault="00AD2743" w:rsidP="007B26C3">
      <w:pPr>
        <w:spacing w:line="480" w:lineRule="auto"/>
        <w:jc w:val="both"/>
        <w:rPr>
          <w:rFonts w:ascii="Times New Roman" w:hAnsi="Times New Roman" w:cs="Times New Roman"/>
        </w:rPr>
      </w:pPr>
    </w:p>
    <w:p w14:paraId="491705AC" w14:textId="3F2E6328" w:rsidR="00C95A92" w:rsidRPr="00B67F00" w:rsidRDefault="00AD2743" w:rsidP="00AD2743">
      <w:pPr>
        <w:spacing w:line="480" w:lineRule="auto"/>
        <w:jc w:val="center"/>
        <w:rPr>
          <w:rFonts w:ascii="Times New Roman" w:hAnsi="Times New Roman" w:cs="Times New Roman"/>
          <w:i/>
          <w:iCs/>
          <w:sz w:val="24"/>
          <w:szCs w:val="24"/>
        </w:rPr>
      </w:pPr>
      <w:r w:rsidRPr="00B67F00">
        <w:rPr>
          <w:rFonts w:ascii="Times New Roman" w:hAnsi="Times New Roman" w:cs="Times New Roman"/>
          <w:sz w:val="24"/>
          <w:szCs w:val="24"/>
        </w:rPr>
        <w:t xml:space="preserve">A </w:t>
      </w:r>
      <w:r w:rsidR="00AA6743" w:rsidRPr="00B67F00">
        <w:rPr>
          <w:rFonts w:ascii="Times New Roman" w:hAnsi="Times New Roman" w:cs="Times New Roman"/>
          <w:i/>
          <w:iCs/>
          <w:sz w:val="24"/>
          <w:szCs w:val="24"/>
        </w:rPr>
        <w:t>Computational Law</w:t>
      </w:r>
    </w:p>
    <w:p w14:paraId="7E59E9C1" w14:textId="4EB989D5" w:rsidR="0094613C" w:rsidRDefault="00CB7044" w:rsidP="00E67332">
      <w:pPr>
        <w:spacing w:line="480" w:lineRule="auto"/>
        <w:jc w:val="both"/>
        <w:rPr>
          <w:rFonts w:ascii="Times New Roman" w:hAnsi="Times New Roman" w:cs="Times New Roman"/>
        </w:rPr>
      </w:pPr>
      <w:r>
        <w:rPr>
          <w:rFonts w:ascii="Times New Roman" w:hAnsi="Times New Roman" w:cs="Times New Roman"/>
        </w:rPr>
        <w:t>A significant number of</w:t>
      </w:r>
      <w:r w:rsidR="0025612F" w:rsidRPr="00B67F00">
        <w:rPr>
          <w:rFonts w:ascii="Times New Roman" w:hAnsi="Times New Roman" w:cs="Times New Roman"/>
        </w:rPr>
        <w:t xml:space="preserve"> legal systems</w:t>
      </w:r>
      <w:r w:rsidR="00C90773" w:rsidRPr="00B67F00">
        <w:rPr>
          <w:rFonts w:ascii="Times New Roman" w:hAnsi="Times New Roman" w:cs="Times New Roman"/>
        </w:rPr>
        <w:t xml:space="preserve"> throughout history</w:t>
      </w:r>
      <w:r w:rsidR="0025612F" w:rsidRPr="00B67F00">
        <w:rPr>
          <w:rFonts w:ascii="Times New Roman" w:hAnsi="Times New Roman" w:cs="Times New Roman"/>
        </w:rPr>
        <w:t xml:space="preserve"> have</w:t>
      </w:r>
      <w:r w:rsidR="00C90773" w:rsidRPr="00B67F00">
        <w:rPr>
          <w:rFonts w:ascii="Times New Roman" w:hAnsi="Times New Roman" w:cs="Times New Roman"/>
        </w:rPr>
        <w:t xml:space="preserve"> had</w:t>
      </w:r>
      <w:r w:rsidR="00031E20" w:rsidRPr="00B67F00">
        <w:rPr>
          <w:rFonts w:ascii="Times New Roman" w:hAnsi="Times New Roman" w:cs="Times New Roman"/>
        </w:rPr>
        <w:t xml:space="preserve"> </w:t>
      </w:r>
      <w:r w:rsidR="00C90773" w:rsidRPr="00B67F00">
        <w:rPr>
          <w:rFonts w:ascii="Times New Roman" w:hAnsi="Times New Roman" w:cs="Times New Roman"/>
        </w:rPr>
        <w:t>computational potential</w:t>
      </w:r>
      <w:r w:rsidR="00A454CD">
        <w:rPr>
          <w:rFonts w:ascii="Times New Roman" w:hAnsi="Times New Roman" w:cs="Times New Roman"/>
        </w:rPr>
        <w:t>:</w:t>
      </w:r>
      <w:r w:rsidR="00A6519D">
        <w:rPr>
          <w:rFonts w:ascii="Times New Roman" w:hAnsi="Times New Roman" w:cs="Times New Roman"/>
        </w:rPr>
        <w:t xml:space="preserve"> </w:t>
      </w:r>
      <w:r w:rsidR="00A454CD">
        <w:rPr>
          <w:rFonts w:ascii="Times New Roman" w:hAnsi="Times New Roman" w:cs="Times New Roman"/>
        </w:rPr>
        <w:t>t</w:t>
      </w:r>
      <w:r w:rsidR="0025612F" w:rsidRPr="00B67F00">
        <w:rPr>
          <w:rFonts w:ascii="Times New Roman" w:hAnsi="Times New Roman" w:cs="Times New Roman"/>
        </w:rPr>
        <w:t xml:space="preserve">he earliest </w:t>
      </w:r>
      <w:r w:rsidR="00273E91" w:rsidRPr="00B67F00">
        <w:rPr>
          <w:rFonts w:ascii="Times New Roman" w:hAnsi="Times New Roman" w:cs="Times New Roman"/>
        </w:rPr>
        <w:t>preserved</w:t>
      </w:r>
      <w:r w:rsidR="0025612F" w:rsidRPr="00B67F00">
        <w:rPr>
          <w:rFonts w:ascii="Times New Roman" w:hAnsi="Times New Roman" w:cs="Times New Roman"/>
        </w:rPr>
        <w:t xml:space="preserve"> legal code</w:t>
      </w:r>
      <w:r w:rsidR="00DF0354" w:rsidRPr="00B67F00">
        <w:rPr>
          <w:rFonts w:ascii="Times New Roman" w:hAnsi="Times New Roman" w:cs="Times New Roman"/>
        </w:rPr>
        <w:t xml:space="preserve">, </w:t>
      </w:r>
      <w:r w:rsidR="00273E91" w:rsidRPr="00B67F00">
        <w:rPr>
          <w:rFonts w:ascii="Times New Roman" w:hAnsi="Times New Roman" w:cs="Times New Roman"/>
        </w:rPr>
        <w:t>the Code of Ur-Nammu</w:t>
      </w:r>
      <w:r w:rsidR="005523B9">
        <w:rPr>
          <w:rFonts w:ascii="Times New Roman" w:hAnsi="Times New Roman" w:cs="Times New Roman"/>
        </w:rPr>
        <w:t>,</w:t>
      </w:r>
      <w:r w:rsidR="00273E91" w:rsidRPr="00B67F00">
        <w:rPr>
          <w:rFonts w:ascii="Times New Roman" w:hAnsi="Times New Roman" w:cs="Times New Roman"/>
        </w:rPr>
        <w:t xml:space="preserve"> </w:t>
      </w:r>
      <w:r w:rsidR="00A6519D">
        <w:rPr>
          <w:rFonts w:ascii="Times New Roman" w:hAnsi="Times New Roman" w:cs="Times New Roman"/>
        </w:rPr>
        <w:t>was</w:t>
      </w:r>
      <w:r w:rsidR="00273E91" w:rsidRPr="00B67F00">
        <w:rPr>
          <w:rFonts w:ascii="Times New Roman" w:hAnsi="Times New Roman" w:cs="Times New Roman"/>
        </w:rPr>
        <w:t xml:space="preserve"> </w:t>
      </w:r>
      <w:r w:rsidR="0025612F" w:rsidRPr="00B67F00">
        <w:rPr>
          <w:rFonts w:ascii="Times New Roman" w:hAnsi="Times New Roman" w:cs="Times New Roman"/>
        </w:rPr>
        <w:t xml:space="preserve">made up </w:t>
      </w:r>
      <w:r w:rsidR="00A6519D">
        <w:rPr>
          <w:rFonts w:ascii="Times New Roman" w:hAnsi="Times New Roman" w:cs="Times New Roman"/>
        </w:rPr>
        <w:t xml:space="preserve">almost </w:t>
      </w:r>
      <w:r w:rsidR="0025612F" w:rsidRPr="00B67F00">
        <w:rPr>
          <w:rFonts w:ascii="Times New Roman" w:hAnsi="Times New Roman" w:cs="Times New Roman"/>
        </w:rPr>
        <w:t>entirely of ‘If’ statements</w:t>
      </w:r>
      <w:r w:rsidR="00A6519D">
        <w:rPr>
          <w:rFonts w:ascii="Times New Roman" w:hAnsi="Times New Roman" w:cs="Times New Roman"/>
        </w:rPr>
        <w:t>,</w:t>
      </w:r>
      <w:r w:rsidR="004A270C" w:rsidRPr="00FF395A">
        <w:rPr>
          <w:rStyle w:val="FootnoteReference"/>
        </w:rPr>
        <w:footnoteReference w:id="4"/>
      </w:r>
      <w:r w:rsidR="00A6519D">
        <w:rPr>
          <w:rFonts w:ascii="Times New Roman" w:hAnsi="Times New Roman" w:cs="Times New Roman"/>
        </w:rPr>
        <w:t xml:space="preserve"> </w:t>
      </w:r>
      <w:r w:rsidR="00C262E3">
        <w:rPr>
          <w:rFonts w:ascii="Times New Roman" w:hAnsi="Times New Roman" w:cs="Times New Roman"/>
        </w:rPr>
        <w:t>while</w:t>
      </w:r>
      <w:r w:rsidR="00A37BEE">
        <w:rPr>
          <w:rFonts w:ascii="Times New Roman" w:hAnsi="Times New Roman" w:cs="Times New Roman"/>
        </w:rPr>
        <w:t xml:space="preserve"> </w:t>
      </w:r>
      <w:r w:rsidR="00C81ADA">
        <w:rPr>
          <w:rFonts w:ascii="Times New Roman" w:hAnsi="Times New Roman" w:cs="Times New Roman"/>
        </w:rPr>
        <w:t>co-father of calculus, Gottfried Leibniz</w:t>
      </w:r>
      <w:r w:rsidR="00041975">
        <w:rPr>
          <w:rFonts w:ascii="Times New Roman" w:hAnsi="Times New Roman" w:cs="Times New Roman"/>
        </w:rPr>
        <w:t>,</w:t>
      </w:r>
      <w:r w:rsidR="00B07F7A">
        <w:rPr>
          <w:rFonts w:ascii="Times New Roman" w:hAnsi="Times New Roman" w:cs="Times New Roman"/>
        </w:rPr>
        <w:t xml:space="preserve"> famously pursued </w:t>
      </w:r>
      <w:r w:rsidR="00314834">
        <w:rPr>
          <w:rFonts w:ascii="Times New Roman" w:hAnsi="Times New Roman" w:cs="Times New Roman"/>
        </w:rPr>
        <w:t xml:space="preserve">a </w:t>
      </w:r>
      <w:r w:rsidR="0069325C">
        <w:rPr>
          <w:rFonts w:ascii="Times New Roman" w:hAnsi="Times New Roman" w:cs="Times New Roman"/>
        </w:rPr>
        <w:t xml:space="preserve">precise method of </w:t>
      </w:r>
      <w:r w:rsidR="00041975">
        <w:rPr>
          <w:rFonts w:ascii="Times New Roman" w:hAnsi="Times New Roman" w:cs="Times New Roman"/>
        </w:rPr>
        <w:t>interacting with</w:t>
      </w:r>
      <w:r w:rsidR="00A454CD">
        <w:rPr>
          <w:rFonts w:ascii="Times New Roman" w:hAnsi="Times New Roman" w:cs="Times New Roman"/>
        </w:rPr>
        <w:t xml:space="preserve"> the law in computational terms</w:t>
      </w:r>
      <w:r w:rsidR="0069325C">
        <w:rPr>
          <w:rFonts w:ascii="Times New Roman" w:hAnsi="Times New Roman" w:cs="Times New Roman"/>
        </w:rPr>
        <w:t>.</w:t>
      </w:r>
      <w:r w:rsidR="004021B1" w:rsidRPr="00FF395A">
        <w:rPr>
          <w:rStyle w:val="FootnoteReference"/>
        </w:rPr>
        <w:footnoteReference w:id="5"/>
      </w:r>
      <w:r w:rsidR="00031E20" w:rsidRPr="00B67F00">
        <w:rPr>
          <w:rFonts w:ascii="Times New Roman" w:hAnsi="Times New Roman" w:cs="Times New Roman"/>
        </w:rPr>
        <w:t xml:space="preserve"> Late 20</w:t>
      </w:r>
      <w:r w:rsidR="00031E20" w:rsidRPr="00B67F00">
        <w:rPr>
          <w:rFonts w:ascii="Times New Roman" w:hAnsi="Times New Roman" w:cs="Times New Roman"/>
          <w:vertAlign w:val="superscript"/>
        </w:rPr>
        <w:t>th</w:t>
      </w:r>
      <w:r w:rsidR="00031E20" w:rsidRPr="00B67F00">
        <w:rPr>
          <w:rFonts w:ascii="Times New Roman" w:hAnsi="Times New Roman" w:cs="Times New Roman"/>
        </w:rPr>
        <w:t xml:space="preserve"> Century attempts at realising this potential th</w:t>
      </w:r>
      <w:r w:rsidR="00F22452">
        <w:rPr>
          <w:rFonts w:ascii="Times New Roman" w:hAnsi="Times New Roman" w:cs="Times New Roman"/>
        </w:rPr>
        <w:t>r</w:t>
      </w:r>
      <w:r w:rsidR="00031E20" w:rsidRPr="00B67F00">
        <w:rPr>
          <w:rFonts w:ascii="Times New Roman" w:hAnsi="Times New Roman" w:cs="Times New Roman"/>
        </w:rPr>
        <w:t xml:space="preserve">ough </w:t>
      </w:r>
      <w:r w:rsidR="00F22452">
        <w:rPr>
          <w:rFonts w:ascii="Times New Roman" w:hAnsi="Times New Roman" w:cs="Times New Roman"/>
        </w:rPr>
        <w:t>development of</w:t>
      </w:r>
      <w:r w:rsidR="00031E20" w:rsidRPr="00B67F00">
        <w:rPr>
          <w:rFonts w:ascii="Times New Roman" w:hAnsi="Times New Roman" w:cs="Times New Roman"/>
        </w:rPr>
        <w:t xml:space="preserve"> a normalised process of legal drafting</w:t>
      </w:r>
      <w:r w:rsidR="00F70A88" w:rsidRPr="00B67F00">
        <w:rPr>
          <w:rFonts w:ascii="Times New Roman" w:hAnsi="Times New Roman" w:cs="Times New Roman"/>
        </w:rPr>
        <w:t>, such as that hypothesised by Allen &amp; Engholm</w:t>
      </w:r>
      <w:r w:rsidR="00F70A88" w:rsidRPr="00FF395A">
        <w:rPr>
          <w:rStyle w:val="FootnoteReference"/>
        </w:rPr>
        <w:footnoteReference w:id="6"/>
      </w:r>
      <w:r w:rsidR="00F70A88" w:rsidRPr="00B67F00">
        <w:rPr>
          <w:rFonts w:ascii="Times New Roman" w:hAnsi="Times New Roman" w:cs="Times New Roman"/>
        </w:rPr>
        <w:t>, are considered the origins of the field now known as computational law.</w:t>
      </w:r>
      <w:r w:rsidRPr="00FF395A">
        <w:rPr>
          <w:rStyle w:val="FootnoteReference"/>
        </w:rPr>
        <w:footnoteReference w:id="7"/>
      </w:r>
      <w:r w:rsidR="00720C10">
        <w:rPr>
          <w:rFonts w:ascii="Times New Roman" w:hAnsi="Times New Roman" w:cs="Times New Roman"/>
        </w:rPr>
        <w:t xml:space="preserve"> </w:t>
      </w:r>
    </w:p>
    <w:p w14:paraId="7C9440D1" w14:textId="4F0B61A9" w:rsidR="00DF2A0E" w:rsidRDefault="0094613C" w:rsidP="00E67332">
      <w:pPr>
        <w:spacing w:line="480" w:lineRule="auto"/>
        <w:jc w:val="both"/>
        <w:rPr>
          <w:rFonts w:ascii="Times New Roman" w:hAnsi="Times New Roman" w:cs="Times New Roman"/>
        </w:rPr>
      </w:pPr>
      <w:r>
        <w:rPr>
          <w:rFonts w:ascii="Times New Roman" w:hAnsi="Times New Roman" w:cs="Times New Roman"/>
        </w:rPr>
        <w:lastRenderedPageBreak/>
        <w:t xml:space="preserve">In the 1980s, </w:t>
      </w:r>
      <w:r w:rsidR="00CD2CD2">
        <w:rPr>
          <w:rFonts w:ascii="Times New Roman" w:hAnsi="Times New Roman" w:cs="Times New Roman"/>
        </w:rPr>
        <w:t xml:space="preserve">efforts such as that of </w:t>
      </w:r>
      <w:r w:rsidR="00E313B4">
        <w:rPr>
          <w:rFonts w:ascii="Times New Roman" w:hAnsi="Times New Roman" w:cs="Times New Roman"/>
        </w:rPr>
        <w:t>Sergot et al</w:t>
      </w:r>
      <w:r w:rsidR="00693908">
        <w:rPr>
          <w:rFonts w:ascii="Times New Roman" w:hAnsi="Times New Roman" w:cs="Times New Roman"/>
        </w:rPr>
        <w:t>.</w:t>
      </w:r>
      <w:r w:rsidR="00693908" w:rsidRPr="00FF395A">
        <w:rPr>
          <w:rStyle w:val="FootnoteReference"/>
        </w:rPr>
        <w:footnoteReference w:id="8"/>
      </w:r>
      <w:r w:rsidR="00E313B4">
        <w:rPr>
          <w:rFonts w:ascii="Times New Roman" w:hAnsi="Times New Roman" w:cs="Times New Roman"/>
        </w:rPr>
        <w:t xml:space="preserve"> helped push the field forward by taking the theory of their predecessors and </w:t>
      </w:r>
      <w:r>
        <w:rPr>
          <w:rFonts w:ascii="Times New Roman" w:hAnsi="Times New Roman" w:cs="Times New Roman"/>
        </w:rPr>
        <w:t xml:space="preserve">converting an actual piece of legislation, the </w:t>
      </w:r>
      <w:r>
        <w:rPr>
          <w:rFonts w:ascii="Times New Roman" w:hAnsi="Times New Roman" w:cs="Times New Roman"/>
          <w:i/>
          <w:iCs/>
        </w:rPr>
        <w:t>British Nationality Act</w:t>
      </w:r>
      <w:r w:rsidR="00CB0AFA">
        <w:rPr>
          <w:rFonts w:ascii="Times New Roman" w:hAnsi="Times New Roman" w:cs="Times New Roman"/>
          <w:i/>
          <w:iCs/>
        </w:rPr>
        <w:t>,</w:t>
      </w:r>
      <w:r w:rsidR="00E04135" w:rsidRPr="00FF395A">
        <w:rPr>
          <w:rStyle w:val="FootnoteReference"/>
        </w:rPr>
        <w:footnoteReference w:id="9"/>
      </w:r>
      <w:r>
        <w:rPr>
          <w:rFonts w:ascii="Times New Roman" w:hAnsi="Times New Roman" w:cs="Times New Roman"/>
        </w:rPr>
        <w:t xml:space="preserve"> into code</w:t>
      </w:r>
      <w:r w:rsidR="00B2455C">
        <w:rPr>
          <w:rFonts w:ascii="Times New Roman" w:hAnsi="Times New Roman" w:cs="Times New Roman"/>
        </w:rPr>
        <w:t xml:space="preserve"> through standardised syntax and logical relationships.</w:t>
      </w:r>
      <w:r w:rsidR="005B69BF">
        <w:rPr>
          <w:rFonts w:ascii="Times New Roman" w:hAnsi="Times New Roman" w:cs="Times New Roman"/>
        </w:rPr>
        <w:t xml:space="preserve"> Here, some initial discrepancies between the technical capabilities of code and </w:t>
      </w:r>
      <w:r w:rsidR="00647D8D">
        <w:rPr>
          <w:rFonts w:ascii="Times New Roman" w:hAnsi="Times New Roman" w:cs="Times New Roman"/>
        </w:rPr>
        <w:t xml:space="preserve">semiotics </w:t>
      </w:r>
      <w:r w:rsidR="000E1907">
        <w:rPr>
          <w:rFonts w:ascii="Times New Roman" w:hAnsi="Times New Roman" w:cs="Times New Roman"/>
        </w:rPr>
        <w:t>were</w:t>
      </w:r>
      <w:r w:rsidR="001C68A2">
        <w:rPr>
          <w:rFonts w:ascii="Times New Roman" w:hAnsi="Times New Roman" w:cs="Times New Roman"/>
        </w:rPr>
        <w:t xml:space="preserve"> initially</w:t>
      </w:r>
      <w:r w:rsidR="00647D8D">
        <w:rPr>
          <w:rFonts w:ascii="Times New Roman" w:hAnsi="Times New Roman" w:cs="Times New Roman"/>
        </w:rPr>
        <w:t xml:space="preserve"> highlighted</w:t>
      </w:r>
      <w:r w:rsidR="0063697C">
        <w:rPr>
          <w:rFonts w:ascii="Times New Roman" w:hAnsi="Times New Roman" w:cs="Times New Roman"/>
        </w:rPr>
        <w:t>, for</w:t>
      </w:r>
      <w:r w:rsidR="005A5494">
        <w:rPr>
          <w:rFonts w:ascii="Times New Roman" w:hAnsi="Times New Roman" w:cs="Times New Roman"/>
        </w:rPr>
        <w:t xml:space="preserve"> example, the tendency of a machine to assume </w:t>
      </w:r>
      <w:r w:rsidR="00C57765">
        <w:rPr>
          <w:rFonts w:ascii="Times New Roman" w:hAnsi="Times New Roman" w:cs="Times New Roman"/>
        </w:rPr>
        <w:t xml:space="preserve">an unanswered Boolean query to have a </w:t>
      </w:r>
      <w:r w:rsidR="005A5494">
        <w:rPr>
          <w:rFonts w:ascii="Times New Roman" w:hAnsi="Times New Roman" w:cs="Times New Roman"/>
        </w:rPr>
        <w:t>‘false’ value</w:t>
      </w:r>
      <w:r w:rsidR="00C57765">
        <w:rPr>
          <w:rFonts w:ascii="Times New Roman" w:hAnsi="Times New Roman" w:cs="Times New Roman"/>
        </w:rPr>
        <w:t xml:space="preserve"> by default</w:t>
      </w:r>
      <w:r w:rsidR="001C68A2">
        <w:rPr>
          <w:rFonts w:ascii="Times New Roman" w:hAnsi="Times New Roman" w:cs="Times New Roman"/>
        </w:rPr>
        <w:t xml:space="preserve"> </w:t>
      </w:r>
      <w:r w:rsidR="0063697C">
        <w:rPr>
          <w:rFonts w:ascii="Times New Roman" w:hAnsi="Times New Roman" w:cs="Times New Roman"/>
        </w:rPr>
        <w:t>conflicting</w:t>
      </w:r>
      <w:r w:rsidR="001C68A2">
        <w:rPr>
          <w:rFonts w:ascii="Times New Roman" w:hAnsi="Times New Roman" w:cs="Times New Roman"/>
        </w:rPr>
        <w:t xml:space="preserve"> with the natural human understanding of ‘unknown’</w:t>
      </w:r>
      <w:r w:rsidR="0063697C">
        <w:rPr>
          <w:rFonts w:ascii="Times New Roman" w:hAnsi="Times New Roman" w:cs="Times New Roman"/>
        </w:rPr>
        <w:t>.</w:t>
      </w:r>
      <w:r w:rsidR="0063697C" w:rsidRPr="00FF395A">
        <w:rPr>
          <w:rStyle w:val="FootnoteReference"/>
        </w:rPr>
        <w:footnoteReference w:id="10"/>
      </w:r>
      <w:r w:rsidR="0067137E">
        <w:rPr>
          <w:rFonts w:ascii="Times New Roman" w:hAnsi="Times New Roman" w:cs="Times New Roman"/>
        </w:rPr>
        <w:t xml:space="preserve"> </w:t>
      </w:r>
      <w:r w:rsidR="00635017">
        <w:rPr>
          <w:rFonts w:ascii="Times New Roman" w:hAnsi="Times New Roman" w:cs="Times New Roman"/>
        </w:rPr>
        <w:t>Further, Leith critiques the logic used by Sergo et al. in their conversion,</w:t>
      </w:r>
      <w:r w:rsidR="00635017" w:rsidRPr="00FF395A">
        <w:rPr>
          <w:rStyle w:val="FootnoteReference"/>
        </w:rPr>
        <w:footnoteReference w:id="11"/>
      </w:r>
      <w:r w:rsidR="00635017">
        <w:rPr>
          <w:rFonts w:ascii="Times New Roman" w:hAnsi="Times New Roman" w:cs="Times New Roman"/>
        </w:rPr>
        <w:t xml:space="preserve"> and questions whether a purely logical reading of the legislation is truly representative of the judiciary’s interpretation process</w:t>
      </w:r>
      <w:r w:rsidR="0018558A">
        <w:rPr>
          <w:rFonts w:ascii="Times New Roman" w:hAnsi="Times New Roman" w:cs="Times New Roman"/>
        </w:rPr>
        <w:t>,</w:t>
      </w:r>
      <w:r w:rsidR="00635017" w:rsidRPr="00FF395A">
        <w:rPr>
          <w:rStyle w:val="FootnoteReference"/>
        </w:rPr>
        <w:footnoteReference w:id="12"/>
      </w:r>
      <w:r w:rsidR="0018558A">
        <w:rPr>
          <w:rFonts w:ascii="Times New Roman" w:hAnsi="Times New Roman" w:cs="Times New Roman"/>
        </w:rPr>
        <w:t xml:space="preserve"> though the extra-curial words of French CJ would indicate this concern is unfounded in Australia.</w:t>
      </w:r>
      <w:r w:rsidR="0018558A">
        <w:rPr>
          <w:rStyle w:val="FootnoteReference"/>
          <w:rFonts w:ascii="Times New Roman" w:hAnsi="Times New Roman" w:cs="Times New Roman"/>
        </w:rPr>
        <w:footnoteReference w:id="13"/>
      </w:r>
      <w:r w:rsidR="00635017">
        <w:rPr>
          <w:rFonts w:ascii="Times New Roman" w:hAnsi="Times New Roman" w:cs="Times New Roman"/>
        </w:rPr>
        <w:t xml:space="preserve"> </w:t>
      </w:r>
      <w:r w:rsidR="0018558A">
        <w:rPr>
          <w:rFonts w:ascii="Times New Roman" w:hAnsi="Times New Roman" w:cs="Times New Roman"/>
        </w:rPr>
        <w:t>Despite such critiques</w:t>
      </w:r>
      <w:r w:rsidR="00110E3E">
        <w:rPr>
          <w:rFonts w:ascii="Times New Roman" w:hAnsi="Times New Roman" w:cs="Times New Roman"/>
        </w:rPr>
        <w:t xml:space="preserve">, Sergo et al. </w:t>
      </w:r>
      <w:r w:rsidR="00EA444D">
        <w:rPr>
          <w:rFonts w:ascii="Times New Roman" w:hAnsi="Times New Roman" w:cs="Times New Roman"/>
        </w:rPr>
        <w:t>argued that their experiment proved a success</w:t>
      </w:r>
      <w:r w:rsidR="00635017">
        <w:rPr>
          <w:rFonts w:ascii="Times New Roman" w:hAnsi="Times New Roman" w:cs="Times New Roman"/>
        </w:rPr>
        <w:t xml:space="preserve"> within its limited scope</w:t>
      </w:r>
      <w:r w:rsidR="00EA444D">
        <w:rPr>
          <w:rFonts w:ascii="Times New Roman" w:hAnsi="Times New Roman" w:cs="Times New Roman"/>
        </w:rPr>
        <w:t>, serving as an example for future attempts at converting legal texts and processes into logic.</w:t>
      </w:r>
      <w:r w:rsidR="0093293D" w:rsidRPr="00FF395A">
        <w:rPr>
          <w:rStyle w:val="FootnoteReference"/>
        </w:rPr>
        <w:footnoteReference w:id="14"/>
      </w:r>
      <w:r w:rsidR="00DF2A0E">
        <w:rPr>
          <w:rFonts w:ascii="Times New Roman" w:hAnsi="Times New Roman" w:cs="Times New Roman"/>
        </w:rPr>
        <w:t xml:space="preserve"> Genesereth notes that </w:t>
      </w:r>
      <w:r w:rsidR="003E1916">
        <w:rPr>
          <w:rFonts w:ascii="Times New Roman" w:hAnsi="Times New Roman" w:cs="Times New Roman"/>
        </w:rPr>
        <w:t>Sergo et al.’s</w:t>
      </w:r>
      <w:r w:rsidR="00DF2A0E">
        <w:rPr>
          <w:rFonts w:ascii="Times New Roman" w:hAnsi="Times New Roman" w:cs="Times New Roman"/>
        </w:rPr>
        <w:t xml:space="preserve"> limitations</w:t>
      </w:r>
      <w:r w:rsidR="00DF2A0E" w:rsidRPr="00DF2A0E">
        <w:rPr>
          <w:rFonts w:ascii="Times New Roman" w:hAnsi="Times New Roman" w:cs="Times New Roman"/>
        </w:rPr>
        <w:t xml:space="preserve"> </w:t>
      </w:r>
      <w:r w:rsidR="003E1916">
        <w:rPr>
          <w:rFonts w:ascii="Times New Roman" w:hAnsi="Times New Roman" w:cs="Times New Roman"/>
        </w:rPr>
        <w:t>became manageable</w:t>
      </w:r>
      <w:r w:rsidR="00DF2A0E" w:rsidRPr="00DF2A0E">
        <w:rPr>
          <w:rFonts w:ascii="Times New Roman" w:hAnsi="Times New Roman" w:cs="Times New Roman"/>
        </w:rPr>
        <w:t xml:space="preserve"> </w:t>
      </w:r>
      <w:r w:rsidR="00DF2A0E">
        <w:rPr>
          <w:rFonts w:ascii="Times New Roman" w:hAnsi="Times New Roman" w:cs="Times New Roman"/>
        </w:rPr>
        <w:t>by the turn of the century</w:t>
      </w:r>
      <w:r w:rsidR="00DF2A0E" w:rsidRPr="00DF2A0E">
        <w:rPr>
          <w:rFonts w:ascii="Times New Roman" w:hAnsi="Times New Roman" w:cs="Times New Roman"/>
        </w:rPr>
        <w:t>,</w:t>
      </w:r>
      <w:r w:rsidR="00DF2A0E" w:rsidRPr="00FF395A">
        <w:rPr>
          <w:rStyle w:val="FootnoteReference"/>
        </w:rPr>
        <w:footnoteReference w:id="15"/>
      </w:r>
      <w:r w:rsidR="00DF2A0E" w:rsidRPr="00DF2A0E">
        <w:rPr>
          <w:rFonts w:ascii="Times New Roman" w:hAnsi="Times New Roman" w:cs="Times New Roman"/>
        </w:rPr>
        <w:t xml:space="preserve"> but</w:t>
      </w:r>
      <w:r w:rsidR="00DF2A0E">
        <w:rPr>
          <w:rFonts w:ascii="Times New Roman" w:hAnsi="Times New Roman" w:cs="Times New Roman"/>
        </w:rPr>
        <w:t xml:space="preserve"> raises broader and more inherent issues in the notion of </w:t>
      </w:r>
      <w:r w:rsidR="00DF2A0E" w:rsidRPr="00DF2A0E">
        <w:rPr>
          <w:rFonts w:ascii="Times New Roman" w:hAnsi="Times New Roman" w:cs="Times New Roman"/>
        </w:rPr>
        <w:t xml:space="preserve">RaC, such as </w:t>
      </w:r>
      <w:r w:rsidR="00DF2A0E">
        <w:rPr>
          <w:rFonts w:ascii="Times New Roman" w:hAnsi="Times New Roman" w:cs="Times New Roman"/>
        </w:rPr>
        <w:t>the</w:t>
      </w:r>
      <w:r w:rsidR="00DF2A0E" w:rsidRPr="00DF2A0E">
        <w:rPr>
          <w:rFonts w:ascii="Times New Roman" w:hAnsi="Times New Roman" w:cs="Times New Roman"/>
        </w:rPr>
        <w:t xml:space="preserve"> lack of interpretative or analytical skills in a computer program,</w:t>
      </w:r>
      <w:r w:rsidR="0093293D" w:rsidRPr="00FF395A">
        <w:rPr>
          <w:rStyle w:val="FootnoteReference"/>
        </w:rPr>
        <w:footnoteReference w:id="16"/>
      </w:r>
      <w:r w:rsidR="00DF2A0E" w:rsidRPr="00DF2A0E">
        <w:rPr>
          <w:rFonts w:ascii="Times New Roman" w:hAnsi="Times New Roman" w:cs="Times New Roman"/>
        </w:rPr>
        <w:t xml:space="preserve"> as well as the inherent formalist nature of algorithms.</w:t>
      </w:r>
      <w:r w:rsidR="0093293D" w:rsidRPr="00FF395A">
        <w:rPr>
          <w:rStyle w:val="FootnoteReference"/>
        </w:rPr>
        <w:footnoteReference w:id="17"/>
      </w:r>
      <w:r w:rsidR="00DF2A0E" w:rsidRPr="00DF2A0E">
        <w:rPr>
          <w:rFonts w:ascii="Times New Roman" w:hAnsi="Times New Roman" w:cs="Times New Roman"/>
        </w:rPr>
        <w:t xml:space="preserve"> Genesereth’s conclusion is that despite these limitations, RaC is still </w:t>
      </w:r>
      <w:r w:rsidR="00F53D7E">
        <w:rPr>
          <w:rFonts w:ascii="Times New Roman" w:hAnsi="Times New Roman" w:cs="Times New Roman"/>
        </w:rPr>
        <w:t>‘</w:t>
      </w:r>
      <w:r w:rsidR="00DF2A0E" w:rsidRPr="00DF2A0E">
        <w:rPr>
          <w:rFonts w:ascii="Times New Roman" w:hAnsi="Times New Roman" w:cs="Times New Roman"/>
        </w:rPr>
        <w:t>the next step in the evolution of legal system</w:t>
      </w:r>
      <w:r w:rsidR="00F53D7E">
        <w:rPr>
          <w:rFonts w:ascii="Times New Roman" w:hAnsi="Times New Roman" w:cs="Times New Roman"/>
        </w:rPr>
        <w:t>’</w:t>
      </w:r>
      <w:r w:rsidR="00DF2A0E" w:rsidRPr="00DF2A0E">
        <w:rPr>
          <w:rFonts w:ascii="Times New Roman" w:hAnsi="Times New Roman" w:cs="Times New Roman"/>
        </w:rPr>
        <w:t xml:space="preserve"> and should be deployed in areas of law in which the aforementioned skills are not required. </w:t>
      </w:r>
    </w:p>
    <w:p w14:paraId="42654280" w14:textId="759CA7A0" w:rsidR="00F72179" w:rsidRDefault="00A55BB3" w:rsidP="00E67332">
      <w:pPr>
        <w:spacing w:line="480" w:lineRule="auto"/>
        <w:jc w:val="both"/>
        <w:rPr>
          <w:rFonts w:ascii="Times New Roman" w:hAnsi="Times New Roman" w:cs="Times New Roman"/>
        </w:rPr>
      </w:pPr>
      <w:r>
        <w:rPr>
          <w:rFonts w:ascii="Times New Roman" w:hAnsi="Times New Roman" w:cs="Times New Roman"/>
        </w:rPr>
        <w:lastRenderedPageBreak/>
        <w:t>Since the turn of the century</w:t>
      </w:r>
      <w:r w:rsidR="0093293D">
        <w:rPr>
          <w:rFonts w:ascii="Times New Roman" w:hAnsi="Times New Roman" w:cs="Times New Roman"/>
        </w:rPr>
        <w:t>,</w:t>
      </w:r>
      <w:r w:rsidR="008C6324">
        <w:rPr>
          <w:rFonts w:ascii="Times New Roman" w:hAnsi="Times New Roman" w:cs="Times New Roman"/>
        </w:rPr>
        <w:t xml:space="preserve"> </w:t>
      </w:r>
      <w:r w:rsidR="0093293D">
        <w:rPr>
          <w:rFonts w:ascii="Times New Roman" w:hAnsi="Times New Roman" w:cs="Times New Roman"/>
        </w:rPr>
        <w:t>machine-executable law</w:t>
      </w:r>
      <w:r w:rsidR="006619C0">
        <w:rPr>
          <w:rFonts w:ascii="Times New Roman" w:hAnsi="Times New Roman" w:cs="Times New Roman"/>
        </w:rPr>
        <w:t xml:space="preserve"> has been hypothesised </w:t>
      </w:r>
      <w:r w:rsidR="0093293D">
        <w:rPr>
          <w:rFonts w:ascii="Times New Roman" w:hAnsi="Times New Roman" w:cs="Times New Roman"/>
        </w:rPr>
        <w:t>through</w:t>
      </w:r>
      <w:r w:rsidR="008C6324">
        <w:rPr>
          <w:rFonts w:ascii="Times New Roman" w:hAnsi="Times New Roman" w:cs="Times New Roman"/>
        </w:rPr>
        <w:t xml:space="preserve"> several methods</w:t>
      </w:r>
      <w:r w:rsidR="00D75282">
        <w:rPr>
          <w:rFonts w:ascii="Times New Roman" w:hAnsi="Times New Roman" w:cs="Times New Roman"/>
        </w:rPr>
        <w:t xml:space="preserve">. </w:t>
      </w:r>
      <w:r w:rsidR="00DA7FE3">
        <w:rPr>
          <w:rFonts w:ascii="Times New Roman" w:hAnsi="Times New Roman" w:cs="Times New Roman"/>
        </w:rPr>
        <w:t>In pursuit of Leibniz’s envisioned computational legal framework, Wolfram</w:t>
      </w:r>
      <w:r w:rsidR="00EF28D9" w:rsidRPr="00FF395A">
        <w:rPr>
          <w:rStyle w:val="FootnoteReference"/>
        </w:rPr>
        <w:footnoteReference w:id="18"/>
      </w:r>
      <w:r w:rsidR="00DA7FE3">
        <w:rPr>
          <w:rFonts w:ascii="Times New Roman" w:hAnsi="Times New Roman" w:cs="Times New Roman"/>
        </w:rPr>
        <w:t xml:space="preserve"> </w:t>
      </w:r>
      <w:r w:rsidR="000D2708">
        <w:rPr>
          <w:rFonts w:ascii="Times New Roman" w:hAnsi="Times New Roman" w:cs="Times New Roman"/>
        </w:rPr>
        <w:t xml:space="preserve">advocates </w:t>
      </w:r>
      <w:r w:rsidR="00366718">
        <w:rPr>
          <w:rFonts w:ascii="Times New Roman" w:hAnsi="Times New Roman" w:cs="Times New Roman"/>
        </w:rPr>
        <w:t>for a natural language approach which would involve</w:t>
      </w:r>
      <w:r w:rsidR="00B207EB">
        <w:rPr>
          <w:rFonts w:ascii="Times New Roman" w:hAnsi="Times New Roman" w:cs="Times New Roman"/>
        </w:rPr>
        <w:t xml:space="preserve"> the manual classification of objects and legal concepts</w:t>
      </w:r>
      <w:r w:rsidR="00103FD1">
        <w:rPr>
          <w:rFonts w:ascii="Times New Roman" w:hAnsi="Times New Roman" w:cs="Times New Roman"/>
        </w:rPr>
        <w:t>,</w:t>
      </w:r>
      <w:r w:rsidR="00B15E23" w:rsidRPr="00FF395A">
        <w:rPr>
          <w:rStyle w:val="FootnoteReference"/>
        </w:rPr>
        <w:footnoteReference w:id="19"/>
      </w:r>
      <w:r w:rsidR="0018320B">
        <w:rPr>
          <w:rFonts w:ascii="Times New Roman" w:hAnsi="Times New Roman" w:cs="Times New Roman"/>
        </w:rPr>
        <w:t xml:space="preserve"> </w:t>
      </w:r>
      <w:r w:rsidR="00921948">
        <w:rPr>
          <w:rFonts w:ascii="Times New Roman" w:hAnsi="Times New Roman" w:cs="Times New Roman"/>
        </w:rPr>
        <w:t>while</w:t>
      </w:r>
      <w:r w:rsidR="00803376">
        <w:rPr>
          <w:rFonts w:ascii="Times New Roman" w:hAnsi="Times New Roman" w:cs="Times New Roman"/>
        </w:rPr>
        <w:t xml:space="preserve"> courts </w:t>
      </w:r>
      <w:r w:rsidR="007D6A24">
        <w:rPr>
          <w:rFonts w:ascii="Times New Roman" w:hAnsi="Times New Roman" w:cs="Times New Roman"/>
        </w:rPr>
        <w:t xml:space="preserve">in the United States </w:t>
      </w:r>
      <w:r w:rsidR="00803376">
        <w:rPr>
          <w:rFonts w:ascii="Times New Roman" w:hAnsi="Times New Roman" w:cs="Times New Roman"/>
        </w:rPr>
        <w:t>have adopted machine-learning</w:t>
      </w:r>
      <w:r w:rsidR="004E678C">
        <w:rPr>
          <w:rFonts w:ascii="Times New Roman" w:hAnsi="Times New Roman" w:cs="Times New Roman"/>
        </w:rPr>
        <w:t xml:space="preserve"> techniques to assist in tasks such as recidivism prediction</w:t>
      </w:r>
      <w:r w:rsidR="007D6A24">
        <w:rPr>
          <w:rFonts w:ascii="Times New Roman" w:hAnsi="Times New Roman" w:cs="Times New Roman"/>
        </w:rPr>
        <w:t>.</w:t>
      </w:r>
      <w:r w:rsidR="007D6A24" w:rsidRPr="00FF395A">
        <w:rPr>
          <w:rStyle w:val="FootnoteReference"/>
        </w:rPr>
        <w:footnoteReference w:id="20"/>
      </w:r>
      <w:r w:rsidR="001A7A16">
        <w:rPr>
          <w:rFonts w:ascii="Times New Roman" w:hAnsi="Times New Roman" w:cs="Times New Roman"/>
        </w:rPr>
        <w:t xml:space="preserve"> Ultimately, however, </w:t>
      </w:r>
      <w:r w:rsidR="00BA0B54">
        <w:rPr>
          <w:rFonts w:ascii="Times New Roman" w:hAnsi="Times New Roman" w:cs="Times New Roman"/>
        </w:rPr>
        <w:t xml:space="preserve">initial </w:t>
      </w:r>
      <w:r w:rsidR="001A7A16">
        <w:rPr>
          <w:rFonts w:ascii="Times New Roman" w:hAnsi="Times New Roman" w:cs="Times New Roman"/>
        </w:rPr>
        <w:t>efforts in developing a</w:t>
      </w:r>
      <w:r w:rsidR="005C1326">
        <w:rPr>
          <w:rFonts w:ascii="Times New Roman" w:hAnsi="Times New Roman" w:cs="Times New Roman"/>
        </w:rPr>
        <w:t>n</w:t>
      </w:r>
      <w:r w:rsidR="001A7A16">
        <w:rPr>
          <w:rFonts w:ascii="Times New Roman" w:hAnsi="Times New Roman" w:cs="Times New Roman"/>
        </w:rPr>
        <w:t xml:space="preserve"> RaC framework have </w:t>
      </w:r>
      <w:r w:rsidR="00792548">
        <w:rPr>
          <w:rFonts w:ascii="Times New Roman" w:hAnsi="Times New Roman" w:cs="Times New Roman"/>
        </w:rPr>
        <w:t xml:space="preserve">operated within a deterministic </w:t>
      </w:r>
      <w:r w:rsidR="00F53D7E">
        <w:rPr>
          <w:rFonts w:ascii="Times New Roman" w:hAnsi="Times New Roman" w:cs="Times New Roman"/>
        </w:rPr>
        <w:t>‘</w:t>
      </w:r>
      <w:r w:rsidR="00792548" w:rsidRPr="00792548">
        <w:rPr>
          <w:rFonts w:ascii="Times New Roman" w:hAnsi="Times New Roman" w:cs="Times New Roman"/>
        </w:rPr>
        <w:t xml:space="preserve">If </w:t>
      </w:r>
      <w:r w:rsidR="00792548" w:rsidRPr="00792548">
        <w:rPr>
          <w:rFonts w:ascii="Times New Roman" w:hAnsi="Times New Roman" w:cs="Times New Roman"/>
          <w:i/>
          <w:iCs/>
        </w:rPr>
        <w:t>x,</w:t>
      </w:r>
      <w:r w:rsidR="00792548" w:rsidRPr="00792548">
        <w:rPr>
          <w:rFonts w:ascii="Times New Roman" w:hAnsi="Times New Roman" w:cs="Times New Roman"/>
        </w:rPr>
        <w:t xml:space="preserve"> then </w:t>
      </w:r>
      <w:r w:rsidR="00792548" w:rsidRPr="00792548">
        <w:rPr>
          <w:rFonts w:ascii="Times New Roman" w:hAnsi="Times New Roman" w:cs="Times New Roman"/>
          <w:i/>
          <w:iCs/>
        </w:rPr>
        <w:t>y</w:t>
      </w:r>
      <w:r w:rsidR="00F53D7E">
        <w:rPr>
          <w:rFonts w:ascii="Times New Roman" w:hAnsi="Times New Roman" w:cs="Times New Roman"/>
        </w:rPr>
        <w:t>’</w:t>
      </w:r>
      <w:r w:rsidR="00792548" w:rsidRPr="00792548">
        <w:rPr>
          <w:rFonts w:ascii="Times New Roman" w:hAnsi="Times New Roman" w:cs="Times New Roman"/>
        </w:rPr>
        <w:t xml:space="preserve"> logic.</w:t>
      </w:r>
      <w:r w:rsidR="00792548" w:rsidRPr="00FF395A">
        <w:rPr>
          <w:rStyle w:val="FootnoteReference"/>
        </w:rPr>
        <w:footnoteReference w:id="21"/>
      </w:r>
      <w:r w:rsidR="00792548">
        <w:rPr>
          <w:rFonts w:ascii="Times New Roman" w:hAnsi="Times New Roman" w:cs="Times New Roman"/>
        </w:rPr>
        <w:t xml:space="preserve"> </w:t>
      </w:r>
    </w:p>
    <w:p w14:paraId="69733296" w14:textId="4C2B786C" w:rsidR="00BD1100" w:rsidRDefault="00B15E23" w:rsidP="00E67332">
      <w:pPr>
        <w:spacing w:line="480" w:lineRule="auto"/>
        <w:jc w:val="both"/>
        <w:rPr>
          <w:rFonts w:ascii="Times New Roman" w:hAnsi="Times New Roman" w:cs="Times New Roman"/>
        </w:rPr>
      </w:pPr>
      <w:r>
        <w:rPr>
          <w:rFonts w:ascii="Times New Roman" w:hAnsi="Times New Roman" w:cs="Times New Roman"/>
        </w:rPr>
        <w:t>Over the last decade</w:t>
      </w:r>
      <w:r w:rsidR="00881EA0">
        <w:rPr>
          <w:rFonts w:ascii="Times New Roman" w:hAnsi="Times New Roman" w:cs="Times New Roman"/>
        </w:rPr>
        <w:t>,</w:t>
      </w:r>
      <w:r w:rsidR="00493F52">
        <w:rPr>
          <w:rFonts w:ascii="Times New Roman" w:hAnsi="Times New Roman" w:cs="Times New Roman"/>
        </w:rPr>
        <w:t xml:space="preserve"> focus </w:t>
      </w:r>
      <w:r w:rsidR="00DF2A0E">
        <w:rPr>
          <w:rFonts w:ascii="Times New Roman" w:hAnsi="Times New Roman" w:cs="Times New Roman"/>
        </w:rPr>
        <w:t>has</w:t>
      </w:r>
      <w:r w:rsidR="00493F52">
        <w:rPr>
          <w:rFonts w:ascii="Times New Roman" w:hAnsi="Times New Roman" w:cs="Times New Roman"/>
        </w:rPr>
        <w:t xml:space="preserve"> moved from </w:t>
      </w:r>
      <w:r w:rsidR="00C14E86">
        <w:rPr>
          <w:rFonts w:ascii="Times New Roman" w:hAnsi="Times New Roman" w:cs="Times New Roman"/>
        </w:rPr>
        <w:t xml:space="preserve">programming theoretical conversions of the law to mapping out the processes by which </w:t>
      </w:r>
      <w:r w:rsidR="0065753A">
        <w:rPr>
          <w:rFonts w:ascii="Times New Roman" w:hAnsi="Times New Roman" w:cs="Times New Roman"/>
        </w:rPr>
        <w:t>computational law</w:t>
      </w:r>
      <w:r w:rsidR="00C14E86">
        <w:rPr>
          <w:rFonts w:ascii="Times New Roman" w:hAnsi="Times New Roman" w:cs="Times New Roman"/>
        </w:rPr>
        <w:t xml:space="preserve"> could be </w:t>
      </w:r>
      <w:r w:rsidR="0065753A">
        <w:rPr>
          <w:rFonts w:ascii="Times New Roman" w:hAnsi="Times New Roman" w:cs="Times New Roman"/>
        </w:rPr>
        <w:t xml:space="preserve">practically </w:t>
      </w:r>
      <w:r w:rsidR="00C14E86">
        <w:rPr>
          <w:rFonts w:ascii="Times New Roman" w:hAnsi="Times New Roman" w:cs="Times New Roman"/>
        </w:rPr>
        <w:t>implemented</w:t>
      </w:r>
      <w:r w:rsidR="0065753A">
        <w:rPr>
          <w:rFonts w:ascii="Times New Roman" w:hAnsi="Times New Roman" w:cs="Times New Roman"/>
        </w:rPr>
        <w:t>.</w:t>
      </w:r>
      <w:r w:rsidR="00881EA0">
        <w:rPr>
          <w:rFonts w:ascii="Times New Roman" w:hAnsi="Times New Roman" w:cs="Times New Roman"/>
        </w:rPr>
        <w:t xml:space="preserve"> Indeed, fragmented solutions </w:t>
      </w:r>
      <w:r w:rsidR="00B24E3D">
        <w:rPr>
          <w:rFonts w:ascii="Times New Roman" w:hAnsi="Times New Roman" w:cs="Times New Roman"/>
        </w:rPr>
        <w:t xml:space="preserve">are already being rapidly </w:t>
      </w:r>
      <w:r w:rsidR="00FA56C5">
        <w:rPr>
          <w:rFonts w:ascii="Times New Roman" w:hAnsi="Times New Roman" w:cs="Times New Roman"/>
        </w:rPr>
        <w:t>introduced particularly</w:t>
      </w:r>
      <w:r w:rsidR="00B24E3D">
        <w:rPr>
          <w:rFonts w:ascii="Times New Roman" w:hAnsi="Times New Roman" w:cs="Times New Roman"/>
        </w:rPr>
        <w:t xml:space="preserve"> in the </w:t>
      </w:r>
      <w:r w:rsidR="00FA56C5">
        <w:rPr>
          <w:rFonts w:ascii="Times New Roman" w:hAnsi="Times New Roman" w:cs="Times New Roman"/>
        </w:rPr>
        <w:t>financial</w:t>
      </w:r>
      <w:r w:rsidR="00B24E3D">
        <w:rPr>
          <w:rFonts w:ascii="Times New Roman" w:hAnsi="Times New Roman" w:cs="Times New Roman"/>
        </w:rPr>
        <w:t xml:space="preserve"> sector, </w:t>
      </w:r>
      <w:r w:rsidR="00E850C2">
        <w:rPr>
          <w:rFonts w:ascii="Times New Roman" w:hAnsi="Times New Roman" w:cs="Times New Roman"/>
        </w:rPr>
        <w:t xml:space="preserve">with </w:t>
      </w:r>
      <w:r w:rsidR="00FA56C5">
        <w:rPr>
          <w:rFonts w:ascii="Times New Roman" w:hAnsi="Times New Roman" w:cs="Times New Roman"/>
        </w:rPr>
        <w:t xml:space="preserve">Juniper Research </w:t>
      </w:r>
      <w:r w:rsidR="0049437A">
        <w:rPr>
          <w:rFonts w:ascii="Times New Roman" w:hAnsi="Times New Roman" w:cs="Times New Roman"/>
        </w:rPr>
        <w:t>forecasting</w:t>
      </w:r>
      <w:r w:rsidR="00FA56C5">
        <w:rPr>
          <w:rFonts w:ascii="Times New Roman" w:hAnsi="Times New Roman" w:cs="Times New Roman"/>
        </w:rPr>
        <w:t xml:space="preserve"> an increase from</w:t>
      </w:r>
      <w:r w:rsidR="00F52D38">
        <w:rPr>
          <w:rFonts w:ascii="Times New Roman" w:hAnsi="Times New Roman" w:cs="Times New Roman"/>
        </w:rPr>
        <w:t xml:space="preserve"> USD</w:t>
      </w:r>
      <w:r w:rsidR="00FA56C5">
        <w:rPr>
          <w:rFonts w:ascii="Times New Roman" w:hAnsi="Times New Roman" w:cs="Times New Roman"/>
        </w:rPr>
        <w:t xml:space="preserve"> $277</w:t>
      </w:r>
      <w:r w:rsidR="0049437A">
        <w:rPr>
          <w:rFonts w:ascii="Times New Roman" w:hAnsi="Times New Roman" w:cs="Times New Roman"/>
        </w:rPr>
        <w:t>bn to $316bn g</w:t>
      </w:r>
      <w:r w:rsidR="00FA56C5">
        <w:rPr>
          <w:rFonts w:ascii="Times New Roman" w:hAnsi="Times New Roman" w:cs="Times New Roman"/>
        </w:rPr>
        <w:t>lobal annual expenditure by banks on compliance and regulatory obligations</w:t>
      </w:r>
      <w:r w:rsidR="0049437A">
        <w:rPr>
          <w:rFonts w:ascii="Times New Roman" w:hAnsi="Times New Roman" w:cs="Times New Roman"/>
        </w:rPr>
        <w:t xml:space="preserve"> between 2019 and 2024.</w:t>
      </w:r>
      <w:r w:rsidR="0049437A" w:rsidRPr="00FF395A">
        <w:rPr>
          <w:rStyle w:val="FootnoteReference"/>
        </w:rPr>
        <w:footnoteReference w:id="22"/>
      </w:r>
      <w:r w:rsidR="0049437A">
        <w:rPr>
          <w:rFonts w:ascii="Times New Roman" w:hAnsi="Times New Roman" w:cs="Times New Roman"/>
        </w:rPr>
        <w:t xml:space="preserve"> In light of the </w:t>
      </w:r>
      <w:r w:rsidR="005B5B97">
        <w:rPr>
          <w:rFonts w:ascii="Times New Roman" w:hAnsi="Times New Roman" w:cs="Times New Roman"/>
        </w:rPr>
        <w:t>Hayne Royal Commission</w:t>
      </w:r>
      <w:r w:rsidR="005B5B97" w:rsidRPr="00FF395A">
        <w:rPr>
          <w:rStyle w:val="FootnoteReference"/>
        </w:rPr>
        <w:footnoteReference w:id="23"/>
      </w:r>
      <w:r w:rsidR="005B5B97">
        <w:rPr>
          <w:rFonts w:ascii="Times New Roman" w:hAnsi="Times New Roman" w:cs="Times New Roman"/>
        </w:rPr>
        <w:t xml:space="preserve"> and Westpac’s ongoing dispute with AUSTRAC,</w:t>
      </w:r>
      <w:r w:rsidR="005B5B97" w:rsidRPr="00FF395A">
        <w:rPr>
          <w:rStyle w:val="FootnoteReference"/>
        </w:rPr>
        <w:footnoteReference w:id="24"/>
      </w:r>
      <w:r w:rsidR="005B5B97">
        <w:rPr>
          <w:rFonts w:ascii="Times New Roman" w:hAnsi="Times New Roman" w:cs="Times New Roman"/>
        </w:rPr>
        <w:t xml:space="preserve"> Australia’s own compliance expenditure </w:t>
      </w:r>
      <w:r w:rsidR="007D1270">
        <w:rPr>
          <w:rFonts w:ascii="Times New Roman" w:hAnsi="Times New Roman" w:cs="Times New Roman"/>
        </w:rPr>
        <w:t>can be expected to</w:t>
      </w:r>
      <w:r w:rsidR="005B5B97">
        <w:rPr>
          <w:rFonts w:ascii="Times New Roman" w:hAnsi="Times New Roman" w:cs="Times New Roman"/>
        </w:rPr>
        <w:t xml:space="preserve"> face proportionally similar growth, </w:t>
      </w:r>
      <w:r w:rsidR="0077337C">
        <w:rPr>
          <w:rFonts w:ascii="Times New Roman" w:hAnsi="Times New Roman" w:cs="Times New Roman"/>
        </w:rPr>
        <w:t>threatening</w:t>
      </w:r>
      <w:r w:rsidR="005B5B97">
        <w:rPr>
          <w:rFonts w:ascii="Times New Roman" w:hAnsi="Times New Roman" w:cs="Times New Roman"/>
        </w:rPr>
        <w:t xml:space="preserve"> </w:t>
      </w:r>
      <w:r w:rsidR="00505ACC">
        <w:rPr>
          <w:rFonts w:ascii="Times New Roman" w:hAnsi="Times New Roman" w:cs="Times New Roman"/>
        </w:rPr>
        <w:t>the sustainability of</w:t>
      </w:r>
      <w:r w:rsidR="005B5B97">
        <w:rPr>
          <w:rFonts w:ascii="Times New Roman" w:hAnsi="Times New Roman" w:cs="Times New Roman"/>
        </w:rPr>
        <w:t xml:space="preserve"> a non-significant </w:t>
      </w:r>
      <w:r w:rsidR="005B5B97">
        <w:rPr>
          <w:rFonts w:ascii="Times New Roman" w:hAnsi="Times New Roman" w:cs="Times New Roman"/>
        </w:rPr>
        <w:lastRenderedPageBreak/>
        <w:t>portion of smaller financial services.</w:t>
      </w:r>
      <w:r w:rsidR="005B5B97" w:rsidRPr="00FF395A">
        <w:rPr>
          <w:rStyle w:val="FootnoteReference"/>
        </w:rPr>
        <w:footnoteReference w:id="25"/>
      </w:r>
      <w:r w:rsidR="00951225">
        <w:rPr>
          <w:rFonts w:ascii="Times New Roman" w:hAnsi="Times New Roman" w:cs="Times New Roman"/>
        </w:rPr>
        <w:t xml:space="preserve"> </w:t>
      </w:r>
      <w:r w:rsidR="0027456E">
        <w:rPr>
          <w:rFonts w:ascii="Times New Roman" w:hAnsi="Times New Roman" w:cs="Times New Roman"/>
        </w:rPr>
        <w:t xml:space="preserve">Beyond the financial costs however, the OECD </w:t>
      </w:r>
      <w:r w:rsidR="00FC318E">
        <w:rPr>
          <w:rFonts w:ascii="Times New Roman" w:hAnsi="Times New Roman" w:cs="Times New Roman"/>
        </w:rPr>
        <w:t>identify</w:t>
      </w:r>
      <w:r w:rsidR="0062032A">
        <w:rPr>
          <w:rFonts w:ascii="Times New Roman" w:hAnsi="Times New Roman" w:cs="Times New Roman"/>
        </w:rPr>
        <w:t xml:space="preserve"> a serious legal risk</w:t>
      </w:r>
      <w:r w:rsidR="00D21191">
        <w:rPr>
          <w:rFonts w:ascii="Times New Roman" w:hAnsi="Times New Roman" w:cs="Times New Roman"/>
        </w:rPr>
        <w:t xml:space="preserve"> in a status quo which sees each individual private entit</w:t>
      </w:r>
      <w:r w:rsidR="005523B9">
        <w:rPr>
          <w:rFonts w:ascii="Times New Roman" w:hAnsi="Times New Roman" w:cs="Times New Roman"/>
        </w:rPr>
        <w:t>ies</w:t>
      </w:r>
      <w:r w:rsidR="00163055">
        <w:rPr>
          <w:rFonts w:ascii="Times New Roman" w:hAnsi="Times New Roman" w:cs="Times New Roman"/>
        </w:rPr>
        <w:t xml:space="preserve"> separately interpreting the law in their own ways</w:t>
      </w:r>
      <w:r w:rsidR="00B65FE1">
        <w:rPr>
          <w:rFonts w:ascii="Times New Roman" w:hAnsi="Times New Roman" w:cs="Times New Roman"/>
        </w:rPr>
        <w:t>, resulting in a variety of software solutions which are proprietar</w:t>
      </w:r>
      <w:r w:rsidR="00CA6003">
        <w:rPr>
          <w:rFonts w:ascii="Times New Roman" w:hAnsi="Times New Roman" w:cs="Times New Roman"/>
        </w:rPr>
        <w:t>ily protected and therefore cannot be checked by external legal experts.</w:t>
      </w:r>
      <w:r w:rsidR="000753C1" w:rsidRPr="00FF395A">
        <w:rPr>
          <w:rStyle w:val="FootnoteReference"/>
        </w:rPr>
        <w:footnoteReference w:id="26"/>
      </w:r>
      <w:r w:rsidR="00CB7044">
        <w:rPr>
          <w:rFonts w:ascii="Times New Roman" w:hAnsi="Times New Roman" w:cs="Times New Roman"/>
        </w:rPr>
        <w:t xml:space="preserve"> </w:t>
      </w:r>
      <w:r w:rsidR="009F1337">
        <w:rPr>
          <w:rFonts w:ascii="Times New Roman" w:hAnsi="Times New Roman" w:cs="Times New Roman"/>
        </w:rPr>
        <w:t>I</w:t>
      </w:r>
      <w:r w:rsidR="00A70275">
        <w:rPr>
          <w:rFonts w:ascii="Times New Roman" w:hAnsi="Times New Roman" w:cs="Times New Roman"/>
        </w:rPr>
        <w:t xml:space="preserve">t is </w:t>
      </w:r>
      <w:r w:rsidR="00DC7E7A">
        <w:rPr>
          <w:rFonts w:ascii="Times New Roman" w:hAnsi="Times New Roman" w:cs="Times New Roman"/>
        </w:rPr>
        <w:t>therefore no surprise</w:t>
      </w:r>
      <w:r w:rsidR="00A70275">
        <w:rPr>
          <w:rFonts w:ascii="Times New Roman" w:hAnsi="Times New Roman" w:cs="Times New Roman"/>
        </w:rPr>
        <w:t xml:space="preserve"> that the Rules as Code initiative is being pursued in a variety of forms worldwide,</w:t>
      </w:r>
      <w:r w:rsidR="00BE124C" w:rsidRPr="00FF395A">
        <w:rPr>
          <w:rStyle w:val="FootnoteReference"/>
        </w:rPr>
        <w:footnoteReference w:id="27"/>
      </w:r>
      <w:r w:rsidR="00D31FF9">
        <w:rPr>
          <w:rFonts w:ascii="Times New Roman" w:hAnsi="Times New Roman" w:cs="Times New Roman"/>
        </w:rPr>
        <w:t xml:space="preserve"> though such reforms carry with them risks as well.</w:t>
      </w:r>
    </w:p>
    <w:p w14:paraId="1472B286" w14:textId="3DE1D9EC" w:rsidR="00BB57B8" w:rsidRDefault="00BB57B8" w:rsidP="00E67332">
      <w:pPr>
        <w:spacing w:line="480" w:lineRule="auto"/>
        <w:jc w:val="both"/>
        <w:rPr>
          <w:rFonts w:ascii="Times New Roman" w:hAnsi="Times New Roman" w:cs="Times New Roman"/>
        </w:rPr>
      </w:pPr>
      <w:r>
        <w:rPr>
          <w:rFonts w:ascii="Times New Roman" w:hAnsi="Times New Roman" w:cs="Times New Roman"/>
        </w:rPr>
        <w:t xml:space="preserve">Though </w:t>
      </w:r>
      <w:r w:rsidR="00831DB4">
        <w:rPr>
          <w:rFonts w:ascii="Times New Roman" w:hAnsi="Times New Roman" w:cs="Times New Roman"/>
        </w:rPr>
        <w:t xml:space="preserve">an RaC framework is yet to be installed in a significant </w:t>
      </w:r>
      <w:r w:rsidR="00BC555C">
        <w:rPr>
          <w:rFonts w:ascii="Times New Roman" w:hAnsi="Times New Roman" w:cs="Times New Roman"/>
        </w:rPr>
        <w:t xml:space="preserve">sense </w:t>
      </w:r>
      <w:r w:rsidR="00B15E23">
        <w:rPr>
          <w:rFonts w:ascii="Times New Roman" w:hAnsi="Times New Roman" w:cs="Times New Roman"/>
        </w:rPr>
        <w:t>by any government administration</w:t>
      </w:r>
      <w:r w:rsidR="00BC555C">
        <w:rPr>
          <w:rFonts w:ascii="Times New Roman" w:hAnsi="Times New Roman" w:cs="Times New Roman"/>
        </w:rPr>
        <w:t xml:space="preserve">, logic and data-driven </w:t>
      </w:r>
      <w:r w:rsidR="00C37CAC">
        <w:rPr>
          <w:rFonts w:ascii="Times New Roman" w:hAnsi="Times New Roman" w:cs="Times New Roman"/>
        </w:rPr>
        <w:t xml:space="preserve">legal decision-making software is being deployed </w:t>
      </w:r>
      <w:r w:rsidR="00BF0CD5">
        <w:rPr>
          <w:rFonts w:ascii="Times New Roman" w:hAnsi="Times New Roman" w:cs="Times New Roman"/>
        </w:rPr>
        <w:t>both commercially and publicly at a rapid pace, providing lessons to be considered in any potential RaC implementation.</w:t>
      </w:r>
      <w:r w:rsidR="003E2D56">
        <w:rPr>
          <w:rFonts w:ascii="Times New Roman" w:hAnsi="Times New Roman" w:cs="Times New Roman"/>
        </w:rPr>
        <w:t xml:space="preserve"> </w:t>
      </w:r>
      <w:r w:rsidR="00B15E23">
        <w:rPr>
          <w:rFonts w:ascii="Times New Roman" w:hAnsi="Times New Roman" w:cs="Times New Roman"/>
        </w:rPr>
        <w:t>Critics such as Starr</w:t>
      </w:r>
      <w:r w:rsidR="00141674">
        <w:rPr>
          <w:rFonts w:ascii="Times New Roman" w:hAnsi="Times New Roman" w:cs="Times New Roman"/>
        </w:rPr>
        <w:t>,</w:t>
      </w:r>
      <w:r w:rsidR="00B15E23" w:rsidRPr="00FF395A">
        <w:rPr>
          <w:rStyle w:val="FootnoteReference"/>
        </w:rPr>
        <w:footnoteReference w:id="28"/>
      </w:r>
      <w:r w:rsidR="00141674">
        <w:rPr>
          <w:rFonts w:ascii="Times New Roman" w:hAnsi="Times New Roman" w:cs="Times New Roman"/>
        </w:rPr>
        <w:t xml:space="preserve"> Liu, Lin &amp; Chen</w:t>
      </w:r>
      <w:r w:rsidR="00141674" w:rsidRPr="00FF395A">
        <w:rPr>
          <w:rStyle w:val="FootnoteReference"/>
        </w:rPr>
        <w:footnoteReference w:id="29"/>
      </w:r>
      <w:r w:rsidR="00141674">
        <w:rPr>
          <w:rFonts w:ascii="Times New Roman" w:hAnsi="Times New Roman" w:cs="Times New Roman"/>
        </w:rPr>
        <w:t xml:space="preserve"> and</w:t>
      </w:r>
      <w:r w:rsidR="00B15E23">
        <w:rPr>
          <w:rFonts w:ascii="Times New Roman" w:hAnsi="Times New Roman" w:cs="Times New Roman"/>
        </w:rPr>
        <w:t xml:space="preserve"> Larson et al.</w:t>
      </w:r>
      <w:r w:rsidR="00B15E23" w:rsidRPr="00FF395A">
        <w:rPr>
          <w:rStyle w:val="FootnoteReference"/>
        </w:rPr>
        <w:footnoteReference w:id="30"/>
      </w:r>
      <w:r w:rsidR="00B6585E">
        <w:rPr>
          <w:rFonts w:ascii="Times New Roman" w:hAnsi="Times New Roman" w:cs="Times New Roman"/>
        </w:rPr>
        <w:t xml:space="preserve"> highlight the potential</w:t>
      </w:r>
      <w:r w:rsidR="00990B44">
        <w:rPr>
          <w:rFonts w:ascii="Times New Roman" w:hAnsi="Times New Roman" w:cs="Times New Roman"/>
        </w:rPr>
        <w:t xml:space="preserve"> for </w:t>
      </w:r>
      <w:r w:rsidR="008D771F">
        <w:rPr>
          <w:rFonts w:ascii="Times New Roman" w:hAnsi="Times New Roman" w:cs="Times New Roman"/>
        </w:rPr>
        <w:t xml:space="preserve">automated decision-making to exacerbate </w:t>
      </w:r>
      <w:r w:rsidR="00301598">
        <w:rPr>
          <w:rFonts w:ascii="Times New Roman" w:hAnsi="Times New Roman" w:cs="Times New Roman"/>
        </w:rPr>
        <w:t xml:space="preserve">discriminatory </w:t>
      </w:r>
      <w:r w:rsidR="00AE3D72">
        <w:rPr>
          <w:rFonts w:ascii="Times New Roman" w:hAnsi="Times New Roman" w:cs="Times New Roman"/>
        </w:rPr>
        <w:t>biases already present in society,</w:t>
      </w:r>
      <w:r w:rsidR="008C0EE1">
        <w:rPr>
          <w:rFonts w:ascii="Times New Roman" w:hAnsi="Times New Roman" w:cs="Times New Roman"/>
        </w:rPr>
        <w:t xml:space="preserve"> </w:t>
      </w:r>
      <w:r w:rsidR="00C738A8">
        <w:rPr>
          <w:rFonts w:ascii="Times New Roman" w:hAnsi="Times New Roman" w:cs="Times New Roman"/>
        </w:rPr>
        <w:t>through the use of inherently skewed data in training artificial intelligence,</w:t>
      </w:r>
      <w:r w:rsidR="00B15E23" w:rsidRPr="00FF395A">
        <w:rPr>
          <w:rStyle w:val="FootnoteReference"/>
        </w:rPr>
        <w:footnoteReference w:id="31"/>
      </w:r>
      <w:r w:rsidR="0081074D" w:rsidRPr="0081074D">
        <w:rPr>
          <w:rStyle w:val="FootnoteReference"/>
          <w:rFonts w:ascii="Times New Roman" w:hAnsi="Times New Roman" w:cs="Times New Roman"/>
        </w:rPr>
        <w:t xml:space="preserve"> </w:t>
      </w:r>
      <w:r w:rsidR="00C738A8">
        <w:rPr>
          <w:rFonts w:ascii="Times New Roman" w:hAnsi="Times New Roman" w:cs="Times New Roman"/>
        </w:rPr>
        <w:t xml:space="preserve">or, in the case of rules engines, </w:t>
      </w:r>
      <w:r w:rsidR="00DA4895">
        <w:rPr>
          <w:rFonts w:ascii="Times New Roman" w:hAnsi="Times New Roman" w:cs="Times New Roman"/>
        </w:rPr>
        <w:t>ignoring</w:t>
      </w:r>
      <w:r w:rsidR="00D77F39">
        <w:rPr>
          <w:rFonts w:ascii="Times New Roman" w:hAnsi="Times New Roman" w:cs="Times New Roman"/>
        </w:rPr>
        <w:t xml:space="preserve"> the constantly evolving nature of social norms by programming the law statically according to the norms at the time.</w:t>
      </w:r>
      <w:r w:rsidR="00216F5F" w:rsidRPr="00FF395A">
        <w:rPr>
          <w:rStyle w:val="FootnoteReference"/>
        </w:rPr>
        <w:footnoteReference w:id="32"/>
      </w:r>
      <w:r w:rsidR="00CC1ECE">
        <w:rPr>
          <w:rFonts w:ascii="Times New Roman" w:hAnsi="Times New Roman" w:cs="Times New Roman"/>
        </w:rPr>
        <w:t xml:space="preserve"> A 2017</w:t>
      </w:r>
      <w:r w:rsidR="00D04766">
        <w:rPr>
          <w:rFonts w:ascii="Times New Roman" w:hAnsi="Times New Roman" w:cs="Times New Roman"/>
        </w:rPr>
        <w:t xml:space="preserve"> investigation </w:t>
      </w:r>
      <w:r w:rsidR="007D4C11">
        <w:rPr>
          <w:rFonts w:ascii="Times New Roman" w:hAnsi="Times New Roman" w:cs="Times New Roman"/>
        </w:rPr>
        <w:t xml:space="preserve">conducted by </w:t>
      </w:r>
      <w:r w:rsidR="007D4C11">
        <w:rPr>
          <w:rFonts w:ascii="Times New Roman" w:hAnsi="Times New Roman" w:cs="Times New Roman"/>
          <w:i/>
          <w:iCs/>
        </w:rPr>
        <w:t xml:space="preserve">ProPublica </w:t>
      </w:r>
      <w:r w:rsidR="00D75C63">
        <w:rPr>
          <w:rFonts w:ascii="Times New Roman" w:hAnsi="Times New Roman" w:cs="Times New Roman"/>
        </w:rPr>
        <w:t>found significant</w:t>
      </w:r>
      <w:r w:rsidR="00D8078C">
        <w:rPr>
          <w:rFonts w:ascii="Times New Roman" w:hAnsi="Times New Roman" w:cs="Times New Roman"/>
        </w:rPr>
        <w:t xml:space="preserve"> racial bias in </w:t>
      </w:r>
      <w:r w:rsidR="00D75C63">
        <w:rPr>
          <w:rFonts w:ascii="Times New Roman" w:hAnsi="Times New Roman" w:cs="Times New Roman"/>
        </w:rPr>
        <w:t xml:space="preserve">the conclusions of </w:t>
      </w:r>
      <w:r w:rsidR="004F44A9">
        <w:rPr>
          <w:rFonts w:ascii="Times New Roman" w:hAnsi="Times New Roman" w:cs="Times New Roman"/>
        </w:rPr>
        <w:t>COMPAS</w:t>
      </w:r>
      <w:r w:rsidR="00E7606A">
        <w:rPr>
          <w:rFonts w:ascii="Times New Roman" w:hAnsi="Times New Roman" w:cs="Times New Roman"/>
        </w:rPr>
        <w:t>,</w:t>
      </w:r>
      <w:r w:rsidR="00401EF6" w:rsidRPr="00FF395A">
        <w:rPr>
          <w:rStyle w:val="FootnoteReference"/>
        </w:rPr>
        <w:footnoteReference w:id="33"/>
      </w:r>
      <w:r w:rsidR="00E7606A">
        <w:rPr>
          <w:rFonts w:ascii="Times New Roman" w:hAnsi="Times New Roman" w:cs="Times New Roman"/>
        </w:rPr>
        <w:t xml:space="preserve"> a</w:t>
      </w:r>
      <w:r w:rsidR="00D8078C">
        <w:rPr>
          <w:rFonts w:ascii="Times New Roman" w:hAnsi="Times New Roman" w:cs="Times New Roman"/>
        </w:rPr>
        <w:t>n</w:t>
      </w:r>
      <w:r w:rsidR="00E7606A">
        <w:rPr>
          <w:rFonts w:ascii="Times New Roman" w:hAnsi="Times New Roman" w:cs="Times New Roman"/>
        </w:rPr>
        <w:t xml:space="preserve"> algorithm employed by various courts in the United States</w:t>
      </w:r>
      <w:r w:rsidR="00D8078C">
        <w:rPr>
          <w:rFonts w:ascii="Times New Roman" w:hAnsi="Times New Roman" w:cs="Times New Roman"/>
        </w:rPr>
        <w:t xml:space="preserve"> to assist </w:t>
      </w:r>
      <w:r w:rsidR="00D8078C">
        <w:rPr>
          <w:rFonts w:ascii="Times New Roman" w:hAnsi="Times New Roman" w:cs="Times New Roman"/>
        </w:rPr>
        <w:lastRenderedPageBreak/>
        <w:t>judges in predicting recidivism</w:t>
      </w:r>
      <w:r w:rsidR="007D4C11">
        <w:rPr>
          <w:rFonts w:ascii="Times New Roman" w:hAnsi="Times New Roman" w:cs="Times New Roman"/>
        </w:rPr>
        <w:t xml:space="preserve">, </w:t>
      </w:r>
      <w:r w:rsidR="00724AD1">
        <w:rPr>
          <w:rFonts w:ascii="Times New Roman" w:hAnsi="Times New Roman" w:cs="Times New Roman"/>
        </w:rPr>
        <w:t>despite no explicit referral to race</w:t>
      </w:r>
      <w:r w:rsidR="00DD3FBC">
        <w:rPr>
          <w:rFonts w:ascii="Times New Roman" w:hAnsi="Times New Roman" w:cs="Times New Roman"/>
        </w:rPr>
        <w:t xml:space="preserve"> in the algorithm itself.</w:t>
      </w:r>
      <w:r w:rsidR="00DD3FBC" w:rsidRPr="00FF395A">
        <w:rPr>
          <w:rStyle w:val="FootnoteReference"/>
        </w:rPr>
        <w:footnoteReference w:id="34"/>
      </w:r>
      <w:r w:rsidR="00DD3FBC">
        <w:rPr>
          <w:rFonts w:ascii="Times New Roman" w:hAnsi="Times New Roman" w:cs="Times New Roman"/>
        </w:rPr>
        <w:t xml:space="preserve"> </w:t>
      </w:r>
      <w:r w:rsidR="00AD1704">
        <w:rPr>
          <w:rFonts w:ascii="Times New Roman" w:hAnsi="Times New Roman" w:cs="Times New Roman"/>
        </w:rPr>
        <w:t>Such unintentional biases, scholars argue, result from the correlation</w:t>
      </w:r>
      <w:r w:rsidR="0050264F">
        <w:rPr>
          <w:rFonts w:ascii="Times New Roman" w:hAnsi="Times New Roman" w:cs="Times New Roman"/>
        </w:rPr>
        <w:t xml:space="preserve"> of race with variables such as socioeconomic status,</w:t>
      </w:r>
      <w:r w:rsidR="00BD3E21" w:rsidRPr="00FF395A">
        <w:rPr>
          <w:rStyle w:val="FootnoteReference"/>
        </w:rPr>
        <w:footnoteReference w:id="35"/>
      </w:r>
      <w:r w:rsidR="0050264F">
        <w:rPr>
          <w:rFonts w:ascii="Times New Roman" w:hAnsi="Times New Roman" w:cs="Times New Roman"/>
        </w:rPr>
        <w:t xml:space="preserve"> a relationship which is in itself indicative of current societal norms not being appropriate foundations upon which law should be statically programmed.</w:t>
      </w:r>
    </w:p>
    <w:p w14:paraId="55A15396" w14:textId="22BD300E" w:rsidR="00DE1E48" w:rsidRDefault="00DE1E48" w:rsidP="00E67332">
      <w:pPr>
        <w:spacing w:line="480" w:lineRule="auto"/>
        <w:jc w:val="both"/>
        <w:rPr>
          <w:rFonts w:ascii="Times New Roman" w:hAnsi="Times New Roman" w:cs="Times New Roman"/>
        </w:rPr>
      </w:pPr>
    </w:p>
    <w:p w14:paraId="6847940B" w14:textId="216A9F23" w:rsidR="00C95A92" w:rsidRPr="00B67F00" w:rsidRDefault="00AD2743" w:rsidP="00AD2743">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sidR="00C95A92" w:rsidRPr="00B67F00">
        <w:rPr>
          <w:rFonts w:ascii="Times New Roman" w:hAnsi="Times New Roman" w:cs="Times New Roman"/>
          <w:i/>
          <w:iCs/>
          <w:sz w:val="24"/>
          <w:szCs w:val="24"/>
        </w:rPr>
        <w:t>The Formalist Nature of Code</w:t>
      </w:r>
    </w:p>
    <w:p w14:paraId="25CF447B" w14:textId="7D642D03" w:rsidR="00C95A92" w:rsidRDefault="00C95A92" w:rsidP="00AA6743">
      <w:pPr>
        <w:spacing w:line="480" w:lineRule="auto"/>
        <w:jc w:val="both"/>
        <w:rPr>
          <w:rFonts w:ascii="Times New Roman" w:hAnsi="Times New Roman" w:cs="Times New Roman"/>
        </w:rPr>
      </w:pPr>
      <w:r w:rsidRPr="00B67F00">
        <w:rPr>
          <w:rFonts w:ascii="Times New Roman" w:hAnsi="Times New Roman" w:cs="Times New Roman"/>
        </w:rPr>
        <w:t>While literature proposing technical and social methods of implementing RaC is abundant and fast growing, there is little addressing the question of whether such developments should in fact occur from a jurisprudential perspective.</w:t>
      </w:r>
      <w:r w:rsidR="001B55D8" w:rsidRPr="00B67F00">
        <w:rPr>
          <w:rFonts w:ascii="Times New Roman" w:hAnsi="Times New Roman" w:cs="Times New Roman"/>
        </w:rPr>
        <w:t xml:space="preserve"> </w:t>
      </w:r>
      <w:r w:rsidR="00203194" w:rsidRPr="00B67F00">
        <w:rPr>
          <w:rFonts w:ascii="Times New Roman" w:hAnsi="Times New Roman" w:cs="Times New Roman"/>
        </w:rPr>
        <w:t xml:space="preserve">As an inherent consequence of the </w:t>
      </w:r>
      <w:r w:rsidR="00216F5F">
        <w:rPr>
          <w:rFonts w:ascii="Times New Roman" w:hAnsi="Times New Roman" w:cs="Times New Roman"/>
        </w:rPr>
        <w:t>deterministic</w:t>
      </w:r>
      <w:r w:rsidR="00203194" w:rsidRPr="00B67F00">
        <w:rPr>
          <w:rFonts w:ascii="Times New Roman" w:hAnsi="Times New Roman" w:cs="Times New Roman"/>
        </w:rPr>
        <w:t xml:space="preserve"> nature of algorithms, t</w:t>
      </w:r>
      <w:r w:rsidR="001B55D8" w:rsidRPr="00B67F00">
        <w:rPr>
          <w:rFonts w:ascii="Times New Roman" w:hAnsi="Times New Roman" w:cs="Times New Roman"/>
        </w:rPr>
        <w:t xml:space="preserve">he field of computational law </w:t>
      </w:r>
      <w:r w:rsidR="004827CE" w:rsidRPr="00B67F00">
        <w:rPr>
          <w:rFonts w:ascii="Times New Roman" w:hAnsi="Times New Roman" w:cs="Times New Roman"/>
        </w:rPr>
        <w:t>naturally aligns with the theory of legal formalism,</w:t>
      </w:r>
      <w:r w:rsidR="00203194" w:rsidRPr="00FF395A">
        <w:rPr>
          <w:rStyle w:val="FootnoteReference"/>
        </w:rPr>
        <w:footnoteReference w:id="36"/>
      </w:r>
      <w:r w:rsidR="00203194" w:rsidRPr="00B67F00">
        <w:rPr>
          <w:rFonts w:ascii="Times New Roman" w:hAnsi="Times New Roman" w:cs="Times New Roman"/>
        </w:rPr>
        <w:t xml:space="preserve"> a normative theory of </w:t>
      </w:r>
      <w:r w:rsidR="00B61C51">
        <w:rPr>
          <w:rFonts w:ascii="Times New Roman" w:hAnsi="Times New Roman" w:cs="Times New Roman"/>
        </w:rPr>
        <w:t>jurisprudence</w:t>
      </w:r>
      <w:r w:rsidR="00203194" w:rsidRPr="00B67F00">
        <w:rPr>
          <w:rFonts w:ascii="Times New Roman" w:hAnsi="Times New Roman" w:cs="Times New Roman"/>
        </w:rPr>
        <w:t xml:space="preserve"> </w:t>
      </w:r>
      <w:r w:rsidR="005833AB">
        <w:rPr>
          <w:rFonts w:ascii="Times New Roman" w:hAnsi="Times New Roman" w:cs="Times New Roman"/>
        </w:rPr>
        <w:t xml:space="preserve">encouraging strict adherence </w:t>
      </w:r>
      <w:r w:rsidR="002B590E">
        <w:rPr>
          <w:rFonts w:ascii="Times New Roman" w:hAnsi="Times New Roman" w:cs="Times New Roman"/>
        </w:rPr>
        <w:t xml:space="preserve">only </w:t>
      </w:r>
      <w:r w:rsidR="005833AB">
        <w:rPr>
          <w:rFonts w:ascii="Times New Roman" w:hAnsi="Times New Roman" w:cs="Times New Roman"/>
        </w:rPr>
        <w:t>to the law, as opposed to contextual</w:t>
      </w:r>
      <w:r w:rsidR="002B590E">
        <w:rPr>
          <w:rFonts w:ascii="Times New Roman" w:hAnsi="Times New Roman" w:cs="Times New Roman"/>
        </w:rPr>
        <w:t xml:space="preserve"> or heuristic considerations</w:t>
      </w:r>
      <w:r w:rsidR="00216F5F">
        <w:rPr>
          <w:rFonts w:ascii="Times New Roman" w:hAnsi="Times New Roman" w:cs="Times New Roman"/>
        </w:rPr>
        <w:t xml:space="preserve"> (TODO THIS IS A GENERALISATION)</w:t>
      </w:r>
      <w:r w:rsidR="00203194" w:rsidRPr="00B67F00">
        <w:rPr>
          <w:rFonts w:ascii="Times New Roman" w:hAnsi="Times New Roman" w:cs="Times New Roman"/>
        </w:rPr>
        <w:t>.</w:t>
      </w:r>
      <w:r w:rsidR="00347F81" w:rsidRPr="00FF395A">
        <w:rPr>
          <w:rStyle w:val="FootnoteReference"/>
        </w:rPr>
        <w:footnoteReference w:id="37"/>
      </w:r>
      <w:r w:rsidR="00203194" w:rsidRPr="00B67F00">
        <w:rPr>
          <w:rFonts w:ascii="Times New Roman" w:hAnsi="Times New Roman" w:cs="Times New Roman"/>
        </w:rPr>
        <w:t xml:space="preserve"> Indeed, formalism has been described numerous times as the ‘autonomous’ theory of adjudication</w:t>
      </w:r>
      <w:r w:rsidR="00DE4404" w:rsidRPr="00B67F00">
        <w:rPr>
          <w:rFonts w:ascii="Times New Roman" w:hAnsi="Times New Roman" w:cs="Times New Roman"/>
        </w:rPr>
        <w:t>.</w:t>
      </w:r>
      <w:r w:rsidR="00203194" w:rsidRPr="00FF395A">
        <w:rPr>
          <w:rStyle w:val="FootnoteReference"/>
        </w:rPr>
        <w:footnoteReference w:id="38"/>
      </w:r>
      <w:r w:rsidR="00203194" w:rsidRPr="00B67F00">
        <w:rPr>
          <w:rFonts w:ascii="Times New Roman" w:hAnsi="Times New Roman" w:cs="Times New Roman"/>
        </w:rPr>
        <w:t xml:space="preserve"> </w:t>
      </w:r>
      <w:r w:rsidR="0095449F" w:rsidRPr="00B67F00">
        <w:rPr>
          <w:rFonts w:ascii="Times New Roman" w:hAnsi="Times New Roman" w:cs="Times New Roman"/>
        </w:rPr>
        <w:t xml:space="preserve">McIntrye </w:t>
      </w:r>
      <w:r w:rsidR="0095449F">
        <w:rPr>
          <w:rFonts w:ascii="Times New Roman" w:hAnsi="Times New Roman" w:cs="Times New Roman"/>
        </w:rPr>
        <w:t>corroborates this notion in his</w:t>
      </w:r>
      <w:r w:rsidR="00DE4404" w:rsidRPr="00B67F00">
        <w:rPr>
          <w:rFonts w:ascii="Times New Roman" w:hAnsi="Times New Roman" w:cs="Times New Roman"/>
        </w:rPr>
        <w:t xml:space="preserve"> critique of digital government,</w:t>
      </w:r>
      <w:r w:rsidRPr="00B67F00">
        <w:rPr>
          <w:rFonts w:ascii="Times New Roman" w:hAnsi="Times New Roman" w:cs="Times New Roman"/>
        </w:rPr>
        <w:t xml:space="preserve"> </w:t>
      </w:r>
      <w:r w:rsidR="0095449F">
        <w:rPr>
          <w:rFonts w:ascii="Times New Roman" w:hAnsi="Times New Roman" w:cs="Times New Roman"/>
        </w:rPr>
        <w:t>highlighting</w:t>
      </w:r>
      <w:r w:rsidR="00DE4404" w:rsidRPr="00B67F00">
        <w:rPr>
          <w:rFonts w:ascii="Times New Roman" w:hAnsi="Times New Roman" w:cs="Times New Roman"/>
        </w:rPr>
        <w:t xml:space="preserve"> the dangers of discouraging judicial discretion clauses for the sake of accommodating RaC</w:t>
      </w:r>
      <w:r w:rsidRPr="00FF395A">
        <w:rPr>
          <w:rStyle w:val="FootnoteReference"/>
        </w:rPr>
        <w:footnoteReference w:id="39"/>
      </w:r>
      <w:r w:rsidR="001665EA">
        <w:rPr>
          <w:rFonts w:ascii="Times New Roman" w:hAnsi="Times New Roman" w:cs="Times New Roman"/>
        </w:rPr>
        <w:t xml:space="preserve"> and</w:t>
      </w:r>
      <w:r w:rsidR="00DE4404" w:rsidRPr="00B67F00">
        <w:rPr>
          <w:rFonts w:ascii="Times New Roman" w:hAnsi="Times New Roman" w:cs="Times New Roman"/>
        </w:rPr>
        <w:t xml:space="preserve"> disparagingly comparing such hypothetical legislation </w:t>
      </w:r>
      <w:r w:rsidR="005D2AD9" w:rsidRPr="00B67F00">
        <w:rPr>
          <w:rFonts w:ascii="Times New Roman" w:hAnsi="Times New Roman" w:cs="Times New Roman"/>
        </w:rPr>
        <w:t xml:space="preserve">to </w:t>
      </w:r>
      <w:r w:rsidR="00DE4404" w:rsidRPr="00B67F00">
        <w:rPr>
          <w:rFonts w:ascii="Times New Roman" w:hAnsi="Times New Roman" w:cs="Times New Roman"/>
        </w:rPr>
        <w:t>the</w:t>
      </w:r>
      <w:r w:rsidR="005D2AD9" w:rsidRPr="00B67F00">
        <w:rPr>
          <w:rFonts w:ascii="Times New Roman" w:hAnsi="Times New Roman" w:cs="Times New Roman"/>
        </w:rPr>
        <w:t xml:space="preserve"> early</w:t>
      </w:r>
      <w:r w:rsidR="00DE4404" w:rsidRPr="00B67F00">
        <w:rPr>
          <w:rFonts w:ascii="Times New Roman" w:hAnsi="Times New Roman" w:cs="Times New Roman"/>
        </w:rPr>
        <w:t xml:space="preserve"> Napoleonic Code</w:t>
      </w:r>
      <w:r w:rsidR="00DE4404" w:rsidRPr="00FF395A">
        <w:rPr>
          <w:rStyle w:val="FootnoteReference"/>
        </w:rPr>
        <w:footnoteReference w:id="40"/>
      </w:r>
      <w:r w:rsidR="00DE4404" w:rsidRPr="00B67F00">
        <w:rPr>
          <w:rFonts w:ascii="Times New Roman" w:hAnsi="Times New Roman" w:cs="Times New Roman"/>
        </w:rPr>
        <w:t xml:space="preserve"> </w:t>
      </w:r>
      <w:r w:rsidR="005D2AD9" w:rsidRPr="00B67F00">
        <w:rPr>
          <w:rFonts w:ascii="Times New Roman" w:hAnsi="Times New Roman" w:cs="Times New Roman"/>
        </w:rPr>
        <w:t>which stripped</w:t>
      </w:r>
      <w:r w:rsidR="00DE4404" w:rsidRPr="00B67F00">
        <w:rPr>
          <w:rFonts w:ascii="Times New Roman" w:hAnsi="Times New Roman" w:cs="Times New Roman"/>
        </w:rPr>
        <w:t xml:space="preserve"> the judiciary </w:t>
      </w:r>
      <w:r w:rsidR="005D2AD9" w:rsidRPr="00B67F00">
        <w:rPr>
          <w:rFonts w:ascii="Times New Roman" w:hAnsi="Times New Roman" w:cs="Times New Roman"/>
        </w:rPr>
        <w:t>of any law-making powers.</w:t>
      </w:r>
      <w:r w:rsidR="005D2AD9" w:rsidRPr="00FF395A">
        <w:rPr>
          <w:rStyle w:val="FootnoteReference"/>
        </w:rPr>
        <w:footnoteReference w:id="41"/>
      </w:r>
      <w:r w:rsidR="00A906D9" w:rsidRPr="00B67F00">
        <w:rPr>
          <w:rFonts w:ascii="Times New Roman" w:hAnsi="Times New Roman" w:cs="Times New Roman"/>
        </w:rPr>
        <w:t xml:space="preserve"> </w:t>
      </w:r>
    </w:p>
    <w:p w14:paraId="6FD29053" w14:textId="5499EC43" w:rsidR="00942AF7" w:rsidRDefault="00942AF7" w:rsidP="00AA6743">
      <w:pPr>
        <w:spacing w:line="480" w:lineRule="auto"/>
        <w:jc w:val="both"/>
        <w:rPr>
          <w:rFonts w:ascii="Times New Roman" w:hAnsi="Times New Roman" w:cs="Times New Roman"/>
        </w:rPr>
      </w:pPr>
      <w:r>
        <w:rPr>
          <w:rFonts w:ascii="Times New Roman" w:hAnsi="Times New Roman" w:cs="Times New Roman"/>
        </w:rPr>
        <w:lastRenderedPageBreak/>
        <w:t>Though the</w:t>
      </w:r>
      <w:r w:rsidR="00271665">
        <w:rPr>
          <w:rFonts w:ascii="Times New Roman" w:hAnsi="Times New Roman" w:cs="Times New Roman"/>
        </w:rPr>
        <w:t xml:space="preserve"> </w:t>
      </w:r>
      <w:r w:rsidR="00DC2E71">
        <w:rPr>
          <w:rFonts w:ascii="Times New Roman" w:hAnsi="Times New Roman" w:cs="Times New Roman"/>
        </w:rPr>
        <w:t xml:space="preserve">modern </w:t>
      </w:r>
      <w:r w:rsidR="00807997">
        <w:rPr>
          <w:rFonts w:ascii="Times New Roman" w:hAnsi="Times New Roman" w:cs="Times New Roman"/>
        </w:rPr>
        <w:t xml:space="preserve">debate between </w:t>
      </w:r>
      <w:r w:rsidR="00DC2E71">
        <w:rPr>
          <w:rFonts w:ascii="Times New Roman" w:hAnsi="Times New Roman" w:cs="Times New Roman"/>
        </w:rPr>
        <w:t>legal</w:t>
      </w:r>
      <w:r w:rsidR="008A23E8">
        <w:rPr>
          <w:rFonts w:ascii="Times New Roman" w:hAnsi="Times New Roman" w:cs="Times New Roman"/>
        </w:rPr>
        <w:t xml:space="preserve"> formalism </w:t>
      </w:r>
      <w:r w:rsidR="00807997">
        <w:rPr>
          <w:rFonts w:ascii="Times New Roman" w:hAnsi="Times New Roman" w:cs="Times New Roman"/>
        </w:rPr>
        <w:t>and</w:t>
      </w:r>
      <w:r w:rsidR="008A23E8">
        <w:rPr>
          <w:rFonts w:ascii="Times New Roman" w:hAnsi="Times New Roman" w:cs="Times New Roman"/>
        </w:rPr>
        <w:t xml:space="preserve"> its arguable antithesis, legal </w:t>
      </w:r>
      <w:r w:rsidR="00A5339B">
        <w:rPr>
          <w:rFonts w:ascii="Times New Roman" w:hAnsi="Times New Roman" w:cs="Times New Roman"/>
        </w:rPr>
        <w:t>realism,</w:t>
      </w:r>
      <w:r w:rsidR="008A23E8">
        <w:rPr>
          <w:rFonts w:ascii="Times New Roman" w:hAnsi="Times New Roman" w:cs="Times New Roman"/>
        </w:rPr>
        <w:t xml:space="preserve"> began</w:t>
      </w:r>
      <w:r w:rsidR="00A94F21">
        <w:rPr>
          <w:rFonts w:ascii="Times New Roman" w:hAnsi="Times New Roman" w:cs="Times New Roman"/>
        </w:rPr>
        <w:t xml:space="preserve"> in 1905</w:t>
      </w:r>
      <w:r w:rsidR="008A23E8">
        <w:rPr>
          <w:rFonts w:ascii="Times New Roman" w:hAnsi="Times New Roman" w:cs="Times New Roman"/>
        </w:rPr>
        <w:t xml:space="preserve"> </w:t>
      </w:r>
      <w:r w:rsidR="001A5B1E">
        <w:rPr>
          <w:rFonts w:ascii="Times New Roman" w:hAnsi="Times New Roman" w:cs="Times New Roman"/>
        </w:rPr>
        <w:t xml:space="preserve">with </w:t>
      </w:r>
      <w:r w:rsidR="004F0ACE">
        <w:rPr>
          <w:rFonts w:ascii="Times New Roman" w:hAnsi="Times New Roman" w:cs="Times New Roman"/>
        </w:rPr>
        <w:t>Justice Holmes’ dissent in the US Supreme Court’s</w:t>
      </w:r>
      <w:r w:rsidR="00B30634">
        <w:rPr>
          <w:rFonts w:ascii="Times New Roman" w:hAnsi="Times New Roman" w:cs="Times New Roman"/>
        </w:rPr>
        <w:t xml:space="preserve"> (“USSC”)</w:t>
      </w:r>
      <w:r w:rsidR="004F0ACE">
        <w:rPr>
          <w:rFonts w:ascii="Times New Roman" w:hAnsi="Times New Roman" w:cs="Times New Roman"/>
        </w:rPr>
        <w:t xml:space="preserve"> </w:t>
      </w:r>
      <w:r w:rsidR="004F0ACE">
        <w:rPr>
          <w:rFonts w:ascii="Times New Roman" w:hAnsi="Times New Roman" w:cs="Times New Roman"/>
          <w:i/>
          <w:iCs/>
        </w:rPr>
        <w:t>Lochner v New York</w:t>
      </w:r>
      <w:r w:rsidR="002B6326">
        <w:rPr>
          <w:rFonts w:ascii="Times New Roman" w:hAnsi="Times New Roman" w:cs="Times New Roman"/>
          <w:i/>
          <w:iCs/>
        </w:rPr>
        <w:t>,</w:t>
      </w:r>
      <w:r w:rsidR="00216F5F" w:rsidRPr="00FF395A">
        <w:rPr>
          <w:rStyle w:val="FootnoteReference"/>
        </w:rPr>
        <w:footnoteReference w:id="42"/>
      </w:r>
      <w:r w:rsidR="002B6326" w:rsidRPr="00FF395A">
        <w:rPr>
          <w:rStyle w:val="FootnoteReference"/>
        </w:rPr>
        <w:footnoteReference w:id="43"/>
      </w:r>
      <w:r w:rsidR="002B6326">
        <w:rPr>
          <w:rFonts w:ascii="Times New Roman" w:hAnsi="Times New Roman" w:cs="Times New Roman"/>
          <w:i/>
          <w:iCs/>
        </w:rPr>
        <w:t xml:space="preserve"> </w:t>
      </w:r>
      <w:r w:rsidR="002B6326">
        <w:rPr>
          <w:rFonts w:ascii="Times New Roman" w:hAnsi="Times New Roman" w:cs="Times New Roman"/>
        </w:rPr>
        <w:t xml:space="preserve">the issue </w:t>
      </w:r>
      <w:r w:rsidR="00A94F21">
        <w:rPr>
          <w:rFonts w:ascii="Times New Roman" w:hAnsi="Times New Roman" w:cs="Times New Roman"/>
        </w:rPr>
        <w:t xml:space="preserve">hit Australian shores </w:t>
      </w:r>
      <w:r w:rsidR="00724428">
        <w:rPr>
          <w:rFonts w:ascii="Times New Roman" w:hAnsi="Times New Roman" w:cs="Times New Roman"/>
        </w:rPr>
        <w:t xml:space="preserve">ten years later when Chief Justice Dixon proclaimed that </w:t>
      </w:r>
      <w:r w:rsidR="00F53D7E">
        <w:rPr>
          <w:rFonts w:ascii="Times New Roman" w:hAnsi="Times New Roman" w:cs="Times New Roman"/>
        </w:rPr>
        <w:t>‘</w:t>
      </w:r>
      <w:r w:rsidR="00724428">
        <w:rPr>
          <w:rFonts w:ascii="Times New Roman" w:hAnsi="Times New Roman" w:cs="Times New Roman"/>
        </w:rPr>
        <w:t xml:space="preserve">there is no safer guide to judicial decisions in significant conflicts than a </w:t>
      </w:r>
      <w:r w:rsidR="00546900">
        <w:rPr>
          <w:rFonts w:ascii="Times New Roman" w:hAnsi="Times New Roman" w:cs="Times New Roman"/>
        </w:rPr>
        <w:t>strict and complete legalism.</w:t>
      </w:r>
      <w:r w:rsidR="00F53D7E">
        <w:rPr>
          <w:rFonts w:ascii="Times New Roman" w:hAnsi="Times New Roman" w:cs="Times New Roman"/>
        </w:rPr>
        <w:t>’</w:t>
      </w:r>
      <w:r w:rsidR="00546900" w:rsidRPr="00FF395A">
        <w:rPr>
          <w:rStyle w:val="FootnoteReference"/>
        </w:rPr>
        <w:footnoteReference w:id="44"/>
      </w:r>
      <w:r w:rsidR="007D0007">
        <w:rPr>
          <w:rFonts w:ascii="Times New Roman" w:hAnsi="Times New Roman" w:cs="Times New Roman"/>
        </w:rPr>
        <w:t xml:space="preserve"> </w:t>
      </w:r>
      <w:r w:rsidR="00807997">
        <w:rPr>
          <w:rFonts w:ascii="Times New Roman" w:hAnsi="Times New Roman" w:cs="Times New Roman"/>
        </w:rPr>
        <w:t>While</w:t>
      </w:r>
      <w:r w:rsidR="007D0007">
        <w:rPr>
          <w:rFonts w:ascii="Times New Roman" w:hAnsi="Times New Roman" w:cs="Times New Roman"/>
        </w:rPr>
        <w:t xml:space="preserve"> the statement’s context</w:t>
      </w:r>
      <w:r w:rsidR="00AE19E8">
        <w:rPr>
          <w:rFonts w:ascii="Times New Roman" w:hAnsi="Times New Roman" w:cs="Times New Roman"/>
        </w:rPr>
        <w:t xml:space="preserve"> as well as</w:t>
      </w:r>
      <w:r w:rsidR="007D0007">
        <w:rPr>
          <w:rFonts w:ascii="Times New Roman" w:hAnsi="Times New Roman" w:cs="Times New Roman"/>
        </w:rPr>
        <w:t xml:space="preserve"> decisions</w:t>
      </w:r>
      <w:r w:rsidR="00C42A23" w:rsidRPr="00FF395A">
        <w:rPr>
          <w:rStyle w:val="FootnoteReference"/>
        </w:rPr>
        <w:footnoteReference w:id="45"/>
      </w:r>
      <w:r w:rsidR="00C42A23">
        <w:rPr>
          <w:rFonts w:ascii="Times New Roman" w:hAnsi="Times New Roman" w:cs="Times New Roman"/>
        </w:rPr>
        <w:t xml:space="preserve"> and statements</w:t>
      </w:r>
      <w:r w:rsidR="00C42A23" w:rsidRPr="00FF395A">
        <w:rPr>
          <w:rStyle w:val="FootnoteReference"/>
        </w:rPr>
        <w:footnoteReference w:id="46"/>
      </w:r>
      <w:r w:rsidR="007D0007">
        <w:rPr>
          <w:rFonts w:ascii="Times New Roman" w:hAnsi="Times New Roman" w:cs="Times New Roman"/>
        </w:rPr>
        <w:t xml:space="preserve"> throughout Dixon CJ’s career would suggest he was speaking</w:t>
      </w:r>
      <w:r w:rsidR="007B74E7">
        <w:rPr>
          <w:rFonts w:ascii="Times New Roman" w:hAnsi="Times New Roman" w:cs="Times New Roman"/>
        </w:rPr>
        <w:t xml:space="preserve"> </w:t>
      </w:r>
      <w:r w:rsidR="00AE19E8">
        <w:rPr>
          <w:rFonts w:ascii="Times New Roman" w:hAnsi="Times New Roman" w:cs="Times New Roman"/>
        </w:rPr>
        <w:t xml:space="preserve">specifically </w:t>
      </w:r>
      <w:r w:rsidR="007B74E7">
        <w:rPr>
          <w:rFonts w:ascii="Times New Roman" w:hAnsi="Times New Roman" w:cs="Times New Roman"/>
        </w:rPr>
        <w:t xml:space="preserve">with regard to </w:t>
      </w:r>
      <w:r w:rsidR="002A5A60">
        <w:rPr>
          <w:rFonts w:ascii="Times New Roman" w:hAnsi="Times New Roman" w:cs="Times New Roman"/>
        </w:rPr>
        <w:t>federal disputes</w:t>
      </w:r>
      <w:r w:rsidR="00B15E23">
        <w:rPr>
          <w:rFonts w:ascii="Times New Roman" w:hAnsi="Times New Roman" w:cs="Times New Roman"/>
        </w:rPr>
        <w:t xml:space="preserve"> and arguably not endorsing American legal formalism</w:t>
      </w:r>
      <w:r w:rsidR="00C0028D">
        <w:rPr>
          <w:rFonts w:ascii="Times New Roman" w:hAnsi="Times New Roman" w:cs="Times New Roman"/>
        </w:rPr>
        <w:t>,</w:t>
      </w:r>
      <w:r w:rsidR="00107D13" w:rsidRPr="00FF395A">
        <w:rPr>
          <w:rStyle w:val="FootnoteReference"/>
        </w:rPr>
        <w:footnoteReference w:id="47"/>
      </w:r>
      <w:r w:rsidR="00A243A5">
        <w:rPr>
          <w:rFonts w:ascii="Times New Roman" w:hAnsi="Times New Roman" w:cs="Times New Roman"/>
        </w:rPr>
        <w:t xml:space="preserve"> his words would </w:t>
      </w:r>
      <w:r w:rsidR="00B15E23">
        <w:rPr>
          <w:rFonts w:ascii="Times New Roman" w:hAnsi="Times New Roman" w:cs="Times New Roman"/>
        </w:rPr>
        <w:t>influence the</w:t>
      </w:r>
      <w:r w:rsidR="00F42A7D">
        <w:rPr>
          <w:rFonts w:ascii="Times New Roman" w:hAnsi="Times New Roman" w:cs="Times New Roman"/>
        </w:rPr>
        <w:t xml:space="preserve"> Australian legal community</w:t>
      </w:r>
      <w:r w:rsidR="00B15E23">
        <w:rPr>
          <w:rFonts w:ascii="Times New Roman" w:hAnsi="Times New Roman" w:cs="Times New Roman"/>
        </w:rPr>
        <w:t xml:space="preserve"> toward the philosophy</w:t>
      </w:r>
      <w:r w:rsidR="00F42A7D">
        <w:rPr>
          <w:rFonts w:ascii="Times New Roman" w:hAnsi="Times New Roman" w:cs="Times New Roman"/>
        </w:rPr>
        <w:t xml:space="preserve"> for much of the 20</w:t>
      </w:r>
      <w:r w:rsidR="00F42A7D" w:rsidRPr="00F42A7D">
        <w:rPr>
          <w:rFonts w:ascii="Times New Roman" w:hAnsi="Times New Roman" w:cs="Times New Roman"/>
          <w:vertAlign w:val="superscript"/>
        </w:rPr>
        <w:t>th</w:t>
      </w:r>
      <w:r w:rsidR="00F42A7D">
        <w:rPr>
          <w:rFonts w:ascii="Times New Roman" w:hAnsi="Times New Roman" w:cs="Times New Roman"/>
        </w:rPr>
        <w:t xml:space="preserve"> Century.</w:t>
      </w:r>
      <w:r w:rsidR="00F42A7D" w:rsidRPr="00FF395A">
        <w:rPr>
          <w:rStyle w:val="FootnoteReference"/>
        </w:rPr>
        <w:footnoteReference w:id="48"/>
      </w:r>
      <w:r w:rsidR="003B26DF">
        <w:rPr>
          <w:rFonts w:ascii="Times New Roman" w:hAnsi="Times New Roman" w:cs="Times New Roman"/>
        </w:rPr>
        <w:t xml:space="preserve"> </w:t>
      </w:r>
      <w:r w:rsidR="00AE19E8">
        <w:rPr>
          <w:rFonts w:ascii="Times New Roman" w:hAnsi="Times New Roman" w:cs="Times New Roman"/>
        </w:rPr>
        <w:t>Presently</w:t>
      </w:r>
      <w:r w:rsidR="00A51BC3">
        <w:rPr>
          <w:rFonts w:ascii="Times New Roman" w:hAnsi="Times New Roman" w:cs="Times New Roman"/>
        </w:rPr>
        <w:t xml:space="preserve">, however, the vast majority of Australian jurists note that by </w:t>
      </w:r>
      <w:r w:rsidR="00DD35BC">
        <w:rPr>
          <w:rFonts w:ascii="Times New Roman" w:hAnsi="Times New Roman" w:cs="Times New Roman"/>
        </w:rPr>
        <w:t xml:space="preserve">the nature of its legal system, the Australian judiciary must adhere to a </w:t>
      </w:r>
      <w:r w:rsidR="00BC52A5">
        <w:rPr>
          <w:rFonts w:ascii="Times New Roman" w:hAnsi="Times New Roman" w:cs="Times New Roman"/>
        </w:rPr>
        <w:t>relatively heuristic, non-formalist jurisprudence.</w:t>
      </w:r>
      <w:r w:rsidR="00C42A23" w:rsidRPr="00FF395A">
        <w:rPr>
          <w:rStyle w:val="FootnoteReference"/>
        </w:rPr>
        <w:footnoteReference w:id="49"/>
      </w:r>
      <w:r w:rsidR="002E79BE">
        <w:rPr>
          <w:rFonts w:ascii="Times New Roman" w:hAnsi="Times New Roman" w:cs="Times New Roman"/>
        </w:rPr>
        <w:t xml:space="preserve"> </w:t>
      </w:r>
      <w:r w:rsidR="00193E41">
        <w:rPr>
          <w:rFonts w:ascii="Times New Roman" w:hAnsi="Times New Roman" w:cs="Times New Roman"/>
        </w:rPr>
        <w:t xml:space="preserve">[TODO Page 66 of Stat Interp Book] </w:t>
      </w:r>
      <w:r w:rsidR="00EB72A2">
        <w:rPr>
          <w:rFonts w:ascii="Times New Roman" w:hAnsi="Times New Roman" w:cs="Times New Roman"/>
        </w:rPr>
        <w:t>Justice Kirby, argues that ‘real’ judges must operate from a place which is ‘neither wholly mechanical, nor excessively creative’,</w:t>
      </w:r>
      <w:r w:rsidR="00EB72A2" w:rsidRPr="00FF395A">
        <w:rPr>
          <w:rStyle w:val="FootnoteReference"/>
        </w:rPr>
        <w:footnoteReference w:id="50"/>
      </w:r>
      <w:r w:rsidR="00EB72A2">
        <w:rPr>
          <w:rFonts w:ascii="Times New Roman" w:hAnsi="Times New Roman" w:cs="Times New Roman"/>
        </w:rPr>
        <w:t xml:space="preserve"> corroborating the notion of a contemporary non-formalist stance of the Australian judiciary.</w:t>
      </w:r>
    </w:p>
    <w:p w14:paraId="08117E31" w14:textId="7D9B401F" w:rsidR="003C4FEA" w:rsidRPr="00695DCD" w:rsidRDefault="00C0028D" w:rsidP="00AA6743">
      <w:pPr>
        <w:spacing w:line="480" w:lineRule="auto"/>
        <w:jc w:val="both"/>
        <w:rPr>
          <w:rFonts w:ascii="Times New Roman" w:hAnsi="Times New Roman" w:cs="Times New Roman"/>
        </w:rPr>
      </w:pPr>
      <w:r>
        <w:rPr>
          <w:rFonts w:ascii="Times New Roman" w:hAnsi="Times New Roman" w:cs="Times New Roman"/>
        </w:rPr>
        <w:t>Putting aside</w:t>
      </w:r>
      <w:r w:rsidR="00A1618B">
        <w:rPr>
          <w:rFonts w:ascii="Times New Roman" w:hAnsi="Times New Roman" w:cs="Times New Roman"/>
        </w:rPr>
        <w:t xml:space="preserve"> </w:t>
      </w:r>
      <w:r w:rsidR="00756AF0">
        <w:rPr>
          <w:rFonts w:ascii="Times New Roman" w:hAnsi="Times New Roman" w:cs="Times New Roman"/>
        </w:rPr>
        <w:t xml:space="preserve">the </w:t>
      </w:r>
      <w:r w:rsidR="00A1618B">
        <w:rPr>
          <w:rFonts w:ascii="Times New Roman" w:hAnsi="Times New Roman" w:cs="Times New Roman"/>
        </w:rPr>
        <w:t xml:space="preserve">alignment of the Australian judiciary, </w:t>
      </w:r>
      <w:r w:rsidR="00756AF0">
        <w:rPr>
          <w:rFonts w:ascii="Times New Roman" w:hAnsi="Times New Roman" w:cs="Times New Roman"/>
        </w:rPr>
        <w:t xml:space="preserve">formalism is challenged by </w:t>
      </w:r>
      <w:r w:rsidR="00A1618B">
        <w:rPr>
          <w:rFonts w:ascii="Times New Roman" w:hAnsi="Times New Roman" w:cs="Times New Roman"/>
        </w:rPr>
        <w:t>scholars and jurists alike</w:t>
      </w:r>
      <w:r w:rsidR="00756AF0">
        <w:rPr>
          <w:rFonts w:ascii="Times New Roman" w:hAnsi="Times New Roman" w:cs="Times New Roman"/>
        </w:rPr>
        <w:t xml:space="preserve">, who </w:t>
      </w:r>
      <w:r w:rsidR="00A1618B">
        <w:rPr>
          <w:rFonts w:ascii="Times New Roman" w:hAnsi="Times New Roman" w:cs="Times New Roman"/>
        </w:rPr>
        <w:t xml:space="preserve">generally argue that a strictly formalist stance is detrimental to the </w:t>
      </w:r>
      <w:r w:rsidR="008958ED">
        <w:rPr>
          <w:rFonts w:ascii="Times New Roman" w:hAnsi="Times New Roman" w:cs="Times New Roman"/>
        </w:rPr>
        <w:t>rule of law.</w:t>
      </w:r>
      <w:r w:rsidR="00756AF0" w:rsidRPr="00FF395A">
        <w:rPr>
          <w:rStyle w:val="FootnoteReference"/>
        </w:rPr>
        <w:footnoteReference w:id="51"/>
      </w:r>
      <w:r w:rsidR="008958ED">
        <w:rPr>
          <w:rFonts w:ascii="Times New Roman" w:hAnsi="Times New Roman" w:cs="Times New Roman"/>
        </w:rPr>
        <w:t xml:space="preserve"> Matczak </w:t>
      </w:r>
      <w:r w:rsidR="006D18EB">
        <w:rPr>
          <w:rFonts w:ascii="Times New Roman" w:hAnsi="Times New Roman" w:cs="Times New Roman"/>
        </w:rPr>
        <w:t xml:space="preserve">argues </w:t>
      </w:r>
      <w:r w:rsidR="009A692B">
        <w:rPr>
          <w:rFonts w:ascii="Times New Roman" w:hAnsi="Times New Roman" w:cs="Times New Roman"/>
        </w:rPr>
        <w:t xml:space="preserve">that because </w:t>
      </w:r>
      <w:r w:rsidR="006D18EB">
        <w:rPr>
          <w:rFonts w:ascii="Times New Roman" w:hAnsi="Times New Roman" w:cs="Times New Roman"/>
        </w:rPr>
        <w:t>formalism leads to outcomes which are un</w:t>
      </w:r>
      <w:r w:rsidR="00F95FD2">
        <w:rPr>
          <w:rFonts w:ascii="Times New Roman" w:hAnsi="Times New Roman" w:cs="Times New Roman"/>
        </w:rPr>
        <w:t>predictable in the context of societal norms,</w:t>
      </w:r>
      <w:r w:rsidR="0039451E" w:rsidRPr="00FF395A">
        <w:rPr>
          <w:rStyle w:val="FootnoteReference"/>
        </w:rPr>
        <w:footnoteReference w:id="52"/>
      </w:r>
      <w:r w:rsidR="00F95FD2">
        <w:rPr>
          <w:rFonts w:ascii="Times New Roman" w:hAnsi="Times New Roman" w:cs="Times New Roman"/>
        </w:rPr>
        <w:t xml:space="preserve"> </w:t>
      </w:r>
      <w:r w:rsidR="009A692B">
        <w:rPr>
          <w:rFonts w:ascii="Times New Roman" w:hAnsi="Times New Roman" w:cs="Times New Roman"/>
        </w:rPr>
        <w:t>it is</w:t>
      </w:r>
      <w:r w:rsidR="00F95FD2">
        <w:rPr>
          <w:rFonts w:ascii="Times New Roman" w:hAnsi="Times New Roman" w:cs="Times New Roman"/>
        </w:rPr>
        <w:t xml:space="preserve"> therefore </w:t>
      </w:r>
      <w:r w:rsidR="0091561B">
        <w:rPr>
          <w:rFonts w:ascii="Times New Roman" w:hAnsi="Times New Roman" w:cs="Times New Roman"/>
        </w:rPr>
        <w:t>in</w:t>
      </w:r>
      <w:r w:rsidR="00F95FD2">
        <w:rPr>
          <w:rFonts w:ascii="Times New Roman" w:hAnsi="Times New Roman" w:cs="Times New Roman"/>
        </w:rPr>
        <w:t>compatible with the rule of law.</w:t>
      </w:r>
      <w:r w:rsidR="00496CAB" w:rsidRPr="00FF395A">
        <w:rPr>
          <w:rStyle w:val="FootnoteReference"/>
        </w:rPr>
        <w:footnoteReference w:id="53"/>
      </w:r>
      <w:r w:rsidR="00F95FD2">
        <w:rPr>
          <w:rFonts w:ascii="Times New Roman" w:hAnsi="Times New Roman" w:cs="Times New Roman"/>
        </w:rPr>
        <w:t xml:space="preserve"> </w:t>
      </w:r>
      <w:r w:rsidR="00B11044">
        <w:rPr>
          <w:rFonts w:ascii="Times New Roman" w:hAnsi="Times New Roman" w:cs="Times New Roman"/>
        </w:rPr>
        <w:t xml:space="preserve">He </w:t>
      </w:r>
      <w:r w:rsidR="006D18EB">
        <w:rPr>
          <w:rFonts w:ascii="Times New Roman" w:hAnsi="Times New Roman" w:cs="Times New Roman"/>
        </w:rPr>
        <w:t>illustrates</w:t>
      </w:r>
      <w:r w:rsidR="00B11044">
        <w:rPr>
          <w:rFonts w:ascii="Times New Roman" w:hAnsi="Times New Roman" w:cs="Times New Roman"/>
        </w:rPr>
        <w:t xml:space="preserve"> this with the semantics-</w:t>
      </w:r>
      <w:r w:rsidR="00B11044">
        <w:rPr>
          <w:rFonts w:ascii="Times New Roman" w:hAnsi="Times New Roman" w:cs="Times New Roman"/>
        </w:rPr>
        <w:lastRenderedPageBreak/>
        <w:t xml:space="preserve">concerned case of </w:t>
      </w:r>
      <w:r w:rsidR="00B11044">
        <w:rPr>
          <w:rFonts w:ascii="Times New Roman" w:hAnsi="Times New Roman" w:cs="Times New Roman"/>
          <w:i/>
          <w:iCs/>
        </w:rPr>
        <w:t>Smith v United States</w:t>
      </w:r>
      <w:r w:rsidR="00695DCD">
        <w:rPr>
          <w:rFonts w:ascii="Times New Roman" w:hAnsi="Times New Roman" w:cs="Times New Roman"/>
          <w:i/>
          <w:iCs/>
        </w:rPr>
        <w:t>,</w:t>
      </w:r>
      <w:r w:rsidR="00F566D8" w:rsidRPr="00FF395A">
        <w:rPr>
          <w:rStyle w:val="FootnoteReference"/>
        </w:rPr>
        <w:footnoteReference w:id="54"/>
      </w:r>
      <w:r w:rsidR="00695DCD">
        <w:rPr>
          <w:rFonts w:ascii="Times New Roman" w:hAnsi="Times New Roman" w:cs="Times New Roman"/>
        </w:rPr>
        <w:t xml:space="preserve"> where </w:t>
      </w:r>
      <w:r w:rsidR="00B30634">
        <w:rPr>
          <w:rFonts w:ascii="Times New Roman" w:hAnsi="Times New Roman" w:cs="Times New Roman"/>
        </w:rPr>
        <w:t>the USSC held that ‘</w:t>
      </w:r>
      <w:r w:rsidR="00851625">
        <w:rPr>
          <w:rFonts w:ascii="Times New Roman" w:hAnsi="Times New Roman" w:cs="Times New Roman"/>
        </w:rPr>
        <w:t>using</w:t>
      </w:r>
      <w:r w:rsidR="00B30634">
        <w:rPr>
          <w:rFonts w:ascii="Times New Roman" w:hAnsi="Times New Roman" w:cs="Times New Roman"/>
        </w:rPr>
        <w:t xml:space="preserve"> a firearm’ included</w:t>
      </w:r>
      <w:r w:rsidR="00695DCD">
        <w:rPr>
          <w:rFonts w:ascii="Times New Roman" w:hAnsi="Times New Roman" w:cs="Times New Roman"/>
        </w:rPr>
        <w:t xml:space="preserve"> the trading of a gun for drugs</w:t>
      </w:r>
      <w:r w:rsidR="00B30634">
        <w:rPr>
          <w:rFonts w:ascii="Times New Roman" w:hAnsi="Times New Roman" w:cs="Times New Roman"/>
        </w:rPr>
        <w:t>. Here, Justice Scalia dissented</w:t>
      </w:r>
      <w:r w:rsidR="003A0809">
        <w:rPr>
          <w:rFonts w:ascii="Times New Roman" w:hAnsi="Times New Roman" w:cs="Times New Roman"/>
        </w:rPr>
        <w:t xml:space="preserve">, stating that such a strict interpretation of the phrase was </w:t>
      </w:r>
      <w:r w:rsidR="00B60164">
        <w:rPr>
          <w:rFonts w:ascii="Times New Roman" w:hAnsi="Times New Roman" w:cs="Times New Roman"/>
        </w:rPr>
        <w:t>un</w:t>
      </w:r>
      <w:r w:rsidR="003A0809">
        <w:rPr>
          <w:rFonts w:ascii="Times New Roman" w:hAnsi="Times New Roman" w:cs="Times New Roman"/>
        </w:rPr>
        <w:t>ordinary and unpredictable, and therefore incompatible with the rule of law</w:t>
      </w:r>
      <w:r w:rsidR="00E505CD">
        <w:rPr>
          <w:rFonts w:ascii="Times New Roman" w:hAnsi="Times New Roman" w:cs="Times New Roman"/>
        </w:rPr>
        <w:t>.</w:t>
      </w:r>
      <w:r w:rsidR="005929A5" w:rsidRPr="00FF395A">
        <w:rPr>
          <w:rStyle w:val="FootnoteReference"/>
        </w:rPr>
        <w:footnoteReference w:id="55"/>
      </w:r>
    </w:p>
    <w:p w14:paraId="672749FF" w14:textId="77777777" w:rsidR="003E12C2" w:rsidRDefault="00AA3E92" w:rsidP="0013053A">
      <w:pPr>
        <w:spacing w:line="480" w:lineRule="auto"/>
        <w:jc w:val="both"/>
        <w:rPr>
          <w:rFonts w:ascii="Times New Roman" w:hAnsi="Times New Roman" w:cs="Times New Roman"/>
        </w:rPr>
      </w:pPr>
      <w:r>
        <w:rPr>
          <w:rFonts w:ascii="Times New Roman" w:hAnsi="Times New Roman" w:cs="Times New Roman"/>
        </w:rPr>
        <w:t>The formalist debate will inherently drive</w:t>
      </w:r>
      <w:r w:rsidR="00FF7D6F">
        <w:rPr>
          <w:rFonts w:ascii="Times New Roman" w:hAnsi="Times New Roman" w:cs="Times New Roman"/>
        </w:rPr>
        <w:t xml:space="preserve"> a</w:t>
      </w:r>
      <w:r w:rsidR="006A564C">
        <w:rPr>
          <w:rFonts w:ascii="Times New Roman" w:hAnsi="Times New Roman" w:cs="Times New Roman"/>
        </w:rPr>
        <w:t>ny</w:t>
      </w:r>
      <w:r w:rsidR="00FF7D6F">
        <w:rPr>
          <w:rFonts w:ascii="Times New Roman" w:hAnsi="Times New Roman" w:cs="Times New Roman"/>
        </w:rPr>
        <w:t xml:space="preserve"> RaC approach to ambiguity both </w:t>
      </w:r>
      <w:r w:rsidR="00500BA7">
        <w:rPr>
          <w:rFonts w:ascii="Times New Roman" w:hAnsi="Times New Roman" w:cs="Times New Roman"/>
        </w:rPr>
        <w:t xml:space="preserve">unintentional, such as failures of legal drafters to account for </w:t>
      </w:r>
      <w:r w:rsidR="00021863">
        <w:rPr>
          <w:rFonts w:ascii="Times New Roman" w:hAnsi="Times New Roman" w:cs="Times New Roman"/>
        </w:rPr>
        <w:t xml:space="preserve">varying interpretations in unusual circumstances, and deliberate, </w:t>
      </w:r>
      <w:r w:rsidR="00374EE7">
        <w:rPr>
          <w:rFonts w:ascii="Times New Roman" w:hAnsi="Times New Roman" w:cs="Times New Roman"/>
        </w:rPr>
        <w:t>referring to the use of terms</w:t>
      </w:r>
      <w:r w:rsidR="003B1A2B">
        <w:rPr>
          <w:rFonts w:ascii="Times New Roman" w:hAnsi="Times New Roman" w:cs="Times New Roman"/>
        </w:rPr>
        <w:t xml:space="preserve"> designed</w:t>
      </w:r>
      <w:r w:rsidR="00374EE7">
        <w:rPr>
          <w:rFonts w:ascii="Times New Roman" w:hAnsi="Times New Roman" w:cs="Times New Roman"/>
        </w:rPr>
        <w:t xml:space="preserve"> to invoke judicial discretionary powers.</w:t>
      </w:r>
      <w:r w:rsidR="00837B88">
        <w:rPr>
          <w:rFonts w:ascii="Times New Roman" w:hAnsi="Times New Roman" w:cs="Times New Roman"/>
        </w:rPr>
        <w:t xml:space="preserve"> </w:t>
      </w:r>
    </w:p>
    <w:p w14:paraId="2D2B263D" w14:textId="7B605217" w:rsidR="00374EE7" w:rsidRDefault="00374EE7" w:rsidP="0013053A">
      <w:pPr>
        <w:spacing w:line="480" w:lineRule="auto"/>
        <w:jc w:val="both"/>
        <w:rPr>
          <w:rFonts w:ascii="Times New Roman" w:hAnsi="Times New Roman" w:cs="Times New Roman"/>
        </w:rPr>
      </w:pPr>
      <w:r>
        <w:rPr>
          <w:rFonts w:ascii="Times New Roman" w:hAnsi="Times New Roman" w:cs="Times New Roman"/>
        </w:rPr>
        <w:t>The former</w:t>
      </w:r>
      <w:r w:rsidR="00837B88">
        <w:rPr>
          <w:rFonts w:ascii="Times New Roman" w:hAnsi="Times New Roman" w:cs="Times New Roman"/>
        </w:rPr>
        <w:t xml:space="preserve"> can be illustrated through </w:t>
      </w:r>
      <w:r w:rsidR="00837B88">
        <w:rPr>
          <w:rFonts w:ascii="Times New Roman" w:hAnsi="Times New Roman" w:cs="Times New Roman"/>
          <w:i/>
          <w:iCs/>
        </w:rPr>
        <w:t>Nix v Hedden</w:t>
      </w:r>
      <w:r w:rsidR="008219B2">
        <w:rPr>
          <w:rFonts w:ascii="Times New Roman" w:hAnsi="Times New Roman" w:cs="Times New Roman"/>
          <w:i/>
          <w:iCs/>
        </w:rPr>
        <w:t xml:space="preserve"> </w:t>
      </w:r>
      <w:r w:rsidR="008219B2" w:rsidRPr="008219B2">
        <w:rPr>
          <w:rFonts w:ascii="Times New Roman" w:hAnsi="Times New Roman" w:cs="Times New Roman"/>
        </w:rPr>
        <w:t>(“</w:t>
      </w:r>
      <w:r w:rsidR="008219B2">
        <w:rPr>
          <w:rFonts w:ascii="Times New Roman" w:hAnsi="Times New Roman" w:cs="Times New Roman"/>
          <w:i/>
          <w:iCs/>
        </w:rPr>
        <w:t>Nix</w:t>
      </w:r>
      <w:r w:rsidR="008219B2" w:rsidRPr="008219B2">
        <w:rPr>
          <w:rFonts w:ascii="Times New Roman" w:hAnsi="Times New Roman" w:cs="Times New Roman"/>
        </w:rPr>
        <w:t>”)</w:t>
      </w:r>
      <w:r w:rsidR="00837B88">
        <w:rPr>
          <w:rFonts w:ascii="Times New Roman" w:hAnsi="Times New Roman" w:cs="Times New Roman"/>
        </w:rPr>
        <w:t>,</w:t>
      </w:r>
      <w:r w:rsidR="008961F4" w:rsidRPr="00FF395A">
        <w:rPr>
          <w:rStyle w:val="FootnoteReference"/>
        </w:rPr>
        <w:footnoteReference w:id="56"/>
      </w:r>
      <w:r w:rsidR="00837B88">
        <w:rPr>
          <w:rFonts w:ascii="Times New Roman" w:hAnsi="Times New Roman" w:cs="Times New Roman"/>
        </w:rPr>
        <w:t xml:space="preserve"> a case </w:t>
      </w:r>
      <w:r w:rsidR="00595CE9">
        <w:rPr>
          <w:rFonts w:ascii="Times New Roman" w:hAnsi="Times New Roman" w:cs="Times New Roman"/>
        </w:rPr>
        <w:t>on the cusp of the United States’ transformation from formalism to legal realism, which saw dispute ov</w:t>
      </w:r>
      <w:r w:rsidR="00761567">
        <w:rPr>
          <w:rFonts w:ascii="Times New Roman" w:hAnsi="Times New Roman" w:cs="Times New Roman"/>
        </w:rPr>
        <w:t>er whether</w:t>
      </w:r>
      <w:r w:rsidR="008961F4">
        <w:rPr>
          <w:rFonts w:ascii="Times New Roman" w:hAnsi="Times New Roman" w:cs="Times New Roman"/>
        </w:rPr>
        <w:t xml:space="preserve">, for </w:t>
      </w:r>
      <w:r w:rsidR="00AD6850">
        <w:rPr>
          <w:rFonts w:ascii="Times New Roman" w:hAnsi="Times New Roman" w:cs="Times New Roman"/>
        </w:rPr>
        <w:t>taxation</w:t>
      </w:r>
      <w:r w:rsidR="008961F4">
        <w:rPr>
          <w:rFonts w:ascii="Times New Roman" w:hAnsi="Times New Roman" w:cs="Times New Roman"/>
        </w:rPr>
        <w:t xml:space="preserve"> purposes,</w:t>
      </w:r>
      <w:r w:rsidR="00761567">
        <w:rPr>
          <w:rFonts w:ascii="Times New Roman" w:hAnsi="Times New Roman" w:cs="Times New Roman"/>
        </w:rPr>
        <w:t xml:space="preserve"> a tomato might be seen as a fruit</w:t>
      </w:r>
      <w:r w:rsidR="00C0028D">
        <w:rPr>
          <w:rFonts w:ascii="Times New Roman" w:hAnsi="Times New Roman" w:cs="Times New Roman"/>
        </w:rPr>
        <w:t>,</w:t>
      </w:r>
      <w:r w:rsidR="00761567">
        <w:rPr>
          <w:rFonts w:ascii="Times New Roman" w:hAnsi="Times New Roman" w:cs="Times New Roman"/>
        </w:rPr>
        <w:t xml:space="preserve"> as it technically is </w:t>
      </w:r>
      <w:r w:rsidR="003E0E68">
        <w:rPr>
          <w:rFonts w:ascii="Times New Roman" w:hAnsi="Times New Roman" w:cs="Times New Roman"/>
        </w:rPr>
        <w:t>botanically</w:t>
      </w:r>
      <w:r w:rsidR="00C0028D">
        <w:rPr>
          <w:rFonts w:ascii="Times New Roman" w:hAnsi="Times New Roman" w:cs="Times New Roman"/>
        </w:rPr>
        <w:t>,</w:t>
      </w:r>
      <w:r w:rsidR="008961F4">
        <w:rPr>
          <w:rFonts w:ascii="Times New Roman" w:hAnsi="Times New Roman" w:cs="Times New Roman"/>
        </w:rPr>
        <w:t xml:space="preserve"> or a vegetable</w:t>
      </w:r>
      <w:r w:rsidR="00C0028D">
        <w:rPr>
          <w:rFonts w:ascii="Times New Roman" w:hAnsi="Times New Roman" w:cs="Times New Roman"/>
        </w:rPr>
        <w:t>,</w:t>
      </w:r>
      <w:r w:rsidR="008961F4">
        <w:rPr>
          <w:rFonts w:ascii="Times New Roman" w:hAnsi="Times New Roman" w:cs="Times New Roman"/>
        </w:rPr>
        <w:t xml:space="preserve"> as it is generally</w:t>
      </w:r>
      <w:r w:rsidR="00D748DF">
        <w:rPr>
          <w:rFonts w:ascii="Times New Roman" w:hAnsi="Times New Roman" w:cs="Times New Roman"/>
        </w:rPr>
        <w:t xml:space="preserve">, and therefore whether it would be included in a tariff on imported vegetables. </w:t>
      </w:r>
      <w:r w:rsidR="00196790">
        <w:rPr>
          <w:rFonts w:ascii="Times New Roman" w:hAnsi="Times New Roman" w:cs="Times New Roman"/>
        </w:rPr>
        <w:t>In taking a</w:t>
      </w:r>
      <w:r w:rsidR="00BE7E64">
        <w:rPr>
          <w:rFonts w:ascii="Times New Roman" w:hAnsi="Times New Roman" w:cs="Times New Roman"/>
        </w:rPr>
        <w:t xml:space="preserve"> unique view for the time, the </w:t>
      </w:r>
      <w:r w:rsidR="001E3E35">
        <w:rPr>
          <w:rFonts w:ascii="Times New Roman" w:hAnsi="Times New Roman" w:cs="Times New Roman"/>
        </w:rPr>
        <w:t xml:space="preserve">USSC </w:t>
      </w:r>
      <w:r w:rsidR="00BE7E64">
        <w:rPr>
          <w:rFonts w:ascii="Times New Roman" w:hAnsi="Times New Roman" w:cs="Times New Roman"/>
        </w:rPr>
        <w:t>held that</w:t>
      </w:r>
      <w:r w:rsidR="002C553A">
        <w:rPr>
          <w:rFonts w:ascii="Times New Roman" w:hAnsi="Times New Roman" w:cs="Times New Roman"/>
        </w:rPr>
        <w:t>,</w:t>
      </w:r>
      <w:r w:rsidR="00BE7E64">
        <w:rPr>
          <w:rFonts w:ascii="Times New Roman" w:hAnsi="Times New Roman" w:cs="Times New Roman"/>
        </w:rPr>
        <w:t xml:space="preserve"> as the general</w:t>
      </w:r>
      <w:r w:rsidR="00357D24">
        <w:rPr>
          <w:rFonts w:ascii="Times New Roman" w:hAnsi="Times New Roman" w:cs="Times New Roman"/>
        </w:rPr>
        <w:t xml:space="preserve"> and predictable</w:t>
      </w:r>
      <w:r w:rsidR="00BE7E64">
        <w:rPr>
          <w:rFonts w:ascii="Times New Roman" w:hAnsi="Times New Roman" w:cs="Times New Roman"/>
        </w:rPr>
        <w:t xml:space="preserve"> understanding of a tomato was that it was a vegetable, it would </w:t>
      </w:r>
      <w:r w:rsidR="00BE041E">
        <w:rPr>
          <w:rFonts w:ascii="Times New Roman" w:hAnsi="Times New Roman" w:cs="Times New Roman"/>
        </w:rPr>
        <w:t>be included in the tariff on vegetable imports</w:t>
      </w:r>
      <w:r w:rsidR="00AE51D8">
        <w:rPr>
          <w:rFonts w:ascii="Times New Roman" w:hAnsi="Times New Roman" w:cs="Times New Roman"/>
        </w:rPr>
        <w:t>,</w:t>
      </w:r>
      <w:r w:rsidR="00BF788F" w:rsidRPr="00BF788F">
        <w:rPr>
          <w:rStyle w:val="FootnoteReference"/>
          <w:rFonts w:ascii="Times New Roman" w:hAnsi="Times New Roman" w:cs="Times New Roman"/>
        </w:rPr>
        <w:t xml:space="preserve"> </w:t>
      </w:r>
      <w:r w:rsidR="00BF788F" w:rsidRPr="00FF395A">
        <w:rPr>
          <w:rStyle w:val="FootnoteReference"/>
        </w:rPr>
        <w:footnoteReference w:id="57"/>
      </w:r>
      <w:r w:rsidR="00AE51D8">
        <w:rPr>
          <w:rFonts w:ascii="Times New Roman" w:hAnsi="Times New Roman" w:cs="Times New Roman"/>
        </w:rPr>
        <w:t xml:space="preserve"> </w:t>
      </w:r>
      <w:r w:rsidR="00BF788F">
        <w:rPr>
          <w:rFonts w:ascii="Times New Roman" w:hAnsi="Times New Roman" w:cs="Times New Roman"/>
        </w:rPr>
        <w:t>aligning itself with the ‘realists’.</w:t>
      </w:r>
      <w:r w:rsidR="00321753" w:rsidRPr="00FF395A">
        <w:rPr>
          <w:rStyle w:val="FootnoteReference"/>
        </w:rPr>
        <w:footnoteReference w:id="58"/>
      </w:r>
      <w:r w:rsidR="00BF788F">
        <w:rPr>
          <w:rFonts w:ascii="Times New Roman" w:hAnsi="Times New Roman" w:cs="Times New Roman"/>
        </w:rPr>
        <w:t xml:space="preserve"> To replicate such a decision in code</w:t>
      </w:r>
      <w:r w:rsidR="003A71E5">
        <w:rPr>
          <w:rFonts w:ascii="Times New Roman" w:hAnsi="Times New Roman" w:cs="Times New Roman"/>
        </w:rPr>
        <w:t xml:space="preserve"> however, </w:t>
      </w:r>
      <w:r w:rsidR="00BF788F">
        <w:rPr>
          <w:rFonts w:ascii="Times New Roman" w:hAnsi="Times New Roman" w:cs="Times New Roman"/>
        </w:rPr>
        <w:t>would require the manual determination and entry for every possible</w:t>
      </w:r>
      <w:r w:rsidR="00502538">
        <w:rPr>
          <w:rFonts w:ascii="Times New Roman" w:hAnsi="Times New Roman" w:cs="Times New Roman"/>
        </w:rPr>
        <w:t xml:space="preserve"> fruit and vegetable into lists</w:t>
      </w:r>
      <w:r w:rsidR="00CD02E7">
        <w:rPr>
          <w:rFonts w:ascii="Times New Roman" w:hAnsi="Times New Roman" w:cs="Times New Roman"/>
        </w:rPr>
        <w:t xml:space="preserve"> in a method arguably similar to Wolfram’s natural language,</w:t>
      </w:r>
      <w:r w:rsidR="00CD02E7" w:rsidRPr="00FF395A">
        <w:rPr>
          <w:rStyle w:val="FootnoteReference"/>
        </w:rPr>
        <w:footnoteReference w:id="59"/>
      </w:r>
      <w:r w:rsidR="00502538">
        <w:rPr>
          <w:rFonts w:ascii="Times New Roman" w:hAnsi="Times New Roman" w:cs="Times New Roman"/>
        </w:rPr>
        <w:t xml:space="preserve"> </w:t>
      </w:r>
      <w:r w:rsidR="00D62AC4">
        <w:rPr>
          <w:rFonts w:ascii="Times New Roman" w:hAnsi="Times New Roman" w:cs="Times New Roman"/>
        </w:rPr>
        <w:t>as opposed to simply classifying goods based on relevant attributes</w:t>
      </w:r>
      <w:r w:rsidR="001D621A">
        <w:rPr>
          <w:rFonts w:ascii="Times New Roman" w:hAnsi="Times New Roman" w:cs="Times New Roman"/>
        </w:rPr>
        <w:t xml:space="preserve"> as in the formalist’s approach</w:t>
      </w:r>
      <w:r w:rsidR="00AE0AB7">
        <w:rPr>
          <w:rFonts w:ascii="Times New Roman" w:hAnsi="Times New Roman" w:cs="Times New Roman"/>
        </w:rPr>
        <w:t xml:space="preserve">. </w:t>
      </w:r>
      <w:r w:rsidR="00EA7B68">
        <w:rPr>
          <w:rFonts w:ascii="Times New Roman" w:hAnsi="Times New Roman" w:cs="Times New Roman"/>
        </w:rPr>
        <w:t xml:space="preserve">Figure 1 demonstrates the relevance of </w:t>
      </w:r>
      <w:r w:rsidR="00EA7B68">
        <w:rPr>
          <w:rFonts w:ascii="Times New Roman" w:hAnsi="Times New Roman" w:cs="Times New Roman"/>
          <w:i/>
          <w:iCs/>
        </w:rPr>
        <w:t xml:space="preserve">Nix </w:t>
      </w:r>
      <w:r w:rsidR="00EA7B68">
        <w:rPr>
          <w:rFonts w:ascii="Times New Roman" w:hAnsi="Times New Roman" w:cs="Times New Roman"/>
        </w:rPr>
        <w:t xml:space="preserve">to RaC, illustrating how two programmers might reach separate but </w:t>
      </w:r>
      <w:r w:rsidR="00C0028D">
        <w:rPr>
          <w:rFonts w:ascii="Times New Roman" w:hAnsi="Times New Roman" w:cs="Times New Roman"/>
        </w:rPr>
        <w:t>reasonable</w:t>
      </w:r>
      <w:r w:rsidR="00EA7B68">
        <w:rPr>
          <w:rFonts w:ascii="Times New Roman" w:hAnsi="Times New Roman" w:cs="Times New Roman"/>
        </w:rPr>
        <w:t xml:space="preserve"> conclusions which would result in entirely different outcomes of the case.</w:t>
      </w:r>
      <w:r w:rsidR="00051965">
        <w:rPr>
          <w:rFonts w:ascii="Times New Roman" w:hAnsi="Times New Roman" w:cs="Times New Roman"/>
        </w:rPr>
        <w:t xml:space="preserve"> TODO THIS MIGHT BE BETTER IN ANALYTICAL SECTION</w:t>
      </w:r>
    </w:p>
    <w:bookmarkStart w:id="1" w:name="_MON_1659602237"/>
    <w:bookmarkEnd w:id="1"/>
    <w:p w14:paraId="00451FB3" w14:textId="77777777" w:rsidR="003A71E5" w:rsidRDefault="003A71E5" w:rsidP="003A71E5">
      <w:pPr>
        <w:keepNext/>
        <w:spacing w:line="480" w:lineRule="auto"/>
        <w:jc w:val="both"/>
      </w:pPr>
      <w:r>
        <w:rPr>
          <w:rFonts w:ascii="Times New Roman" w:hAnsi="Times New Roman" w:cs="Times New Roman"/>
        </w:rPr>
        <w:object w:dxaOrig="9026" w:dyaOrig="9659" w14:anchorId="50484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481.1pt" o:ole="">
            <v:imagedata r:id="rId7" o:title=""/>
          </v:shape>
          <o:OLEObject Type="Embed" ProgID="Word.DocumentMacroEnabled.12" ShapeID="_x0000_i1025" DrawAspect="Content" ObjectID="_1663315005" r:id="rId8"/>
        </w:object>
      </w:r>
    </w:p>
    <w:p w14:paraId="76DDD15E" w14:textId="367C64EA" w:rsidR="003A71E5" w:rsidRPr="00E32E9B" w:rsidRDefault="003A71E5" w:rsidP="003A71E5">
      <w:pPr>
        <w:pStyle w:val="Caption"/>
        <w:rPr>
          <w:rFonts w:ascii="Times New Roman" w:hAnsi="Times New Roman" w:cs="Times New Roman"/>
          <w:i w:val="0"/>
          <w:iCs w:val="0"/>
        </w:rPr>
      </w:pPr>
      <w:r w:rsidRPr="00E32E9B">
        <w:rPr>
          <w:b/>
          <w:bCs/>
          <w:i w:val="0"/>
          <w:iCs w:val="0"/>
        </w:rPr>
        <w:t xml:space="preserve">Figure </w:t>
      </w:r>
      <w:r w:rsidRPr="00E32E9B">
        <w:rPr>
          <w:b/>
          <w:bCs/>
          <w:i w:val="0"/>
          <w:iCs w:val="0"/>
        </w:rPr>
        <w:fldChar w:fldCharType="begin"/>
      </w:r>
      <w:r w:rsidRPr="00E32E9B">
        <w:rPr>
          <w:b/>
          <w:bCs/>
          <w:i w:val="0"/>
          <w:iCs w:val="0"/>
        </w:rPr>
        <w:instrText xml:space="preserve"> SEQ Figure \* ARABIC </w:instrText>
      </w:r>
      <w:r w:rsidRPr="00E32E9B">
        <w:rPr>
          <w:b/>
          <w:bCs/>
          <w:i w:val="0"/>
          <w:iCs w:val="0"/>
        </w:rPr>
        <w:fldChar w:fldCharType="separate"/>
      </w:r>
      <w:r w:rsidR="00EF76E3">
        <w:rPr>
          <w:b/>
          <w:bCs/>
          <w:i w:val="0"/>
          <w:iCs w:val="0"/>
          <w:noProof/>
        </w:rPr>
        <w:t>1</w:t>
      </w:r>
      <w:r w:rsidRPr="00E32E9B">
        <w:rPr>
          <w:b/>
          <w:bCs/>
          <w:i w:val="0"/>
          <w:iCs w:val="0"/>
        </w:rPr>
        <w:fldChar w:fldCharType="end"/>
      </w:r>
      <w:r w:rsidRPr="00E32E9B">
        <w:rPr>
          <w:i w:val="0"/>
          <w:iCs w:val="0"/>
        </w:rPr>
        <w:t xml:space="preserve"> </w:t>
      </w:r>
      <w:r w:rsidR="00802FF4">
        <w:rPr>
          <w:i w:val="0"/>
          <w:iCs w:val="0"/>
        </w:rPr>
        <w:t>–</w:t>
      </w:r>
      <w:r w:rsidRPr="00E32E9B">
        <w:rPr>
          <w:i w:val="0"/>
          <w:iCs w:val="0"/>
        </w:rPr>
        <w:t xml:space="preserve"> A formalist vs non-formalist approach to </w:t>
      </w:r>
      <w:r w:rsidRPr="00E32E9B">
        <w:t>Nix v Hedden</w:t>
      </w:r>
      <w:r w:rsidRPr="00E32E9B">
        <w:rPr>
          <w:i w:val="0"/>
          <w:iCs w:val="0"/>
        </w:rPr>
        <w:t>. Compatible with Python 3.</w:t>
      </w:r>
      <w:r w:rsidR="00E0573A">
        <w:rPr>
          <w:i w:val="0"/>
          <w:iCs w:val="0"/>
        </w:rPr>
        <w:br/>
      </w:r>
    </w:p>
    <w:p w14:paraId="0AE611B3" w14:textId="691CB164" w:rsidR="00B417C3" w:rsidRDefault="00A666BE" w:rsidP="00814C14">
      <w:pPr>
        <w:spacing w:line="480" w:lineRule="auto"/>
        <w:jc w:val="both"/>
        <w:rPr>
          <w:rFonts w:ascii="Times New Roman" w:hAnsi="Times New Roman" w:cs="Times New Roman"/>
        </w:rPr>
      </w:pPr>
      <w:r>
        <w:rPr>
          <w:rFonts w:ascii="Times New Roman" w:hAnsi="Times New Roman" w:cs="Times New Roman"/>
        </w:rPr>
        <w:t>Of likely greater concern to critics such as McIntyre, however, is the potential eradication of deliberate ambiguity giving rise to judicial law-making powers.</w:t>
      </w:r>
      <w:r w:rsidR="0012598D">
        <w:rPr>
          <w:rFonts w:ascii="Times New Roman" w:hAnsi="Times New Roman" w:cs="Times New Roman"/>
        </w:rPr>
        <w:t xml:space="preserve"> </w:t>
      </w:r>
      <w:r w:rsidR="0012598D" w:rsidRPr="00B67F00">
        <w:rPr>
          <w:rFonts w:ascii="Times New Roman" w:hAnsi="Times New Roman" w:cs="Times New Roman"/>
        </w:rPr>
        <w:t xml:space="preserve">The OECD’s response </w:t>
      </w:r>
      <w:r w:rsidR="0012598D">
        <w:rPr>
          <w:rFonts w:ascii="Times New Roman" w:hAnsi="Times New Roman" w:cs="Times New Roman"/>
        </w:rPr>
        <w:t>to McIntyre’s Napoleonic comparison</w:t>
      </w:r>
      <w:r w:rsidR="00756AF0" w:rsidRPr="00FF395A">
        <w:rPr>
          <w:rStyle w:val="FootnoteReference"/>
        </w:rPr>
        <w:footnoteReference w:id="60"/>
      </w:r>
      <w:r w:rsidR="0012598D">
        <w:rPr>
          <w:rFonts w:ascii="Times New Roman" w:hAnsi="Times New Roman" w:cs="Times New Roman"/>
        </w:rPr>
        <w:t xml:space="preserve"> </w:t>
      </w:r>
      <w:r w:rsidR="0012598D" w:rsidRPr="00B67F00">
        <w:rPr>
          <w:rFonts w:ascii="Times New Roman" w:hAnsi="Times New Roman" w:cs="Times New Roman"/>
        </w:rPr>
        <w:t xml:space="preserve">acknowledged such risks, but only to the extent that RaC might result in adverse outcomes </w:t>
      </w:r>
      <w:r w:rsidR="00071535">
        <w:rPr>
          <w:rFonts w:ascii="Times New Roman" w:hAnsi="Times New Roman" w:cs="Times New Roman"/>
        </w:rPr>
        <w:t>of</w:t>
      </w:r>
      <w:r w:rsidR="0012598D" w:rsidRPr="00B67F00">
        <w:rPr>
          <w:rFonts w:ascii="Times New Roman" w:hAnsi="Times New Roman" w:cs="Times New Roman"/>
        </w:rPr>
        <w:t xml:space="preserve"> a similar manner to other automated decision-making software.</w:t>
      </w:r>
      <w:r w:rsidR="0012598D" w:rsidRPr="00FF395A">
        <w:rPr>
          <w:rStyle w:val="FootnoteReference"/>
        </w:rPr>
        <w:footnoteReference w:id="61"/>
      </w:r>
      <w:r w:rsidR="0012598D" w:rsidRPr="00B67F00">
        <w:rPr>
          <w:rFonts w:ascii="Times New Roman" w:hAnsi="Times New Roman" w:cs="Times New Roman"/>
        </w:rPr>
        <w:t xml:space="preserve"> </w:t>
      </w:r>
      <w:r w:rsidR="00D8469E">
        <w:rPr>
          <w:rFonts w:ascii="Times New Roman" w:hAnsi="Times New Roman" w:cs="Times New Roman"/>
        </w:rPr>
        <w:t>Here,</w:t>
      </w:r>
      <w:r w:rsidR="0012598D" w:rsidRPr="00B67F00">
        <w:rPr>
          <w:rFonts w:ascii="Times New Roman" w:hAnsi="Times New Roman" w:cs="Times New Roman"/>
        </w:rPr>
        <w:t xml:space="preserve"> the OECD failed to recognise </w:t>
      </w:r>
      <w:r w:rsidR="0012598D" w:rsidRPr="00B67F00">
        <w:rPr>
          <w:rFonts w:ascii="Times New Roman" w:hAnsi="Times New Roman" w:cs="Times New Roman"/>
        </w:rPr>
        <w:lastRenderedPageBreak/>
        <w:t>that just as they expect RaC to influence lawmakers toward reducing logical inconsistencies in their drafting,</w:t>
      </w:r>
      <w:r w:rsidR="00F33EAE" w:rsidRPr="00FF395A">
        <w:rPr>
          <w:rStyle w:val="FootnoteReference"/>
        </w:rPr>
        <w:footnoteReference w:id="62"/>
      </w:r>
      <w:r w:rsidR="0012598D" w:rsidRPr="00B67F00">
        <w:rPr>
          <w:rFonts w:ascii="Times New Roman" w:hAnsi="Times New Roman" w:cs="Times New Roman"/>
        </w:rPr>
        <w:t xml:space="preserve"> it may also unintentionally encourage legislators to </w:t>
      </w:r>
      <w:r w:rsidR="00C0028D">
        <w:rPr>
          <w:rFonts w:ascii="Times New Roman" w:hAnsi="Times New Roman" w:cs="Times New Roman"/>
        </w:rPr>
        <w:t>draft</w:t>
      </w:r>
      <w:r w:rsidR="0012598D" w:rsidRPr="00B67F00">
        <w:rPr>
          <w:rFonts w:ascii="Times New Roman" w:hAnsi="Times New Roman" w:cs="Times New Roman"/>
        </w:rPr>
        <w:t xml:space="preserve"> </w:t>
      </w:r>
      <w:r w:rsidR="00C0028D">
        <w:rPr>
          <w:rFonts w:ascii="Times New Roman" w:hAnsi="Times New Roman" w:cs="Times New Roman"/>
        </w:rPr>
        <w:t>with</w:t>
      </w:r>
      <w:r w:rsidR="0012598D" w:rsidRPr="00B67F00">
        <w:rPr>
          <w:rFonts w:ascii="Times New Roman" w:hAnsi="Times New Roman" w:cs="Times New Roman"/>
        </w:rPr>
        <w:t xml:space="preserve"> a more formalist perspective in an attempt to accommodate digital conversion.</w:t>
      </w:r>
      <w:r w:rsidR="00C8556D">
        <w:rPr>
          <w:rFonts w:ascii="Times New Roman" w:hAnsi="Times New Roman" w:cs="Times New Roman"/>
        </w:rPr>
        <w:t xml:space="preserve"> </w:t>
      </w:r>
      <w:r w:rsidR="007857EA">
        <w:rPr>
          <w:rFonts w:ascii="Times New Roman" w:hAnsi="Times New Roman" w:cs="Times New Roman"/>
        </w:rPr>
        <w:t>The OECD and other adopters of Rules as Code</w:t>
      </w:r>
      <w:r w:rsidR="007A19E4">
        <w:rPr>
          <w:rFonts w:ascii="Times New Roman" w:hAnsi="Times New Roman" w:cs="Times New Roman"/>
        </w:rPr>
        <w:t xml:space="preserve"> </w:t>
      </w:r>
      <w:r w:rsidR="007857EA">
        <w:rPr>
          <w:rFonts w:ascii="Times New Roman" w:hAnsi="Times New Roman" w:cs="Times New Roman"/>
        </w:rPr>
        <w:t>have further tried to soothe concerns</w:t>
      </w:r>
      <w:r w:rsidR="00E45ECD">
        <w:rPr>
          <w:rFonts w:ascii="Times New Roman" w:hAnsi="Times New Roman" w:cs="Times New Roman"/>
        </w:rPr>
        <w:t xml:space="preserve"> by indicating that Rules as Code could be limited to </w:t>
      </w:r>
      <w:r w:rsidR="005E5B7E">
        <w:rPr>
          <w:rFonts w:ascii="Times New Roman" w:hAnsi="Times New Roman" w:cs="Times New Roman"/>
        </w:rPr>
        <w:t>solely prescriptive and unambiguous legal texts</w:t>
      </w:r>
      <w:r w:rsidR="005B11FB">
        <w:rPr>
          <w:rFonts w:ascii="Times New Roman" w:hAnsi="Times New Roman" w:cs="Times New Roman"/>
        </w:rPr>
        <w:t>.</w:t>
      </w:r>
      <w:r w:rsidR="00037D61" w:rsidRPr="00FF395A">
        <w:rPr>
          <w:rStyle w:val="FootnoteReference"/>
        </w:rPr>
        <w:footnoteReference w:id="63"/>
      </w:r>
      <w:r w:rsidR="005B11FB">
        <w:rPr>
          <w:rFonts w:ascii="Times New Roman" w:hAnsi="Times New Roman" w:cs="Times New Roman"/>
        </w:rPr>
        <w:t xml:space="preserve"> </w:t>
      </w:r>
      <w:r w:rsidR="005E63E8">
        <w:rPr>
          <w:rFonts w:ascii="Times New Roman" w:hAnsi="Times New Roman" w:cs="Times New Roman"/>
        </w:rPr>
        <w:t>Such</w:t>
      </w:r>
      <w:r w:rsidR="005B11FB">
        <w:rPr>
          <w:rFonts w:ascii="Times New Roman" w:hAnsi="Times New Roman" w:cs="Times New Roman"/>
        </w:rPr>
        <w:t xml:space="preserve"> claim</w:t>
      </w:r>
      <w:r w:rsidR="005E63E8">
        <w:rPr>
          <w:rFonts w:ascii="Times New Roman" w:hAnsi="Times New Roman" w:cs="Times New Roman"/>
        </w:rPr>
        <w:t>s</w:t>
      </w:r>
      <w:r w:rsidR="005B11FB">
        <w:rPr>
          <w:rFonts w:ascii="Times New Roman" w:hAnsi="Times New Roman" w:cs="Times New Roman"/>
        </w:rPr>
        <w:t xml:space="preserve"> appear to be at odds with RaC justifications highlight</w:t>
      </w:r>
      <w:r w:rsidR="005E63E8">
        <w:rPr>
          <w:rFonts w:ascii="Times New Roman" w:hAnsi="Times New Roman" w:cs="Times New Roman"/>
        </w:rPr>
        <w:t>ing</w:t>
      </w:r>
      <w:r w:rsidR="005B11FB">
        <w:rPr>
          <w:rFonts w:ascii="Times New Roman" w:hAnsi="Times New Roman" w:cs="Times New Roman"/>
        </w:rPr>
        <w:t xml:space="preserve"> the vas</w:t>
      </w:r>
      <w:r w:rsidR="005E63E8">
        <w:rPr>
          <w:rFonts w:ascii="Times New Roman" w:hAnsi="Times New Roman" w:cs="Times New Roman"/>
        </w:rPr>
        <w:t xml:space="preserve">t </w:t>
      </w:r>
      <w:r w:rsidR="005B11FB">
        <w:rPr>
          <w:rFonts w:ascii="Times New Roman" w:hAnsi="Times New Roman" w:cs="Times New Roman"/>
        </w:rPr>
        <w:t>expenditure</w:t>
      </w:r>
      <w:r w:rsidR="005E63E8">
        <w:rPr>
          <w:rFonts w:ascii="Times New Roman" w:hAnsi="Times New Roman" w:cs="Times New Roman"/>
        </w:rPr>
        <w:t xml:space="preserve"> which could be saved</w:t>
      </w:r>
      <w:r w:rsidR="005B11FB">
        <w:rPr>
          <w:rFonts w:ascii="Times New Roman" w:hAnsi="Times New Roman" w:cs="Times New Roman"/>
        </w:rPr>
        <w:t xml:space="preserve"> </w:t>
      </w:r>
      <w:r w:rsidR="005E63E8">
        <w:rPr>
          <w:rFonts w:ascii="Times New Roman" w:hAnsi="Times New Roman" w:cs="Times New Roman"/>
        </w:rPr>
        <w:t>through</w:t>
      </w:r>
      <w:r w:rsidR="00B74B3B">
        <w:rPr>
          <w:rFonts w:ascii="Times New Roman" w:hAnsi="Times New Roman" w:cs="Times New Roman"/>
        </w:rPr>
        <w:t xml:space="preserve"> essentially nationalising the ‘RegTech’ industry</w:t>
      </w:r>
      <w:r w:rsidR="00814C14">
        <w:rPr>
          <w:rFonts w:ascii="Times New Roman" w:hAnsi="Times New Roman" w:cs="Times New Roman"/>
        </w:rPr>
        <w:t>, given</w:t>
      </w:r>
      <w:r w:rsidR="006D4929">
        <w:rPr>
          <w:rFonts w:ascii="Times New Roman" w:hAnsi="Times New Roman" w:cs="Times New Roman"/>
        </w:rPr>
        <w:t xml:space="preserve"> the vast</w:t>
      </w:r>
      <w:r w:rsidR="00AB1708">
        <w:rPr>
          <w:rFonts w:ascii="Times New Roman" w:hAnsi="Times New Roman" w:cs="Times New Roman"/>
        </w:rPr>
        <w:t xml:space="preserve"> </w:t>
      </w:r>
      <w:r w:rsidR="00C630DD">
        <w:rPr>
          <w:rFonts w:ascii="Times New Roman" w:hAnsi="Times New Roman" w:cs="Times New Roman"/>
        </w:rPr>
        <w:t>number</w:t>
      </w:r>
      <w:r w:rsidR="00AB1708">
        <w:rPr>
          <w:rFonts w:ascii="Times New Roman" w:hAnsi="Times New Roman" w:cs="Times New Roman"/>
        </w:rPr>
        <w:t xml:space="preserve"> of discretionary terms encountered in </w:t>
      </w:r>
      <w:r w:rsidR="00C630DD">
        <w:rPr>
          <w:rFonts w:ascii="Times New Roman" w:hAnsi="Times New Roman" w:cs="Times New Roman"/>
        </w:rPr>
        <w:t xml:space="preserve">the legislative framework of the </w:t>
      </w:r>
      <w:r w:rsidR="00C43232">
        <w:rPr>
          <w:rFonts w:ascii="Times New Roman" w:hAnsi="Times New Roman" w:cs="Times New Roman"/>
        </w:rPr>
        <w:t>financial services industry</w:t>
      </w:r>
      <w:r w:rsidR="008A7D37" w:rsidRPr="00FF395A">
        <w:rPr>
          <w:rStyle w:val="FootnoteReference"/>
        </w:rPr>
        <w:footnoteReference w:id="64"/>
      </w:r>
      <w:r w:rsidR="00814C14">
        <w:rPr>
          <w:rFonts w:ascii="Times New Roman" w:hAnsi="Times New Roman" w:cs="Times New Roman"/>
        </w:rPr>
        <w:t xml:space="preserve"> which </w:t>
      </w:r>
      <w:r w:rsidR="00FC62EB">
        <w:rPr>
          <w:rFonts w:ascii="Times New Roman" w:hAnsi="Times New Roman" w:cs="Times New Roman"/>
        </w:rPr>
        <w:t xml:space="preserve">provides </w:t>
      </w:r>
      <w:r w:rsidR="00814C14">
        <w:rPr>
          <w:rFonts w:ascii="Times New Roman" w:hAnsi="Times New Roman" w:cs="Times New Roman"/>
        </w:rPr>
        <w:t>the bulk of ‘RegTech’</w:t>
      </w:r>
      <w:r w:rsidR="00FC62EB">
        <w:rPr>
          <w:rFonts w:ascii="Times New Roman" w:hAnsi="Times New Roman" w:cs="Times New Roman"/>
        </w:rPr>
        <w:t xml:space="preserve"> work</w:t>
      </w:r>
      <w:r w:rsidR="005B11FB">
        <w:rPr>
          <w:rFonts w:ascii="Times New Roman" w:hAnsi="Times New Roman" w:cs="Times New Roman"/>
        </w:rPr>
        <w:t>.</w:t>
      </w:r>
      <w:r w:rsidR="00C44FAF" w:rsidRPr="00FF395A">
        <w:rPr>
          <w:rStyle w:val="FootnoteReference"/>
        </w:rPr>
        <w:footnoteReference w:id="65"/>
      </w:r>
    </w:p>
    <w:p w14:paraId="3408721B" w14:textId="0CCE3D9F" w:rsidR="000D37D7" w:rsidRDefault="003A71E5" w:rsidP="00814C14">
      <w:pPr>
        <w:spacing w:line="480" w:lineRule="auto"/>
        <w:jc w:val="both"/>
        <w:rPr>
          <w:rFonts w:ascii="Times New Roman" w:hAnsi="Times New Roman" w:cs="Times New Roman"/>
        </w:rPr>
      </w:pPr>
      <w:r>
        <w:rPr>
          <w:rFonts w:ascii="Times New Roman" w:hAnsi="Times New Roman" w:cs="Times New Roman"/>
        </w:rPr>
        <w:t xml:space="preserve">At current, </w:t>
      </w:r>
      <w:r w:rsidR="00426195">
        <w:rPr>
          <w:rFonts w:ascii="Times New Roman" w:hAnsi="Times New Roman" w:cs="Times New Roman"/>
        </w:rPr>
        <w:t xml:space="preserve">the notion of </w:t>
      </w:r>
      <w:r w:rsidR="00667F01">
        <w:rPr>
          <w:rFonts w:ascii="Times New Roman" w:hAnsi="Times New Roman" w:cs="Times New Roman"/>
        </w:rPr>
        <w:t xml:space="preserve">a truly </w:t>
      </w:r>
      <w:r w:rsidR="00426195">
        <w:rPr>
          <w:rFonts w:ascii="Times New Roman" w:hAnsi="Times New Roman" w:cs="Times New Roman"/>
        </w:rPr>
        <w:t>non-formalist</w:t>
      </w:r>
      <w:r w:rsidR="00667F01">
        <w:rPr>
          <w:rFonts w:ascii="Times New Roman" w:hAnsi="Times New Roman" w:cs="Times New Roman"/>
        </w:rPr>
        <w:t xml:space="preserve"> Rules as Code is limited by the inherent formalism of algorithms as deterministic functions. Computer science scholars </w:t>
      </w:r>
      <w:r w:rsidR="00FF13F9">
        <w:rPr>
          <w:rFonts w:ascii="Times New Roman" w:hAnsi="Times New Roman" w:cs="Times New Roman"/>
        </w:rPr>
        <w:t>argue that algorithms may be able to evolve to a point where they might evaluate problems through a truly non-formalist method</w:t>
      </w:r>
      <w:r w:rsidR="009A5B5F">
        <w:rPr>
          <w:rFonts w:ascii="Times New Roman" w:hAnsi="Times New Roman" w:cs="Times New Roman"/>
        </w:rPr>
        <w:t>,</w:t>
      </w:r>
      <w:r w:rsidR="00FF13F9" w:rsidRPr="00FF395A">
        <w:rPr>
          <w:rStyle w:val="FootnoteReference"/>
        </w:rPr>
        <w:footnoteReference w:id="66"/>
      </w:r>
      <w:r w:rsidR="009A5B5F">
        <w:rPr>
          <w:rFonts w:ascii="Times New Roman" w:hAnsi="Times New Roman" w:cs="Times New Roman"/>
        </w:rPr>
        <w:t xml:space="preserve"> but barring such</w:t>
      </w:r>
      <w:r w:rsidR="007E53D5">
        <w:rPr>
          <w:rFonts w:ascii="Times New Roman" w:hAnsi="Times New Roman" w:cs="Times New Roman"/>
        </w:rPr>
        <w:t>, as of yet, hypothesised</w:t>
      </w:r>
      <w:r w:rsidR="009A5B5F">
        <w:rPr>
          <w:rFonts w:ascii="Times New Roman" w:hAnsi="Times New Roman" w:cs="Times New Roman"/>
        </w:rPr>
        <w:t xml:space="preserve"> advances, this paper seeks to explore how one might accommodate such legal ambiguity without adhering to a strict formalist’s perspective</w:t>
      </w:r>
      <w:r w:rsidR="00E9432C">
        <w:rPr>
          <w:rFonts w:ascii="Times New Roman" w:hAnsi="Times New Roman" w:cs="Times New Roman"/>
        </w:rPr>
        <w:t xml:space="preserve"> which detracts from the interpretative role of the judiciary</w:t>
      </w:r>
      <w:r w:rsidR="00DE68B1">
        <w:rPr>
          <w:rFonts w:ascii="Times New Roman" w:hAnsi="Times New Roman" w:cs="Times New Roman"/>
        </w:rPr>
        <w:t>.</w:t>
      </w:r>
    </w:p>
    <w:p w14:paraId="60E14EDF" w14:textId="1267D3EA" w:rsidR="00B417C3" w:rsidRDefault="00B417C3" w:rsidP="00814C14">
      <w:pPr>
        <w:spacing w:line="480" w:lineRule="auto"/>
        <w:jc w:val="both"/>
        <w:rPr>
          <w:rFonts w:ascii="Times New Roman" w:hAnsi="Times New Roman" w:cs="Times New Roman"/>
        </w:rPr>
      </w:pPr>
    </w:p>
    <w:p w14:paraId="5FAC7AF8" w14:textId="6DA916F9" w:rsidR="00E67332" w:rsidRPr="00B67F00"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r w:rsidRPr="00B67F00">
        <w:rPr>
          <w:rFonts w:ascii="Times New Roman" w:hAnsi="Times New Roman" w:cs="Times New Roman"/>
          <w:sz w:val="24"/>
          <w:szCs w:val="24"/>
        </w:rPr>
        <w:t xml:space="preserve"> </w:t>
      </w:r>
      <w:r w:rsidR="00E67332" w:rsidRPr="00B67F00">
        <w:rPr>
          <w:rFonts w:ascii="Times New Roman" w:hAnsi="Times New Roman" w:cs="Times New Roman"/>
          <w:i/>
          <w:iCs/>
          <w:sz w:val="24"/>
          <w:szCs w:val="24"/>
        </w:rPr>
        <w:t>The Act of Interpretation</w:t>
      </w:r>
    </w:p>
    <w:p w14:paraId="76F66F55" w14:textId="4BFEAA07" w:rsidR="00E67332" w:rsidRPr="00B67F00" w:rsidRDefault="00E67332" w:rsidP="00E67332">
      <w:pPr>
        <w:spacing w:line="480" w:lineRule="auto"/>
        <w:jc w:val="both"/>
        <w:rPr>
          <w:rFonts w:ascii="Times New Roman" w:hAnsi="Times New Roman" w:cs="Times New Roman"/>
        </w:rPr>
      </w:pPr>
      <w:r w:rsidRPr="00B67F00">
        <w:rPr>
          <w:rFonts w:ascii="Times New Roman" w:hAnsi="Times New Roman" w:cs="Times New Roman"/>
        </w:rPr>
        <w:t xml:space="preserve">Among the factors informing the relationship between RaC and the </w:t>
      </w:r>
      <w:r w:rsidR="00756AF0">
        <w:rPr>
          <w:rFonts w:ascii="Times New Roman" w:hAnsi="Times New Roman" w:cs="Times New Roman"/>
        </w:rPr>
        <w:t>interpretative role of the judiciary</w:t>
      </w:r>
      <w:r w:rsidRPr="00B67F00">
        <w:rPr>
          <w:rFonts w:ascii="Times New Roman" w:hAnsi="Times New Roman" w:cs="Times New Roman"/>
        </w:rPr>
        <w:t xml:space="preserve"> is the question of the ‘right to interpret’ in context of the</w:t>
      </w:r>
      <w:r w:rsidR="008A2652">
        <w:rPr>
          <w:rFonts w:ascii="Times New Roman" w:hAnsi="Times New Roman" w:cs="Times New Roman"/>
        </w:rPr>
        <w:t xml:space="preserve"> doctrine of</w:t>
      </w:r>
      <w:r w:rsidR="00C0028D">
        <w:rPr>
          <w:rFonts w:ascii="Times New Roman" w:hAnsi="Times New Roman" w:cs="Times New Roman"/>
        </w:rPr>
        <w:t xml:space="preserve"> the</w:t>
      </w:r>
      <w:r w:rsidRPr="00B67F00">
        <w:rPr>
          <w:rFonts w:ascii="Times New Roman" w:hAnsi="Times New Roman" w:cs="Times New Roman"/>
        </w:rPr>
        <w:t xml:space="preserve"> separation of powers</w:t>
      </w:r>
      <w:r w:rsidR="003362F5">
        <w:rPr>
          <w:rFonts w:ascii="Times New Roman" w:hAnsi="Times New Roman" w:cs="Times New Roman"/>
        </w:rPr>
        <w:t xml:space="preserve"> (“SoP”)</w:t>
      </w:r>
      <w:r w:rsidRPr="00B67F00">
        <w:rPr>
          <w:rFonts w:ascii="Times New Roman" w:hAnsi="Times New Roman" w:cs="Times New Roman"/>
        </w:rPr>
        <w:t xml:space="preserve">. Chapter three of the </w:t>
      </w:r>
      <w:r w:rsidRPr="00B67F00">
        <w:rPr>
          <w:rFonts w:ascii="Times New Roman" w:hAnsi="Times New Roman" w:cs="Times New Roman"/>
          <w:i/>
          <w:iCs/>
        </w:rPr>
        <w:t>Commonwealth Constitution</w:t>
      </w:r>
      <w:r w:rsidRPr="00FF395A">
        <w:rPr>
          <w:rStyle w:val="FootnoteReference"/>
        </w:rPr>
        <w:footnoteReference w:id="67"/>
      </w:r>
      <w:r w:rsidR="00A07E0D">
        <w:rPr>
          <w:rFonts w:ascii="Times New Roman" w:hAnsi="Times New Roman" w:cs="Times New Roman"/>
        </w:rPr>
        <w:t xml:space="preserve"> (“the </w:t>
      </w:r>
      <w:r w:rsidR="00A07E0D">
        <w:rPr>
          <w:rFonts w:ascii="Times New Roman" w:hAnsi="Times New Roman" w:cs="Times New Roman"/>
          <w:i/>
          <w:iCs/>
        </w:rPr>
        <w:t>Constitution</w:t>
      </w:r>
      <w:r w:rsidR="00A07E0D" w:rsidRPr="00A07E0D">
        <w:rPr>
          <w:rFonts w:ascii="Times New Roman" w:hAnsi="Times New Roman" w:cs="Times New Roman"/>
        </w:rPr>
        <w:t>”</w:t>
      </w:r>
      <w:r w:rsidR="00A07E0D">
        <w:rPr>
          <w:rFonts w:ascii="Times New Roman" w:hAnsi="Times New Roman" w:cs="Times New Roman"/>
        </w:rPr>
        <w:t>)</w:t>
      </w:r>
      <w:r w:rsidRPr="00B67F00">
        <w:rPr>
          <w:rFonts w:ascii="Times New Roman" w:hAnsi="Times New Roman" w:cs="Times New Roman"/>
        </w:rPr>
        <w:t xml:space="preserve"> </w:t>
      </w:r>
      <w:r w:rsidR="0039719D">
        <w:rPr>
          <w:rFonts w:ascii="Times New Roman" w:hAnsi="Times New Roman" w:cs="Times New Roman"/>
        </w:rPr>
        <w:t>vests</w:t>
      </w:r>
      <w:r w:rsidRPr="00B67F00">
        <w:rPr>
          <w:rFonts w:ascii="Times New Roman" w:hAnsi="Times New Roman" w:cs="Times New Roman"/>
        </w:rPr>
        <w:t xml:space="preserve"> the judicial power of the </w:t>
      </w:r>
      <w:r w:rsidRPr="00B67F00">
        <w:rPr>
          <w:rFonts w:ascii="Times New Roman" w:hAnsi="Times New Roman" w:cs="Times New Roman"/>
        </w:rPr>
        <w:lastRenderedPageBreak/>
        <w:t>Commonwealth in the federal courts,</w:t>
      </w:r>
      <w:r w:rsidRPr="00FF395A">
        <w:rPr>
          <w:rStyle w:val="FootnoteReference"/>
        </w:rPr>
        <w:footnoteReference w:id="68"/>
      </w:r>
      <w:r w:rsidRPr="00B67F00">
        <w:rPr>
          <w:rFonts w:ascii="Times New Roman" w:hAnsi="Times New Roman" w:cs="Times New Roman"/>
        </w:rPr>
        <w:t xml:space="preserve"> extending </w:t>
      </w:r>
      <w:r w:rsidR="0039719D">
        <w:rPr>
          <w:rFonts w:ascii="Times New Roman" w:hAnsi="Times New Roman" w:cs="Times New Roman"/>
        </w:rPr>
        <w:t xml:space="preserve">to Australia </w:t>
      </w:r>
      <w:r w:rsidRPr="00B67F00">
        <w:rPr>
          <w:rFonts w:ascii="Times New Roman" w:hAnsi="Times New Roman" w:cs="Times New Roman"/>
        </w:rPr>
        <w:t>the separation of the executive and judicial</w:t>
      </w:r>
      <w:r w:rsidR="0039719D">
        <w:rPr>
          <w:rFonts w:ascii="Times New Roman" w:hAnsi="Times New Roman" w:cs="Times New Roman"/>
        </w:rPr>
        <w:t>,</w:t>
      </w:r>
      <w:r w:rsidR="00756AF0">
        <w:rPr>
          <w:rFonts w:ascii="Times New Roman" w:hAnsi="Times New Roman" w:cs="Times New Roman"/>
        </w:rPr>
        <w:t xml:space="preserve"> considered by many to have originated</w:t>
      </w:r>
      <w:r w:rsidRPr="00B67F00">
        <w:rPr>
          <w:rFonts w:ascii="Times New Roman" w:hAnsi="Times New Roman" w:cs="Times New Roman"/>
        </w:rPr>
        <w:t xml:space="preserve"> in 1607’s </w:t>
      </w:r>
      <w:r w:rsidRPr="00B67F00">
        <w:rPr>
          <w:rFonts w:ascii="Times New Roman" w:hAnsi="Times New Roman" w:cs="Times New Roman"/>
          <w:i/>
          <w:iCs/>
        </w:rPr>
        <w:t xml:space="preserve">Case of Prohibitions, </w:t>
      </w:r>
      <w:r w:rsidRPr="00B67F00">
        <w:rPr>
          <w:rFonts w:ascii="Times New Roman" w:hAnsi="Times New Roman" w:cs="Times New Roman"/>
        </w:rPr>
        <w:t>in which Chief Justice Edward Coke wrested the judicial power, including that of interpreting the law, from King James I.</w:t>
      </w:r>
      <w:r w:rsidRPr="00FF395A">
        <w:rPr>
          <w:rStyle w:val="FootnoteReference"/>
        </w:rPr>
        <w:footnoteReference w:id="69"/>
      </w:r>
      <w:r w:rsidRPr="00B67F00">
        <w:rPr>
          <w:rFonts w:ascii="Times New Roman" w:hAnsi="Times New Roman" w:cs="Times New Roman"/>
        </w:rPr>
        <w:t xml:space="preserve"> Such a partition between the powers of the judiciary and the remaining arms of government</w:t>
      </w:r>
      <w:r w:rsidR="00C34586">
        <w:rPr>
          <w:rFonts w:ascii="Times New Roman" w:hAnsi="Times New Roman" w:cs="Times New Roman"/>
        </w:rPr>
        <w:t xml:space="preserve"> is a cornerstone of fair Australian governance</w:t>
      </w:r>
      <w:r w:rsidR="008B0568">
        <w:rPr>
          <w:rFonts w:ascii="Times New Roman" w:hAnsi="Times New Roman" w:cs="Times New Roman"/>
        </w:rPr>
        <w:t xml:space="preserve"> free of arbitrary exercise of power,</w:t>
      </w:r>
      <w:r w:rsidR="008B0568" w:rsidRPr="00FF395A">
        <w:rPr>
          <w:rStyle w:val="FootnoteReference"/>
        </w:rPr>
        <w:footnoteReference w:id="70"/>
      </w:r>
      <w:r w:rsidR="008B0568">
        <w:rPr>
          <w:rFonts w:ascii="Times New Roman" w:hAnsi="Times New Roman" w:cs="Times New Roman"/>
        </w:rPr>
        <w:t xml:space="preserve"> and has </w:t>
      </w:r>
      <w:r w:rsidRPr="00B67F00">
        <w:rPr>
          <w:rFonts w:ascii="Times New Roman" w:hAnsi="Times New Roman" w:cs="Times New Roman"/>
        </w:rPr>
        <w:t>found confirmation in the common law throughout the 20</w:t>
      </w:r>
      <w:r w:rsidRPr="00B67F00">
        <w:rPr>
          <w:rFonts w:ascii="Times New Roman" w:hAnsi="Times New Roman" w:cs="Times New Roman"/>
          <w:vertAlign w:val="superscript"/>
        </w:rPr>
        <w:t>th</w:t>
      </w:r>
      <w:r w:rsidRPr="00B67F00">
        <w:rPr>
          <w:rFonts w:ascii="Times New Roman" w:hAnsi="Times New Roman" w:cs="Times New Roman"/>
        </w:rPr>
        <w:t xml:space="preserve"> Century, beginning with </w:t>
      </w:r>
      <w:r w:rsidRPr="00B67F00">
        <w:rPr>
          <w:rFonts w:ascii="Times New Roman" w:hAnsi="Times New Roman" w:cs="Times New Roman"/>
          <w:i/>
          <w:iCs/>
        </w:rPr>
        <w:t>New South Wales v Commonwealth.</w:t>
      </w:r>
      <w:r w:rsidRPr="00FF395A">
        <w:rPr>
          <w:rStyle w:val="FootnoteReference"/>
        </w:rPr>
        <w:footnoteReference w:id="71"/>
      </w:r>
      <w:r w:rsidR="008B0568">
        <w:rPr>
          <w:rFonts w:ascii="Times New Roman" w:hAnsi="Times New Roman" w:cs="Times New Roman"/>
        </w:rPr>
        <w:t xml:space="preserve"> </w:t>
      </w:r>
      <w:r w:rsidRPr="00B67F00">
        <w:rPr>
          <w:rFonts w:ascii="Times New Roman" w:hAnsi="Times New Roman" w:cs="Times New Roman"/>
        </w:rPr>
        <w:t>It is</w:t>
      </w:r>
      <w:r w:rsidR="004D10E0" w:rsidRPr="00B67F00">
        <w:rPr>
          <w:rFonts w:ascii="Times New Roman" w:hAnsi="Times New Roman" w:cs="Times New Roman"/>
        </w:rPr>
        <w:t xml:space="preserve"> therefore</w:t>
      </w:r>
      <w:r w:rsidRPr="00B67F00">
        <w:rPr>
          <w:rFonts w:ascii="Times New Roman" w:hAnsi="Times New Roman" w:cs="Times New Roman"/>
        </w:rPr>
        <w:t xml:space="preserve"> worth exploring whether the act of converting legal texts into code would</w:t>
      </w:r>
      <w:r w:rsidR="00D66335">
        <w:rPr>
          <w:rFonts w:ascii="Times New Roman" w:hAnsi="Times New Roman" w:cs="Times New Roman"/>
        </w:rPr>
        <w:t>,</w:t>
      </w:r>
      <w:r w:rsidRPr="00B67F00">
        <w:rPr>
          <w:rFonts w:ascii="Times New Roman" w:hAnsi="Times New Roman" w:cs="Times New Roman"/>
        </w:rPr>
        <w:t xml:space="preserve"> in fact</w:t>
      </w:r>
      <w:r w:rsidR="00D66335">
        <w:rPr>
          <w:rFonts w:ascii="Times New Roman" w:hAnsi="Times New Roman" w:cs="Times New Roman"/>
        </w:rPr>
        <w:t>,</w:t>
      </w:r>
      <w:r w:rsidRPr="00B67F00">
        <w:rPr>
          <w:rFonts w:ascii="Times New Roman" w:hAnsi="Times New Roman" w:cs="Times New Roman"/>
        </w:rPr>
        <w:t xml:space="preserve"> consist of ‘interpreting’ the law in a manner which is reserved for the judiciary, and therefore, if carried out with the authority of the legislature or executive, violate the </w:t>
      </w:r>
      <w:r w:rsidR="003362F5">
        <w:rPr>
          <w:rFonts w:ascii="Times New Roman" w:hAnsi="Times New Roman" w:cs="Times New Roman"/>
        </w:rPr>
        <w:t>SoP</w:t>
      </w:r>
      <w:r w:rsidRPr="00B67F00">
        <w:rPr>
          <w:rFonts w:ascii="Times New Roman" w:hAnsi="Times New Roman" w:cs="Times New Roman"/>
        </w:rPr>
        <w:t>.</w:t>
      </w:r>
    </w:p>
    <w:p w14:paraId="69BA8B6E" w14:textId="6762FF1B" w:rsidR="009141B0" w:rsidRPr="006D52CA" w:rsidRDefault="00E67332" w:rsidP="00E67332">
      <w:pPr>
        <w:spacing w:line="480" w:lineRule="auto"/>
        <w:jc w:val="both"/>
        <w:rPr>
          <w:rFonts w:ascii="Times New Roman" w:hAnsi="Times New Roman" w:cs="Times New Roman"/>
        </w:rPr>
      </w:pPr>
      <w:r w:rsidRPr="00B67F00">
        <w:rPr>
          <w:rFonts w:ascii="Times New Roman" w:hAnsi="Times New Roman" w:cs="Times New Roman"/>
        </w:rPr>
        <w:t>Amongst the literature addressing digital government, little has yet considered the relationship between the hypothetical programmer and the judicial</w:t>
      </w:r>
      <w:r w:rsidR="00C0028D">
        <w:rPr>
          <w:rFonts w:ascii="Times New Roman" w:hAnsi="Times New Roman" w:cs="Times New Roman"/>
        </w:rPr>
        <w:t xml:space="preserve"> interpretative</w:t>
      </w:r>
      <w:r w:rsidRPr="00B67F00">
        <w:rPr>
          <w:rFonts w:ascii="Times New Roman" w:hAnsi="Times New Roman" w:cs="Times New Roman"/>
        </w:rPr>
        <w:t xml:space="preserve"> power, though it is expected that this field will grow as Australia moves closer to the implementation of a form of RaC. Indeed, the New Zealand Law Foundation has funded the </w:t>
      </w:r>
      <w:r w:rsidR="00B20F92">
        <w:rPr>
          <w:rFonts w:ascii="Times New Roman" w:hAnsi="Times New Roman" w:cs="Times New Roman"/>
        </w:rPr>
        <w:t>‘</w:t>
      </w:r>
      <w:r w:rsidRPr="00B20F92">
        <w:rPr>
          <w:rFonts w:ascii="Times New Roman" w:hAnsi="Times New Roman" w:cs="Times New Roman"/>
        </w:rPr>
        <w:t>Legislation as Code in New Zealand</w:t>
      </w:r>
      <w:r w:rsidR="00B20F92">
        <w:rPr>
          <w:rFonts w:ascii="Times New Roman" w:hAnsi="Times New Roman" w:cs="Times New Roman"/>
        </w:rPr>
        <w:t>’</w:t>
      </w:r>
      <w:r w:rsidRPr="00B67F00">
        <w:rPr>
          <w:rFonts w:ascii="Times New Roman" w:hAnsi="Times New Roman" w:cs="Times New Roman"/>
          <w:i/>
          <w:iCs/>
        </w:rPr>
        <w:t xml:space="preserve"> </w:t>
      </w:r>
      <w:r w:rsidRPr="00B67F00">
        <w:rPr>
          <w:rFonts w:ascii="Times New Roman" w:hAnsi="Times New Roman" w:cs="Times New Roman"/>
        </w:rPr>
        <w:t xml:space="preserve">project, which aims to explore RaC from a </w:t>
      </w:r>
      <w:r w:rsidR="00F53D7E">
        <w:rPr>
          <w:rFonts w:ascii="Times New Roman" w:hAnsi="Times New Roman" w:cs="Times New Roman"/>
        </w:rPr>
        <w:t>‘</w:t>
      </w:r>
      <w:r w:rsidRPr="00B67F00">
        <w:rPr>
          <w:rFonts w:ascii="Times New Roman" w:hAnsi="Times New Roman" w:cs="Times New Roman"/>
        </w:rPr>
        <w:t>constitutionally appropriate approach</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2"/>
      </w:r>
      <w:r w:rsidRPr="00B67F00">
        <w:rPr>
          <w:rFonts w:ascii="Times New Roman" w:hAnsi="Times New Roman" w:cs="Times New Roman"/>
        </w:rPr>
        <w:t xml:space="preserve"> including its possible effects on </w:t>
      </w:r>
      <w:r w:rsidR="00F53D7E">
        <w:rPr>
          <w:rFonts w:ascii="Times New Roman" w:hAnsi="Times New Roman" w:cs="Times New Roman"/>
        </w:rPr>
        <w:t>‘</w:t>
      </w:r>
      <w:r w:rsidRPr="00B67F00">
        <w:rPr>
          <w:rFonts w:ascii="Times New Roman" w:hAnsi="Times New Roman" w:cs="Times New Roman"/>
        </w:rPr>
        <w:t>existing constitutional principles around the separation of powers</w:t>
      </w:r>
      <w:r w:rsidR="00F53D7E">
        <w:rPr>
          <w:rFonts w:ascii="Times New Roman" w:hAnsi="Times New Roman" w:cs="Times New Roman"/>
        </w:rPr>
        <w:t>’</w:t>
      </w:r>
      <w:r w:rsidRPr="00B67F00">
        <w:rPr>
          <w:rFonts w:ascii="Times New Roman" w:hAnsi="Times New Roman" w:cs="Times New Roman"/>
        </w:rPr>
        <w:t>,</w:t>
      </w:r>
      <w:r w:rsidRPr="00FF395A">
        <w:rPr>
          <w:rStyle w:val="FootnoteReference"/>
        </w:rPr>
        <w:footnoteReference w:id="73"/>
      </w:r>
      <w:r w:rsidRPr="00B67F00">
        <w:rPr>
          <w:rFonts w:ascii="Times New Roman" w:hAnsi="Times New Roman" w:cs="Times New Roman"/>
        </w:rPr>
        <w:t xml:space="preserve"> though the project’s findings are yet to release.</w:t>
      </w:r>
      <w:r w:rsidRPr="00FF395A">
        <w:rPr>
          <w:rStyle w:val="FootnoteReference"/>
        </w:rPr>
        <w:footnoteReference w:id="74"/>
      </w:r>
      <w:r w:rsidR="00974E0F" w:rsidRPr="00B67F00">
        <w:rPr>
          <w:rFonts w:ascii="Times New Roman" w:hAnsi="Times New Roman" w:cs="Times New Roman"/>
        </w:rPr>
        <w:t xml:space="preserve"> </w:t>
      </w:r>
      <w:r w:rsidRPr="00B67F00">
        <w:rPr>
          <w:rFonts w:ascii="Times New Roman" w:hAnsi="Times New Roman" w:cs="Times New Roman"/>
        </w:rPr>
        <w:t>In the absence</w:t>
      </w:r>
      <w:r w:rsidR="00884969" w:rsidRPr="00B67F00">
        <w:rPr>
          <w:rFonts w:ascii="Times New Roman" w:hAnsi="Times New Roman" w:cs="Times New Roman"/>
        </w:rPr>
        <w:t xml:space="preserve"> of such literature, the</w:t>
      </w:r>
      <w:r w:rsidR="008B4BD4" w:rsidRPr="00B67F00">
        <w:rPr>
          <w:rFonts w:ascii="Times New Roman" w:hAnsi="Times New Roman" w:cs="Times New Roman"/>
        </w:rPr>
        <w:t xml:space="preserve"> </w:t>
      </w:r>
      <w:r w:rsidR="00884969" w:rsidRPr="00B67F00">
        <w:rPr>
          <w:rFonts w:ascii="Times New Roman" w:hAnsi="Times New Roman" w:cs="Times New Roman"/>
        </w:rPr>
        <w:t xml:space="preserve">functional concern </w:t>
      </w:r>
      <w:r w:rsidR="008B4BD4" w:rsidRPr="00B67F00">
        <w:rPr>
          <w:rFonts w:ascii="Times New Roman" w:hAnsi="Times New Roman" w:cs="Times New Roman"/>
        </w:rPr>
        <w:t xml:space="preserve">can be broadened to that </w:t>
      </w:r>
      <w:r w:rsidR="00884969" w:rsidRPr="00B67F00">
        <w:rPr>
          <w:rFonts w:ascii="Times New Roman" w:hAnsi="Times New Roman" w:cs="Times New Roman"/>
        </w:rPr>
        <w:t>of a</w:t>
      </w:r>
      <w:r w:rsidR="008B4BD4" w:rsidRPr="00B67F00">
        <w:rPr>
          <w:rFonts w:ascii="Times New Roman" w:hAnsi="Times New Roman" w:cs="Times New Roman"/>
        </w:rPr>
        <w:t>n actor representing an arm of the government</w:t>
      </w:r>
      <w:r w:rsidR="0083490F" w:rsidRPr="00B67F00">
        <w:rPr>
          <w:rFonts w:ascii="Times New Roman" w:hAnsi="Times New Roman" w:cs="Times New Roman"/>
        </w:rPr>
        <w:t xml:space="preserve"> in </w:t>
      </w:r>
      <w:r w:rsidR="00BB7184" w:rsidRPr="00B67F00">
        <w:rPr>
          <w:rFonts w:ascii="Times New Roman" w:hAnsi="Times New Roman" w:cs="Times New Roman"/>
        </w:rPr>
        <w:t>converting legislation from one form into another, thus allowing for analogous scenarios to be considered</w:t>
      </w:r>
      <w:r w:rsidR="00642C2F" w:rsidRPr="00B67F00">
        <w:rPr>
          <w:rFonts w:ascii="Times New Roman" w:hAnsi="Times New Roman" w:cs="Times New Roman"/>
        </w:rPr>
        <w:t xml:space="preserve">. It is argued, then, that the process by which law is </w:t>
      </w:r>
      <w:r w:rsidR="007D29EB" w:rsidRPr="00B67F00">
        <w:rPr>
          <w:rFonts w:ascii="Times New Roman" w:hAnsi="Times New Roman" w:cs="Times New Roman"/>
        </w:rPr>
        <w:t xml:space="preserve">regularly </w:t>
      </w:r>
      <w:r w:rsidR="00642C2F" w:rsidRPr="00B67F00">
        <w:rPr>
          <w:rFonts w:ascii="Times New Roman" w:hAnsi="Times New Roman" w:cs="Times New Roman"/>
        </w:rPr>
        <w:t>translated from one language</w:t>
      </w:r>
      <w:r w:rsidR="007D29EB" w:rsidRPr="00B67F00">
        <w:rPr>
          <w:rFonts w:ascii="Times New Roman" w:hAnsi="Times New Roman" w:cs="Times New Roman"/>
        </w:rPr>
        <w:t xml:space="preserve"> to another, as in, for example, the European Union</w:t>
      </w:r>
      <w:r w:rsidR="00FD05B7">
        <w:rPr>
          <w:rFonts w:ascii="Times New Roman" w:hAnsi="Times New Roman" w:cs="Times New Roman"/>
        </w:rPr>
        <w:t xml:space="preserve"> (“EU”)</w:t>
      </w:r>
      <w:r w:rsidR="007D29EB" w:rsidRPr="00B67F00">
        <w:rPr>
          <w:rFonts w:ascii="Times New Roman" w:hAnsi="Times New Roman" w:cs="Times New Roman"/>
        </w:rPr>
        <w:t xml:space="preserve">, is </w:t>
      </w:r>
      <w:r w:rsidR="004B7934" w:rsidRPr="00B67F00">
        <w:rPr>
          <w:rFonts w:ascii="Times New Roman" w:hAnsi="Times New Roman" w:cs="Times New Roman"/>
        </w:rPr>
        <w:t xml:space="preserve">reasonably </w:t>
      </w:r>
      <w:r w:rsidR="007D29EB" w:rsidRPr="00B67F00">
        <w:rPr>
          <w:rFonts w:ascii="Times New Roman" w:hAnsi="Times New Roman" w:cs="Times New Roman"/>
        </w:rPr>
        <w:t xml:space="preserve">appropriate </w:t>
      </w:r>
      <w:r w:rsidR="0014126F" w:rsidRPr="00B67F00">
        <w:rPr>
          <w:rFonts w:ascii="Times New Roman" w:hAnsi="Times New Roman" w:cs="Times New Roman"/>
        </w:rPr>
        <w:t>for comparison to the process of translating law into a machine-consumable language.</w:t>
      </w:r>
      <w:r w:rsidR="00C64453">
        <w:rPr>
          <w:rFonts w:ascii="Times New Roman" w:hAnsi="Times New Roman" w:cs="Times New Roman"/>
        </w:rPr>
        <w:t xml:space="preserve"> Indeed, </w:t>
      </w:r>
      <w:r w:rsidR="00065541">
        <w:rPr>
          <w:rFonts w:ascii="Times New Roman" w:hAnsi="Times New Roman" w:cs="Times New Roman"/>
        </w:rPr>
        <w:t>the</w:t>
      </w:r>
      <w:r w:rsidR="00AE31D0">
        <w:rPr>
          <w:rFonts w:ascii="Times New Roman" w:hAnsi="Times New Roman" w:cs="Times New Roman"/>
        </w:rPr>
        <w:t xml:space="preserve"> task as defined by Ainsworth of rewriting </w:t>
      </w:r>
      <w:r w:rsidR="008D1920">
        <w:rPr>
          <w:rFonts w:ascii="Times New Roman" w:hAnsi="Times New Roman" w:cs="Times New Roman"/>
        </w:rPr>
        <w:t xml:space="preserve">an </w:t>
      </w:r>
      <w:r w:rsidR="00F53D7E">
        <w:rPr>
          <w:rFonts w:ascii="Times New Roman" w:hAnsi="Times New Roman" w:cs="Times New Roman"/>
        </w:rPr>
        <w:t>‘</w:t>
      </w:r>
      <w:r w:rsidR="008D1920">
        <w:rPr>
          <w:rFonts w:ascii="Times New Roman" w:hAnsi="Times New Roman" w:cs="Times New Roman"/>
        </w:rPr>
        <w:t xml:space="preserve">equivalent legal text in another </w:t>
      </w:r>
      <w:r w:rsidR="008D1920">
        <w:rPr>
          <w:rFonts w:ascii="Times New Roman" w:hAnsi="Times New Roman" w:cs="Times New Roman"/>
        </w:rPr>
        <w:lastRenderedPageBreak/>
        <w:t>language, such that a decision-maker, applying either text…will arrive at the same conclusion regardless of which text is used</w:t>
      </w:r>
      <w:r w:rsidR="00F53D7E">
        <w:rPr>
          <w:rFonts w:ascii="Times New Roman" w:hAnsi="Times New Roman" w:cs="Times New Roman"/>
        </w:rPr>
        <w:t>’</w:t>
      </w:r>
      <w:r w:rsidR="001A3C0C">
        <w:rPr>
          <w:rStyle w:val="FootnoteReference"/>
          <w:rFonts w:ascii="Times New Roman" w:hAnsi="Times New Roman" w:cs="Times New Roman"/>
        </w:rPr>
        <w:footnoteReference w:id="75"/>
      </w:r>
      <w:r w:rsidR="00C93C36">
        <w:rPr>
          <w:rFonts w:ascii="Times New Roman" w:hAnsi="Times New Roman" w:cs="Times New Roman"/>
        </w:rPr>
        <w:t xml:space="preserve"> </w:t>
      </w:r>
      <w:r w:rsidR="00690909">
        <w:rPr>
          <w:rFonts w:ascii="Times New Roman" w:hAnsi="Times New Roman" w:cs="Times New Roman"/>
        </w:rPr>
        <w:t>parallels</w:t>
      </w:r>
      <w:r w:rsidR="00C93C36">
        <w:rPr>
          <w:rFonts w:ascii="Times New Roman" w:hAnsi="Times New Roman" w:cs="Times New Roman"/>
        </w:rPr>
        <w:t xml:space="preserve"> the </w:t>
      </w:r>
      <w:r w:rsidR="00690909">
        <w:rPr>
          <w:rFonts w:ascii="Times New Roman" w:hAnsi="Times New Roman" w:cs="Times New Roman"/>
        </w:rPr>
        <w:t xml:space="preserve">intent of </w:t>
      </w:r>
      <w:r w:rsidR="00AE4EC9">
        <w:rPr>
          <w:rFonts w:ascii="Times New Roman" w:hAnsi="Times New Roman" w:cs="Times New Roman"/>
        </w:rPr>
        <w:t>d</w:t>
      </w:r>
      <w:r w:rsidR="000C429B">
        <w:rPr>
          <w:rFonts w:ascii="Times New Roman" w:hAnsi="Times New Roman" w:cs="Times New Roman"/>
        </w:rPr>
        <w:t xml:space="preserve">eveloping </w:t>
      </w:r>
      <w:r w:rsidR="006D53B9">
        <w:rPr>
          <w:rFonts w:ascii="Times New Roman" w:hAnsi="Times New Roman" w:cs="Times New Roman"/>
        </w:rPr>
        <w:t xml:space="preserve">code which is </w:t>
      </w:r>
      <w:r w:rsidR="00C93C36">
        <w:rPr>
          <w:rFonts w:ascii="Times New Roman" w:hAnsi="Times New Roman" w:cs="Times New Roman"/>
        </w:rPr>
        <w:t>functionally equivalent</w:t>
      </w:r>
      <w:r w:rsidR="006D53B9">
        <w:rPr>
          <w:rFonts w:ascii="Times New Roman" w:hAnsi="Times New Roman" w:cs="Times New Roman"/>
        </w:rPr>
        <w:t xml:space="preserve"> with the original legal text</w:t>
      </w:r>
      <w:r w:rsidR="00BE00DC">
        <w:rPr>
          <w:rFonts w:ascii="Times New Roman" w:hAnsi="Times New Roman" w:cs="Times New Roman"/>
        </w:rPr>
        <w:t>.</w:t>
      </w:r>
      <w:r w:rsidR="00690909">
        <w:rPr>
          <w:rFonts w:ascii="Times New Roman" w:hAnsi="Times New Roman" w:cs="Times New Roman"/>
        </w:rPr>
        <w:t xml:space="preserve"> </w:t>
      </w:r>
      <w:r w:rsidR="00BE00DC">
        <w:rPr>
          <w:rFonts w:ascii="Times New Roman" w:hAnsi="Times New Roman" w:cs="Times New Roman"/>
        </w:rPr>
        <w:t>Further,</w:t>
      </w:r>
      <w:r w:rsidR="00690909">
        <w:rPr>
          <w:rFonts w:ascii="Times New Roman" w:hAnsi="Times New Roman" w:cs="Times New Roman"/>
        </w:rPr>
        <w:t xml:space="preserve"> </w:t>
      </w:r>
      <w:r w:rsidR="00C64453">
        <w:rPr>
          <w:rFonts w:ascii="Times New Roman" w:hAnsi="Times New Roman" w:cs="Times New Roman"/>
        </w:rPr>
        <w:t xml:space="preserve">much of the </w:t>
      </w:r>
      <w:r w:rsidR="00EA7B68">
        <w:rPr>
          <w:rFonts w:ascii="Times New Roman" w:hAnsi="Times New Roman" w:cs="Times New Roman"/>
        </w:rPr>
        <w:t>controversy</w:t>
      </w:r>
      <w:r w:rsidR="00C64453">
        <w:rPr>
          <w:rFonts w:ascii="Times New Roman" w:hAnsi="Times New Roman" w:cs="Times New Roman"/>
        </w:rPr>
        <w:t xml:space="preserve"> surrounding multilingual </w:t>
      </w:r>
      <w:r w:rsidR="006621F7">
        <w:rPr>
          <w:rFonts w:ascii="Times New Roman" w:hAnsi="Times New Roman" w:cs="Times New Roman"/>
        </w:rPr>
        <w:t xml:space="preserve">rules mirror those </w:t>
      </w:r>
      <w:r w:rsidR="004F6232">
        <w:rPr>
          <w:rFonts w:ascii="Times New Roman" w:hAnsi="Times New Roman" w:cs="Times New Roman"/>
        </w:rPr>
        <w:t>faced in developing</w:t>
      </w:r>
      <w:r w:rsidR="006621F7">
        <w:rPr>
          <w:rFonts w:ascii="Times New Roman" w:hAnsi="Times New Roman" w:cs="Times New Roman"/>
        </w:rPr>
        <w:t xml:space="preserve"> computational law </w:t>
      </w:r>
      <w:r w:rsidR="004F6232">
        <w:rPr>
          <w:rFonts w:ascii="Times New Roman" w:hAnsi="Times New Roman" w:cs="Times New Roman"/>
        </w:rPr>
        <w:t>with regard to</w:t>
      </w:r>
      <w:r w:rsidR="00407D8D">
        <w:rPr>
          <w:rFonts w:ascii="Times New Roman" w:hAnsi="Times New Roman" w:cs="Times New Roman"/>
        </w:rPr>
        <w:t xml:space="preserve"> jurisprudential takes on legal interpretation.</w:t>
      </w:r>
      <w:r w:rsidR="00EA7B68" w:rsidRPr="00FF395A">
        <w:rPr>
          <w:rStyle w:val="FootnoteReference"/>
        </w:rPr>
        <w:footnoteReference w:id="76"/>
      </w:r>
      <w:r w:rsidR="00B61D50">
        <w:rPr>
          <w:rFonts w:ascii="Times New Roman" w:hAnsi="Times New Roman" w:cs="Times New Roman"/>
        </w:rPr>
        <w:t xml:space="preserve"> </w:t>
      </w:r>
      <w:r w:rsidR="009141B0">
        <w:rPr>
          <w:rFonts w:ascii="Times New Roman" w:hAnsi="Times New Roman" w:cs="Times New Roman"/>
        </w:rPr>
        <w:t xml:space="preserve"> </w:t>
      </w:r>
    </w:p>
    <w:p w14:paraId="4DB348F3" w14:textId="72F88931" w:rsidR="0025163F" w:rsidRDefault="00FF2E27" w:rsidP="00E67332">
      <w:pPr>
        <w:spacing w:line="480" w:lineRule="auto"/>
        <w:jc w:val="both"/>
        <w:rPr>
          <w:rFonts w:ascii="Times New Roman" w:hAnsi="Times New Roman" w:cs="Times New Roman"/>
        </w:rPr>
      </w:pPr>
      <w:r>
        <w:rPr>
          <w:rFonts w:ascii="Times New Roman" w:hAnsi="Times New Roman" w:cs="Times New Roman"/>
        </w:rPr>
        <w:t>Additional</w:t>
      </w:r>
      <w:r w:rsidR="000C4283">
        <w:rPr>
          <w:rFonts w:ascii="Times New Roman" w:hAnsi="Times New Roman" w:cs="Times New Roman"/>
        </w:rPr>
        <w:t xml:space="preserve"> parallels can be seen in analysing t</w:t>
      </w:r>
      <w:r w:rsidR="00051743">
        <w:rPr>
          <w:rFonts w:ascii="Times New Roman" w:hAnsi="Times New Roman" w:cs="Times New Roman"/>
        </w:rPr>
        <w:t>h</w:t>
      </w:r>
      <w:r w:rsidR="00EF429C">
        <w:rPr>
          <w:rFonts w:ascii="Times New Roman" w:hAnsi="Times New Roman" w:cs="Times New Roman"/>
        </w:rPr>
        <w:t>eories of</w:t>
      </w:r>
      <w:r w:rsidR="0025163F">
        <w:rPr>
          <w:rFonts w:ascii="Times New Roman" w:hAnsi="Times New Roman" w:cs="Times New Roman"/>
        </w:rPr>
        <w:t xml:space="preserve"> multilingual legal</w:t>
      </w:r>
      <w:r w:rsidR="00EF429C">
        <w:rPr>
          <w:rFonts w:ascii="Times New Roman" w:hAnsi="Times New Roman" w:cs="Times New Roman"/>
        </w:rPr>
        <w:t xml:space="preserve"> translation principles</w:t>
      </w:r>
      <w:r w:rsidR="003A492B">
        <w:rPr>
          <w:rFonts w:ascii="Times New Roman" w:hAnsi="Times New Roman" w:cs="Times New Roman"/>
        </w:rPr>
        <w:t xml:space="preserve">. </w:t>
      </w:r>
      <w:r w:rsidR="00870A9D">
        <w:rPr>
          <w:rFonts w:ascii="Times New Roman" w:hAnsi="Times New Roman" w:cs="Times New Roman"/>
        </w:rPr>
        <w:t xml:space="preserve">For instance, </w:t>
      </w:r>
      <w:r w:rsidR="003A492B">
        <w:rPr>
          <w:rFonts w:ascii="Times New Roman" w:hAnsi="Times New Roman" w:cs="Times New Roman"/>
        </w:rPr>
        <w:t>Ainsworth</w:t>
      </w:r>
      <w:r w:rsidR="00D15672" w:rsidRPr="00FF395A">
        <w:rPr>
          <w:rStyle w:val="FootnoteReference"/>
        </w:rPr>
        <w:footnoteReference w:id="77"/>
      </w:r>
      <w:r w:rsidR="003A492B">
        <w:rPr>
          <w:rFonts w:ascii="Times New Roman" w:hAnsi="Times New Roman" w:cs="Times New Roman"/>
        </w:rPr>
        <w:t xml:space="preserve"> </w:t>
      </w:r>
      <w:r w:rsidR="007F3460">
        <w:rPr>
          <w:rFonts w:ascii="Times New Roman" w:hAnsi="Times New Roman" w:cs="Times New Roman"/>
        </w:rPr>
        <w:t xml:space="preserve">highlights the importance of </w:t>
      </w:r>
      <w:r w:rsidR="00DF206D">
        <w:rPr>
          <w:rFonts w:ascii="Times New Roman" w:hAnsi="Times New Roman" w:cs="Times New Roman"/>
        </w:rPr>
        <w:t>heuristic</w:t>
      </w:r>
      <w:r w:rsidR="007F3460">
        <w:rPr>
          <w:rFonts w:ascii="Times New Roman" w:hAnsi="Times New Roman" w:cs="Times New Roman"/>
        </w:rPr>
        <w:t xml:space="preserve"> translations which use </w:t>
      </w:r>
      <w:r w:rsidR="00EB3767">
        <w:rPr>
          <w:rFonts w:ascii="Times New Roman" w:hAnsi="Times New Roman" w:cs="Times New Roman"/>
        </w:rPr>
        <w:t>plain meaning</w:t>
      </w:r>
      <w:r w:rsidR="007F3460">
        <w:rPr>
          <w:rFonts w:ascii="Times New Roman" w:hAnsi="Times New Roman" w:cs="Times New Roman"/>
        </w:rPr>
        <w:t xml:space="preserve"> in cases of ambiguity and </w:t>
      </w:r>
      <w:r w:rsidR="0017397C">
        <w:rPr>
          <w:rFonts w:ascii="Times New Roman" w:hAnsi="Times New Roman" w:cs="Times New Roman"/>
        </w:rPr>
        <w:t>explores</w:t>
      </w:r>
      <w:r w:rsidR="00E44528">
        <w:rPr>
          <w:rFonts w:ascii="Times New Roman" w:hAnsi="Times New Roman" w:cs="Times New Roman"/>
        </w:rPr>
        <w:t xml:space="preserve"> the </w:t>
      </w:r>
      <w:r w:rsidR="0017397C">
        <w:rPr>
          <w:rFonts w:ascii="Times New Roman" w:hAnsi="Times New Roman" w:cs="Times New Roman"/>
        </w:rPr>
        <w:t>various approaches of the Court of Justice of the European Union (“CJEU”)</w:t>
      </w:r>
      <w:r w:rsidR="00E04676">
        <w:rPr>
          <w:rFonts w:ascii="Times New Roman" w:hAnsi="Times New Roman" w:cs="Times New Roman"/>
        </w:rPr>
        <w:t xml:space="preserve"> to judicial interpretations of multilingual frameworks</w:t>
      </w:r>
      <w:r w:rsidR="0017397C">
        <w:rPr>
          <w:rFonts w:ascii="Times New Roman" w:hAnsi="Times New Roman" w:cs="Times New Roman"/>
        </w:rPr>
        <w:t xml:space="preserve">. </w:t>
      </w:r>
      <w:r w:rsidR="00864CFD">
        <w:rPr>
          <w:rFonts w:ascii="Times New Roman" w:hAnsi="Times New Roman" w:cs="Times New Roman"/>
        </w:rPr>
        <w:t>The CJEU’s relevant decisions</w:t>
      </w:r>
      <w:r w:rsidR="00403E80" w:rsidRPr="00FF395A">
        <w:rPr>
          <w:rStyle w:val="FootnoteReference"/>
        </w:rPr>
        <w:footnoteReference w:id="78"/>
      </w:r>
      <w:r w:rsidR="002A692B">
        <w:rPr>
          <w:rFonts w:ascii="Times New Roman" w:hAnsi="Times New Roman" w:cs="Times New Roman"/>
        </w:rPr>
        <w:t xml:space="preserve"> and </w:t>
      </w:r>
      <w:r w:rsidR="00864CFD">
        <w:rPr>
          <w:rFonts w:ascii="Times New Roman" w:hAnsi="Times New Roman" w:cs="Times New Roman"/>
        </w:rPr>
        <w:t xml:space="preserve">Ainsworth’s </w:t>
      </w:r>
      <w:r w:rsidR="002A692B">
        <w:rPr>
          <w:rFonts w:ascii="Times New Roman" w:hAnsi="Times New Roman" w:cs="Times New Roman"/>
        </w:rPr>
        <w:t>finding</w:t>
      </w:r>
      <w:r w:rsidR="00DC158B">
        <w:rPr>
          <w:rFonts w:ascii="Times New Roman" w:hAnsi="Times New Roman" w:cs="Times New Roman"/>
        </w:rPr>
        <w:t xml:space="preserve"> of</w:t>
      </w:r>
      <w:r w:rsidR="00CF5D0D">
        <w:rPr>
          <w:rFonts w:ascii="Times New Roman" w:hAnsi="Times New Roman" w:cs="Times New Roman"/>
        </w:rPr>
        <w:t xml:space="preserve"> the predominate approach</w:t>
      </w:r>
      <w:r w:rsidR="00DC158B">
        <w:rPr>
          <w:rFonts w:ascii="Times New Roman" w:hAnsi="Times New Roman" w:cs="Times New Roman"/>
        </w:rPr>
        <w:t xml:space="preserve"> being </w:t>
      </w:r>
      <w:r w:rsidR="00CF5D0D">
        <w:rPr>
          <w:rFonts w:ascii="Times New Roman" w:hAnsi="Times New Roman" w:cs="Times New Roman"/>
        </w:rPr>
        <w:t>one of ‘purposive interpretation’</w:t>
      </w:r>
      <w:r w:rsidR="00BA4F08">
        <w:rPr>
          <w:rFonts w:ascii="Times New Roman" w:hAnsi="Times New Roman" w:cs="Times New Roman"/>
        </w:rPr>
        <w:t>,</w:t>
      </w:r>
      <w:r w:rsidR="00956490" w:rsidRPr="00FF395A">
        <w:rPr>
          <w:rStyle w:val="FootnoteReference"/>
        </w:rPr>
        <w:footnoteReference w:id="79"/>
      </w:r>
      <w:r w:rsidR="00DF206D">
        <w:rPr>
          <w:rFonts w:ascii="Times New Roman" w:hAnsi="Times New Roman" w:cs="Times New Roman"/>
        </w:rPr>
        <w:t xml:space="preserve"> which emphasises a contextualised </w:t>
      </w:r>
      <w:r w:rsidR="00BA4F08">
        <w:rPr>
          <w:rFonts w:ascii="Times New Roman" w:hAnsi="Times New Roman" w:cs="Times New Roman"/>
        </w:rPr>
        <w:t>understanding of the intent of the legal text</w:t>
      </w:r>
      <w:r w:rsidR="002A692B">
        <w:rPr>
          <w:rFonts w:ascii="Times New Roman" w:hAnsi="Times New Roman" w:cs="Times New Roman"/>
        </w:rPr>
        <w:t xml:space="preserve"> in question</w:t>
      </w:r>
      <w:r w:rsidR="00BA4F08">
        <w:rPr>
          <w:rFonts w:ascii="Times New Roman" w:hAnsi="Times New Roman" w:cs="Times New Roman"/>
        </w:rPr>
        <w:t xml:space="preserve">, strongly resembles </w:t>
      </w:r>
      <w:r w:rsidR="009E3D67">
        <w:rPr>
          <w:rFonts w:ascii="Times New Roman" w:hAnsi="Times New Roman" w:cs="Times New Roman"/>
        </w:rPr>
        <w:t>the formalist-realist debate found to influence</w:t>
      </w:r>
      <w:r w:rsidR="00870A9D">
        <w:rPr>
          <w:rFonts w:ascii="Times New Roman" w:hAnsi="Times New Roman" w:cs="Times New Roman"/>
        </w:rPr>
        <w:t xml:space="preserve"> the </w:t>
      </w:r>
      <w:r w:rsidR="00814082">
        <w:rPr>
          <w:rFonts w:ascii="Times New Roman" w:hAnsi="Times New Roman" w:cs="Times New Roman"/>
        </w:rPr>
        <w:t>implementation of Rules as Code.</w:t>
      </w:r>
    </w:p>
    <w:p w14:paraId="1C515A41" w14:textId="7C7364FA" w:rsidR="00EE206D" w:rsidRDefault="00431E30" w:rsidP="00B962ED">
      <w:pPr>
        <w:spacing w:line="480" w:lineRule="auto"/>
        <w:jc w:val="both"/>
        <w:rPr>
          <w:rFonts w:ascii="Times New Roman" w:hAnsi="Times New Roman" w:cs="Times New Roman"/>
        </w:rPr>
      </w:pPr>
      <w:r>
        <w:rPr>
          <w:rFonts w:ascii="Times New Roman" w:hAnsi="Times New Roman" w:cs="Times New Roman"/>
        </w:rPr>
        <w:t xml:space="preserve">Further, from a constitutional perspective, the </w:t>
      </w:r>
      <w:r w:rsidR="00FD05B7">
        <w:rPr>
          <w:rFonts w:ascii="Times New Roman" w:hAnsi="Times New Roman" w:cs="Times New Roman"/>
        </w:rPr>
        <w:t>EU’s</w:t>
      </w:r>
      <w:r>
        <w:rPr>
          <w:rFonts w:ascii="Times New Roman" w:hAnsi="Times New Roman" w:cs="Times New Roman"/>
        </w:rPr>
        <w:t xml:space="preserve"> stance</w:t>
      </w:r>
      <w:r w:rsidR="00274E32">
        <w:rPr>
          <w:rFonts w:ascii="Times New Roman" w:hAnsi="Times New Roman" w:cs="Times New Roman"/>
        </w:rPr>
        <w:t xml:space="preserve"> on multilingual legislation largely reflects what a post-RaC Australian framework might look like.</w:t>
      </w:r>
      <w:r w:rsidR="0097641F">
        <w:rPr>
          <w:rFonts w:ascii="Times New Roman" w:hAnsi="Times New Roman" w:cs="Times New Roman"/>
        </w:rPr>
        <w:t xml:space="preserve"> </w:t>
      </w:r>
      <w:r w:rsidR="00FD05B7">
        <w:rPr>
          <w:rFonts w:ascii="Times New Roman" w:hAnsi="Times New Roman" w:cs="Times New Roman"/>
        </w:rPr>
        <w:t xml:space="preserve">Much like Australia, the EU </w:t>
      </w:r>
      <w:r w:rsidR="00DD61DF">
        <w:rPr>
          <w:rFonts w:ascii="Times New Roman" w:hAnsi="Times New Roman" w:cs="Times New Roman"/>
        </w:rPr>
        <w:t>confers the power to interpret its treaties and acts of its institutions</w:t>
      </w:r>
      <w:r w:rsidR="00FA211C">
        <w:rPr>
          <w:rFonts w:ascii="Times New Roman" w:hAnsi="Times New Roman" w:cs="Times New Roman"/>
        </w:rPr>
        <w:t xml:space="preserve"> to</w:t>
      </w:r>
      <w:r w:rsidR="001152C3">
        <w:rPr>
          <w:rFonts w:ascii="Times New Roman" w:hAnsi="Times New Roman" w:cs="Times New Roman"/>
        </w:rPr>
        <w:t xml:space="preserve"> its highest court,</w:t>
      </w:r>
      <w:r w:rsidR="00FA211C">
        <w:rPr>
          <w:rFonts w:ascii="Times New Roman" w:hAnsi="Times New Roman" w:cs="Times New Roman"/>
        </w:rPr>
        <w:t xml:space="preserve"> the CJEU</w:t>
      </w:r>
      <w:r w:rsidR="003362F5">
        <w:rPr>
          <w:rFonts w:ascii="Times New Roman" w:hAnsi="Times New Roman" w:cs="Times New Roman"/>
        </w:rPr>
        <w:t>,</w:t>
      </w:r>
      <w:r w:rsidR="00FA211C" w:rsidRPr="00FF395A">
        <w:rPr>
          <w:rStyle w:val="FootnoteReference"/>
        </w:rPr>
        <w:footnoteReference w:id="80"/>
      </w:r>
      <w:r w:rsidR="003362F5">
        <w:rPr>
          <w:rFonts w:ascii="Times New Roman" w:hAnsi="Times New Roman" w:cs="Times New Roman"/>
        </w:rPr>
        <w:t xml:space="preserve"> and thus</w:t>
      </w:r>
      <w:r w:rsidR="001152C3">
        <w:rPr>
          <w:rFonts w:ascii="Times New Roman" w:hAnsi="Times New Roman" w:cs="Times New Roman"/>
        </w:rPr>
        <w:t>,</w:t>
      </w:r>
      <w:r w:rsidR="003362F5">
        <w:rPr>
          <w:rFonts w:ascii="Times New Roman" w:hAnsi="Times New Roman" w:cs="Times New Roman"/>
        </w:rPr>
        <w:t xml:space="preserve"> </w:t>
      </w:r>
      <w:r w:rsidR="004F63C4">
        <w:rPr>
          <w:rFonts w:ascii="Times New Roman" w:hAnsi="Times New Roman" w:cs="Times New Roman"/>
        </w:rPr>
        <w:t xml:space="preserve">one might </w:t>
      </w:r>
      <w:r w:rsidR="004F63C4">
        <w:rPr>
          <w:rFonts w:ascii="Times New Roman" w:hAnsi="Times New Roman" w:cs="Times New Roman"/>
        </w:rPr>
        <w:lastRenderedPageBreak/>
        <w:t xml:space="preserve">expect </w:t>
      </w:r>
      <w:r w:rsidR="003362F5">
        <w:rPr>
          <w:rFonts w:ascii="Times New Roman" w:hAnsi="Times New Roman" w:cs="Times New Roman"/>
        </w:rPr>
        <w:t>the same SoP issue</w:t>
      </w:r>
      <w:r w:rsidR="00C31F75">
        <w:rPr>
          <w:rFonts w:ascii="Times New Roman" w:hAnsi="Times New Roman" w:cs="Times New Roman"/>
        </w:rPr>
        <w:t>s</w:t>
      </w:r>
      <w:r w:rsidR="003362F5">
        <w:rPr>
          <w:rFonts w:ascii="Times New Roman" w:hAnsi="Times New Roman" w:cs="Times New Roman"/>
        </w:rPr>
        <w:t xml:space="preserve"> </w:t>
      </w:r>
      <w:r w:rsidR="004F63C4">
        <w:rPr>
          <w:rFonts w:ascii="Times New Roman" w:hAnsi="Times New Roman" w:cs="Times New Roman"/>
        </w:rPr>
        <w:t>to arise over legislative translation</w:t>
      </w:r>
      <w:r w:rsidR="003362F5">
        <w:rPr>
          <w:rFonts w:ascii="Times New Roman" w:hAnsi="Times New Roman" w:cs="Times New Roman"/>
        </w:rPr>
        <w:t>. However, the EU</w:t>
      </w:r>
      <w:r w:rsidR="004125A2">
        <w:rPr>
          <w:rFonts w:ascii="Times New Roman" w:hAnsi="Times New Roman" w:cs="Times New Roman"/>
        </w:rPr>
        <w:t xml:space="preserve"> </w:t>
      </w:r>
      <w:r w:rsidR="00087628">
        <w:rPr>
          <w:rFonts w:ascii="Times New Roman" w:hAnsi="Times New Roman" w:cs="Times New Roman"/>
        </w:rPr>
        <w:t xml:space="preserve">also commits to </w:t>
      </w:r>
      <w:r w:rsidR="004F63C4">
        <w:rPr>
          <w:rFonts w:ascii="Times New Roman" w:hAnsi="Times New Roman" w:cs="Times New Roman"/>
        </w:rPr>
        <w:t>the</w:t>
      </w:r>
      <w:r w:rsidR="00163C35">
        <w:rPr>
          <w:rFonts w:ascii="Times New Roman" w:hAnsi="Times New Roman" w:cs="Times New Roman"/>
        </w:rPr>
        <w:t xml:space="preserve"> translation of all legal texts into its member states’ languages</w:t>
      </w:r>
      <w:r w:rsidR="00087628">
        <w:rPr>
          <w:rFonts w:ascii="Times New Roman" w:hAnsi="Times New Roman" w:cs="Times New Roman"/>
        </w:rPr>
        <w:t xml:space="preserve"> by</w:t>
      </w:r>
      <w:r w:rsidR="001152C3">
        <w:rPr>
          <w:rFonts w:ascii="Times New Roman" w:hAnsi="Times New Roman" w:cs="Times New Roman"/>
        </w:rPr>
        <w:t xml:space="preserve"> </w:t>
      </w:r>
      <w:r w:rsidR="00087628">
        <w:rPr>
          <w:rFonts w:ascii="Times New Roman" w:hAnsi="Times New Roman" w:cs="Times New Roman"/>
        </w:rPr>
        <w:t>a body of the executive,</w:t>
      </w:r>
      <w:r w:rsidR="00087628" w:rsidRPr="00FF395A">
        <w:rPr>
          <w:rStyle w:val="FootnoteReference"/>
        </w:rPr>
        <w:footnoteReference w:id="81"/>
      </w:r>
      <w:r w:rsidR="001152C3">
        <w:rPr>
          <w:rFonts w:ascii="Times New Roman" w:hAnsi="Times New Roman" w:cs="Times New Roman"/>
        </w:rPr>
        <w:t xml:space="preserve"> the Directorate-General for Translation,</w:t>
      </w:r>
      <w:r w:rsidR="001152C3" w:rsidRPr="00FF395A">
        <w:rPr>
          <w:rStyle w:val="FootnoteReference"/>
        </w:rPr>
        <w:footnoteReference w:id="82"/>
      </w:r>
      <w:r w:rsidR="00087628">
        <w:rPr>
          <w:rFonts w:ascii="Times New Roman" w:hAnsi="Times New Roman" w:cs="Times New Roman"/>
        </w:rPr>
        <w:t xml:space="preserve"> and has affirmed</w:t>
      </w:r>
      <w:r w:rsidR="00007349">
        <w:rPr>
          <w:rFonts w:ascii="Times New Roman" w:hAnsi="Times New Roman" w:cs="Times New Roman"/>
        </w:rPr>
        <w:t xml:space="preserve"> </w:t>
      </w:r>
      <w:r w:rsidR="008C3B85">
        <w:rPr>
          <w:rFonts w:ascii="Times New Roman" w:hAnsi="Times New Roman" w:cs="Times New Roman"/>
        </w:rPr>
        <w:t>an equal legal authority across all translations.</w:t>
      </w:r>
      <w:r w:rsidR="008C3B85" w:rsidRPr="00FF395A">
        <w:rPr>
          <w:rStyle w:val="FootnoteReference"/>
        </w:rPr>
        <w:footnoteReference w:id="83"/>
      </w:r>
      <w:r w:rsidR="00C943CB">
        <w:rPr>
          <w:rFonts w:ascii="Times New Roman" w:hAnsi="Times New Roman" w:cs="Times New Roman"/>
        </w:rPr>
        <w:t xml:space="preserve"> As such, it is put forward that an investigation into the l</w:t>
      </w:r>
      <w:r w:rsidR="004B1942">
        <w:rPr>
          <w:rFonts w:ascii="Times New Roman" w:hAnsi="Times New Roman" w:cs="Times New Roman"/>
        </w:rPr>
        <w:t xml:space="preserve">egal issues surrounding the EU’s multilingual framework could shed light on how a potential RaC reform might operate </w:t>
      </w:r>
      <w:r w:rsidR="00904FB6">
        <w:rPr>
          <w:rFonts w:ascii="Times New Roman" w:hAnsi="Times New Roman" w:cs="Times New Roman"/>
        </w:rPr>
        <w:t>within Australia’s constitutional bounds</w:t>
      </w:r>
      <w:r w:rsidR="004B1942">
        <w:rPr>
          <w:rFonts w:ascii="Times New Roman" w:hAnsi="Times New Roman" w:cs="Times New Roman"/>
        </w:rPr>
        <w:t>.</w:t>
      </w:r>
    </w:p>
    <w:p w14:paraId="40A81032" w14:textId="088B0443" w:rsidR="00B962ED" w:rsidRDefault="00B962ED" w:rsidP="00B962ED">
      <w:pPr>
        <w:spacing w:line="480" w:lineRule="auto"/>
        <w:jc w:val="both"/>
        <w:rPr>
          <w:rFonts w:ascii="Times New Roman" w:hAnsi="Times New Roman" w:cs="Times New Roman"/>
        </w:rPr>
      </w:pPr>
    </w:p>
    <w:p w14:paraId="582F36D6" w14:textId="2B9D86F7" w:rsidR="00AD2743" w:rsidRPr="00AD2743" w:rsidRDefault="00AD2743" w:rsidP="00AD2743">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I</w:t>
      </w:r>
      <w:r>
        <w:rPr>
          <w:rFonts w:ascii="Times New Roman" w:hAnsi="Times New Roman" w:cs="Times New Roman"/>
          <w:sz w:val="28"/>
          <w:szCs w:val="28"/>
        </w:rPr>
        <w:t>I</w:t>
      </w:r>
      <w:r w:rsidRPr="00B67F00">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M</w:t>
      </w:r>
      <w:r>
        <w:rPr>
          <w:rFonts w:ascii="Times New Roman" w:hAnsi="Times New Roman" w:cs="Times New Roman"/>
          <w:sz w:val="24"/>
          <w:szCs w:val="24"/>
        </w:rPr>
        <w:t>ETHODOLOGY</w:t>
      </w:r>
    </w:p>
    <w:p w14:paraId="74447583" w14:textId="359B44EE" w:rsidR="006C0C34" w:rsidRDefault="004F253C" w:rsidP="007B26C3">
      <w:pPr>
        <w:spacing w:line="480" w:lineRule="auto"/>
        <w:jc w:val="both"/>
        <w:rPr>
          <w:rFonts w:ascii="Times New Roman" w:hAnsi="Times New Roman" w:cs="Times New Roman"/>
        </w:rPr>
      </w:pPr>
      <w:r w:rsidRPr="004F253C">
        <w:rPr>
          <w:rFonts w:ascii="Times New Roman" w:hAnsi="Times New Roman" w:cs="Times New Roman"/>
        </w:rPr>
        <w:t>This project</w:t>
      </w:r>
      <w:r>
        <w:rPr>
          <w:rFonts w:ascii="Times New Roman" w:hAnsi="Times New Roman" w:cs="Times New Roman"/>
        </w:rPr>
        <w:t xml:space="preserve"> </w:t>
      </w:r>
      <w:r w:rsidR="00B80D73">
        <w:rPr>
          <w:rFonts w:ascii="Times New Roman" w:hAnsi="Times New Roman" w:cs="Times New Roman"/>
        </w:rPr>
        <w:t>will</w:t>
      </w:r>
      <w:r>
        <w:rPr>
          <w:rFonts w:ascii="Times New Roman" w:hAnsi="Times New Roman" w:cs="Times New Roman"/>
        </w:rPr>
        <w:t xml:space="preserve"> </w:t>
      </w:r>
      <w:r w:rsidR="00F118E0">
        <w:rPr>
          <w:rFonts w:ascii="Times New Roman" w:hAnsi="Times New Roman" w:cs="Times New Roman"/>
        </w:rPr>
        <w:t>compare two methods</w:t>
      </w:r>
      <w:r w:rsidR="00EA2DCD">
        <w:rPr>
          <w:rFonts w:ascii="Times New Roman" w:hAnsi="Times New Roman" w:cs="Times New Roman"/>
        </w:rPr>
        <w:t xml:space="preserve"> of converting</w:t>
      </w:r>
      <w:r w:rsidR="003330D5">
        <w:rPr>
          <w:rFonts w:ascii="Times New Roman" w:hAnsi="Times New Roman" w:cs="Times New Roman"/>
        </w:rPr>
        <w:t xml:space="preserve"> specific provisions of Chapter</w:t>
      </w:r>
      <w:r w:rsidR="00CA673A">
        <w:rPr>
          <w:rFonts w:ascii="Times New Roman" w:hAnsi="Times New Roman" w:cs="Times New Roman"/>
        </w:rPr>
        <w:t xml:space="preserve"> III</w:t>
      </w:r>
      <w:r w:rsidR="003330D5">
        <w:rPr>
          <w:rFonts w:ascii="Times New Roman" w:hAnsi="Times New Roman" w:cs="Times New Roman"/>
        </w:rPr>
        <w:t xml:space="preserve"> of the </w:t>
      </w:r>
      <w:r w:rsidR="003330D5">
        <w:rPr>
          <w:rFonts w:ascii="Times New Roman" w:hAnsi="Times New Roman" w:cs="Times New Roman"/>
          <w:i/>
          <w:iCs/>
        </w:rPr>
        <w:t xml:space="preserve">National Credit Act </w:t>
      </w:r>
      <w:r w:rsidR="00B80D73">
        <w:rPr>
          <w:rFonts w:ascii="Times New Roman" w:hAnsi="Times New Roman" w:cs="Times New Roman"/>
        </w:rPr>
        <w:t xml:space="preserve">into a Rules as Code format and analyse which aspects of each method better </w:t>
      </w:r>
      <w:r w:rsidR="006C0C34">
        <w:rPr>
          <w:rFonts w:ascii="Times New Roman" w:hAnsi="Times New Roman" w:cs="Times New Roman"/>
        </w:rPr>
        <w:t>respect the interpretative role of the judiciary</w:t>
      </w:r>
      <w:r w:rsidR="00B80D73">
        <w:rPr>
          <w:rFonts w:ascii="Times New Roman" w:hAnsi="Times New Roman" w:cs="Times New Roman"/>
        </w:rPr>
        <w:t xml:space="preserve">. </w:t>
      </w:r>
      <w:r w:rsidR="006C0C34">
        <w:rPr>
          <w:rFonts w:ascii="Times New Roman" w:hAnsi="Times New Roman" w:cs="Times New Roman"/>
        </w:rPr>
        <w:t>Method one seeks to adhere to the formalistic methods analysed by Genesreth</w:t>
      </w:r>
      <w:r w:rsidR="006C0C34" w:rsidRPr="00FF395A">
        <w:rPr>
          <w:rStyle w:val="FootnoteReference"/>
        </w:rPr>
        <w:footnoteReference w:id="84"/>
      </w:r>
      <w:r w:rsidR="006C0C34">
        <w:rPr>
          <w:rFonts w:ascii="Times New Roman" w:hAnsi="Times New Roman" w:cs="Times New Roman"/>
        </w:rPr>
        <w:t xml:space="preserve"> and Sergo et al.</w:t>
      </w:r>
      <w:r w:rsidR="006C0C34" w:rsidRPr="00FF395A">
        <w:rPr>
          <w:rStyle w:val="FootnoteReference"/>
        </w:rPr>
        <w:footnoteReference w:id="85"/>
      </w:r>
      <w:r w:rsidR="006C0C34">
        <w:rPr>
          <w:rFonts w:ascii="Times New Roman" w:hAnsi="Times New Roman" w:cs="Times New Roman"/>
        </w:rPr>
        <w:t xml:space="preserve"> and is most reminiscent of the methods put into place in recent RaC efforts.</w:t>
      </w:r>
      <w:r w:rsidR="006C0C34" w:rsidRPr="00FF395A">
        <w:rPr>
          <w:rStyle w:val="FootnoteReference"/>
        </w:rPr>
        <w:footnoteReference w:id="86"/>
      </w:r>
      <w:r w:rsidR="006C0C34">
        <w:rPr>
          <w:rFonts w:ascii="Times New Roman" w:hAnsi="Times New Roman" w:cs="Times New Roman"/>
        </w:rPr>
        <w:t xml:space="preserve"> It is expected that where previous attempts saw success, method one will fail to adequately account for the ambiguous terms found in the </w:t>
      </w:r>
      <w:r w:rsidR="006C0C34">
        <w:rPr>
          <w:rFonts w:ascii="Times New Roman" w:hAnsi="Times New Roman" w:cs="Times New Roman"/>
          <w:i/>
          <w:iCs/>
        </w:rPr>
        <w:t>National Credit Act</w:t>
      </w:r>
      <w:r w:rsidR="006C0C34">
        <w:rPr>
          <w:rFonts w:ascii="Times New Roman" w:hAnsi="Times New Roman" w:cs="Times New Roman"/>
        </w:rPr>
        <w:t>. In contrast, method two acknowledges the inherent formalism of algorithms, but strives to simulate the non-formalistic approach hypothesised by Green &amp; Viljoen</w:t>
      </w:r>
      <w:r w:rsidR="006C0C34" w:rsidRPr="00FF395A">
        <w:rPr>
          <w:rStyle w:val="FootnoteReference"/>
        </w:rPr>
        <w:footnoteReference w:id="87"/>
      </w:r>
      <w:r w:rsidR="006C0C34">
        <w:rPr>
          <w:rFonts w:ascii="Times New Roman" w:hAnsi="Times New Roman" w:cs="Times New Roman"/>
        </w:rPr>
        <w:t xml:space="preserve"> and Matczak</w:t>
      </w:r>
      <w:r w:rsidR="006C0C34" w:rsidRPr="00FF395A">
        <w:rPr>
          <w:rStyle w:val="FootnoteReference"/>
        </w:rPr>
        <w:footnoteReference w:id="88"/>
      </w:r>
      <w:r w:rsidR="006C0C34">
        <w:rPr>
          <w:rFonts w:ascii="Times New Roman" w:hAnsi="Times New Roman" w:cs="Times New Roman"/>
        </w:rPr>
        <w:t xml:space="preserve"> through consideration of quasi-legislative materials and manual classification techniques explored by Wolfram.</w:t>
      </w:r>
      <w:r w:rsidR="006C0C34" w:rsidRPr="00FF395A">
        <w:rPr>
          <w:rStyle w:val="FootnoteReference"/>
        </w:rPr>
        <w:footnoteReference w:id="89"/>
      </w:r>
      <w:r w:rsidR="006C0C34">
        <w:rPr>
          <w:rFonts w:ascii="Times New Roman" w:hAnsi="Times New Roman" w:cs="Times New Roman"/>
        </w:rPr>
        <w:t xml:space="preserve"> It is expected that this method’s outputs will be more predictable and therefore more ‘just’</w:t>
      </w:r>
      <w:r w:rsidR="006C0C34" w:rsidRPr="00FF395A">
        <w:rPr>
          <w:rStyle w:val="FootnoteReference"/>
        </w:rPr>
        <w:footnoteReference w:id="90"/>
      </w:r>
      <w:r w:rsidR="006C0C34">
        <w:rPr>
          <w:rFonts w:ascii="Times New Roman" w:hAnsi="Times New Roman" w:cs="Times New Roman"/>
        </w:rPr>
        <w:t xml:space="preserve"> than that of method one, but also that it will require significantly more assumptions and interpretation of the law, therefore indicating a potential violation </w:t>
      </w:r>
      <w:r w:rsidR="006C0C34">
        <w:rPr>
          <w:rFonts w:ascii="Times New Roman" w:hAnsi="Times New Roman" w:cs="Times New Roman"/>
        </w:rPr>
        <w:lastRenderedPageBreak/>
        <w:t>of the separation of powers. The type of output of both methods envisioned in the analysis is exemplified above in Figure 1.</w:t>
      </w:r>
      <w:r w:rsidR="00F51080">
        <w:rPr>
          <w:rFonts w:ascii="Times New Roman" w:hAnsi="Times New Roman" w:cs="Times New Roman"/>
        </w:rPr>
        <w:t xml:space="preserve"> [TODO Note that there are a number of varying interpretations of what ‘formalist’ or ‘non-formalist’ theories actually mean – for the purposes of this exercise, the generally accepted aspects of formalism are considered, these being an emphasis on strict interpretation of the technical meaning of the law with adherence only to authorised legal materials]</w:t>
      </w:r>
    </w:p>
    <w:p w14:paraId="7148A70F" w14:textId="77777777" w:rsidR="001152C3" w:rsidRDefault="00B56C72" w:rsidP="00CD4D47">
      <w:pPr>
        <w:spacing w:line="480" w:lineRule="auto"/>
        <w:jc w:val="both"/>
        <w:rPr>
          <w:rFonts w:ascii="Times New Roman" w:hAnsi="Times New Roman" w:cs="Times New Roman"/>
        </w:rPr>
      </w:pPr>
      <w:r>
        <w:rPr>
          <w:rFonts w:ascii="Times New Roman" w:hAnsi="Times New Roman" w:cs="Times New Roman"/>
        </w:rPr>
        <w:t xml:space="preserve">Chapter III of the </w:t>
      </w:r>
      <w:r w:rsidR="001D223E">
        <w:rPr>
          <w:rFonts w:ascii="Times New Roman" w:hAnsi="Times New Roman" w:cs="Times New Roman"/>
          <w:i/>
          <w:iCs/>
        </w:rPr>
        <w:t>National Credit Act</w:t>
      </w:r>
      <w:r w:rsidR="001D223E">
        <w:rPr>
          <w:rFonts w:ascii="Times New Roman" w:hAnsi="Times New Roman" w:cs="Times New Roman"/>
        </w:rPr>
        <w:t xml:space="preserve"> </w:t>
      </w:r>
      <w:r w:rsidR="006C0C34">
        <w:rPr>
          <w:rFonts w:ascii="Times New Roman" w:hAnsi="Times New Roman" w:cs="Times New Roman"/>
        </w:rPr>
        <w:t>has been chosen as a test of each method because its provisions are</w:t>
      </w:r>
      <w:r w:rsidR="001D223E">
        <w:rPr>
          <w:rFonts w:ascii="Times New Roman" w:hAnsi="Times New Roman" w:cs="Times New Roman"/>
        </w:rPr>
        <w:t xml:space="preserve"> informed by both prescriptive and discretionary clauses,</w:t>
      </w:r>
      <w:r w:rsidR="00A7496D">
        <w:rPr>
          <w:rFonts w:ascii="Times New Roman" w:hAnsi="Times New Roman" w:cs="Times New Roman"/>
        </w:rPr>
        <w:t xml:space="preserve"> as well as </w:t>
      </w:r>
      <w:r w:rsidR="00383400">
        <w:rPr>
          <w:rFonts w:ascii="Times New Roman" w:hAnsi="Times New Roman" w:cs="Times New Roman"/>
        </w:rPr>
        <w:t>judicial discretionary decisions in the form of case law</w:t>
      </w:r>
      <w:r w:rsidR="00383400" w:rsidRPr="00FF395A">
        <w:rPr>
          <w:rStyle w:val="FootnoteReference"/>
        </w:rPr>
        <w:footnoteReference w:id="91"/>
      </w:r>
      <w:r w:rsidR="00CC5D10">
        <w:rPr>
          <w:rFonts w:ascii="Times New Roman" w:hAnsi="Times New Roman" w:cs="Times New Roman"/>
        </w:rPr>
        <w:t xml:space="preserve"> which</w:t>
      </w:r>
      <w:r w:rsidR="00B20578">
        <w:rPr>
          <w:rFonts w:ascii="Times New Roman" w:hAnsi="Times New Roman" w:cs="Times New Roman"/>
        </w:rPr>
        <w:t xml:space="preserve"> suggest a non-formalist alignment,</w:t>
      </w:r>
      <w:r w:rsidR="00C76DC3" w:rsidRPr="00FF395A">
        <w:rPr>
          <w:rStyle w:val="FootnoteReference"/>
        </w:rPr>
        <w:footnoteReference w:id="92"/>
      </w:r>
      <w:r w:rsidR="001D223E">
        <w:rPr>
          <w:rFonts w:ascii="Times New Roman" w:hAnsi="Times New Roman" w:cs="Times New Roman"/>
        </w:rPr>
        <w:t xml:space="preserve"> allowing for a full exploration of digital conversion techniques which previous literatures have failed to consider.</w:t>
      </w:r>
      <w:r w:rsidR="001D223E" w:rsidRPr="00FF395A">
        <w:rPr>
          <w:rStyle w:val="FootnoteReference"/>
        </w:rPr>
        <w:footnoteReference w:id="93"/>
      </w:r>
      <w:r w:rsidR="001D223E">
        <w:rPr>
          <w:rFonts w:ascii="Times New Roman" w:hAnsi="Times New Roman" w:cs="Times New Roman"/>
        </w:rPr>
        <w:t xml:space="preserve"> Further, where ambiguity is present, for example through a requirement of </w:t>
      </w:r>
      <w:r w:rsidR="00F53D7E">
        <w:rPr>
          <w:rFonts w:ascii="Times New Roman" w:hAnsi="Times New Roman" w:cs="Times New Roman"/>
        </w:rPr>
        <w:t>‘</w:t>
      </w:r>
      <w:r w:rsidR="001D223E">
        <w:rPr>
          <w:rFonts w:ascii="Times New Roman" w:hAnsi="Times New Roman" w:cs="Times New Roman"/>
        </w:rPr>
        <w:t>reasonable inquiries</w:t>
      </w:r>
      <w:r w:rsidR="00F53D7E">
        <w:rPr>
          <w:rFonts w:ascii="Times New Roman" w:hAnsi="Times New Roman" w:cs="Times New Roman"/>
        </w:rPr>
        <w:t>’</w:t>
      </w:r>
      <w:r w:rsidR="001D223E">
        <w:rPr>
          <w:rFonts w:ascii="Times New Roman" w:hAnsi="Times New Roman" w:cs="Times New Roman"/>
        </w:rPr>
        <w:t>, guidance has been provided through quasi-legislative materials such as the Australian Securities and Investment Commission’s (“ASIC”) Regulatory Guidelines.</w:t>
      </w:r>
      <w:r w:rsidR="001D223E" w:rsidRPr="00FF395A">
        <w:rPr>
          <w:rStyle w:val="FootnoteReference"/>
        </w:rPr>
        <w:footnoteReference w:id="94"/>
      </w:r>
      <w:r w:rsidR="001D223E">
        <w:rPr>
          <w:rFonts w:ascii="Times New Roman" w:hAnsi="Times New Roman" w:cs="Times New Roman"/>
        </w:rPr>
        <w:t xml:space="preserve"> This guidance is neither exhaustive, nor does it guarantee compliance,</w:t>
      </w:r>
      <w:r w:rsidR="0098359F" w:rsidRPr="00FF395A">
        <w:rPr>
          <w:rStyle w:val="FootnoteReference"/>
        </w:rPr>
        <w:footnoteReference w:id="95"/>
      </w:r>
      <w:r w:rsidR="001D223E">
        <w:rPr>
          <w:rFonts w:ascii="Times New Roman" w:hAnsi="Times New Roman" w:cs="Times New Roman"/>
        </w:rPr>
        <w:t xml:space="preserve"> and as such, its use allows for a consideration of the effects of a legal realist’s alignment in coding methods. Indeed, the statement that </w:t>
      </w:r>
      <w:r w:rsidR="00F53D7E">
        <w:rPr>
          <w:rFonts w:ascii="Times New Roman" w:hAnsi="Times New Roman" w:cs="Times New Roman"/>
        </w:rPr>
        <w:t>‘</w:t>
      </w:r>
      <w:r w:rsidR="001D223E" w:rsidRPr="00B67F00">
        <w:rPr>
          <w:rFonts w:ascii="Times New Roman" w:hAnsi="Times New Roman" w:cs="Times New Roman"/>
        </w:rPr>
        <w:t>the obligations are not static – what is “reasonable” will be affected by the broader professional and regulatory environment in which [the financial institution operates]</w:t>
      </w:r>
      <w:r w:rsidR="00F53D7E">
        <w:rPr>
          <w:rFonts w:ascii="Times New Roman" w:hAnsi="Times New Roman" w:cs="Times New Roman"/>
        </w:rPr>
        <w:t>’</w:t>
      </w:r>
      <w:r w:rsidR="001D223E" w:rsidRPr="00E11473">
        <w:rPr>
          <w:rStyle w:val="FootnoteReference"/>
        </w:rPr>
        <w:t xml:space="preserve"> </w:t>
      </w:r>
      <w:r w:rsidR="001D223E" w:rsidRPr="00FF395A">
        <w:rPr>
          <w:rStyle w:val="FootnoteReference"/>
        </w:rPr>
        <w:footnoteReference w:id="96"/>
      </w:r>
      <w:r w:rsidR="001D223E">
        <w:rPr>
          <w:rFonts w:ascii="Times New Roman" w:hAnsi="Times New Roman" w:cs="Times New Roman"/>
        </w:rPr>
        <w:t xml:space="preserve"> is reminiscent of the legal realist’s alignment of ever-evolving societal norms influencing judicial discretion. </w:t>
      </w:r>
    </w:p>
    <w:p w14:paraId="3BDA012A" w14:textId="4E4D65A7" w:rsidR="00CB2DF3" w:rsidRDefault="001D0B54" w:rsidP="00CD4D47">
      <w:pPr>
        <w:spacing w:line="480" w:lineRule="auto"/>
        <w:jc w:val="both"/>
        <w:rPr>
          <w:rFonts w:ascii="Times New Roman" w:hAnsi="Times New Roman" w:cs="Times New Roman"/>
        </w:rPr>
      </w:pPr>
      <w:r>
        <w:rPr>
          <w:rFonts w:ascii="Times New Roman" w:hAnsi="Times New Roman" w:cs="Times New Roman"/>
        </w:rPr>
        <w:lastRenderedPageBreak/>
        <w:t>From a technical standpoint, Python 3 has been selected as an appropriate machine-consumable language, given its wide use</w:t>
      </w:r>
      <w:r w:rsidR="00E4650F">
        <w:rPr>
          <w:rFonts w:ascii="Times New Roman" w:hAnsi="Times New Roman" w:cs="Times New Roman"/>
        </w:rPr>
        <w:t xml:space="preserve"> and descriptive syntax which eases understanding of its code for those who are not</w:t>
      </w:r>
      <w:r w:rsidR="00B67CAC">
        <w:rPr>
          <w:rFonts w:ascii="Times New Roman" w:hAnsi="Times New Roman" w:cs="Times New Roman"/>
        </w:rPr>
        <w:t xml:space="preserve"> familiar with the language.</w:t>
      </w:r>
      <w:r w:rsidR="005244D7" w:rsidRPr="00FF395A">
        <w:rPr>
          <w:rStyle w:val="FootnoteReference"/>
        </w:rPr>
        <w:footnoteReference w:id="97"/>
      </w:r>
      <w:r w:rsidR="008E3D78">
        <w:rPr>
          <w:rFonts w:ascii="Times New Roman" w:hAnsi="Times New Roman" w:cs="Times New Roman"/>
        </w:rPr>
        <w:t xml:space="preserve"> This is deemed particularly important in developing an RaC application so as to avoid opacity arising from technical illiteracy.</w:t>
      </w:r>
      <w:r w:rsidR="008E3D78">
        <w:rPr>
          <w:rStyle w:val="FootnoteReference"/>
          <w:rFonts w:ascii="Times New Roman" w:hAnsi="Times New Roman" w:cs="Times New Roman"/>
        </w:rPr>
        <w:footnoteReference w:id="98"/>
      </w:r>
      <w:r w:rsidR="001D02D8">
        <w:rPr>
          <w:rFonts w:ascii="Times New Roman" w:hAnsi="Times New Roman" w:cs="Times New Roman"/>
        </w:rPr>
        <w:t xml:space="preserve"> </w:t>
      </w:r>
    </w:p>
    <w:p w14:paraId="3E3A9C17" w14:textId="222F6D2D" w:rsidR="00711C1F" w:rsidRDefault="00711C1F" w:rsidP="00CD4D47">
      <w:pPr>
        <w:spacing w:line="480" w:lineRule="auto"/>
        <w:jc w:val="both"/>
        <w:rPr>
          <w:rFonts w:ascii="Times New Roman" w:hAnsi="Times New Roman" w:cs="Times New Roman"/>
        </w:rPr>
      </w:pPr>
      <w:r w:rsidRPr="00CB2DF3">
        <w:rPr>
          <w:rFonts w:ascii="Times New Roman" w:hAnsi="Times New Roman" w:cs="Times New Roman"/>
        </w:rPr>
        <w:t xml:space="preserve">Code </w:t>
      </w:r>
      <w:r>
        <w:rPr>
          <w:rFonts w:ascii="Times New Roman" w:hAnsi="Times New Roman" w:cs="Times New Roman"/>
        </w:rPr>
        <w:t>is to be</w:t>
      </w:r>
      <w:r w:rsidRPr="00CB2DF3">
        <w:rPr>
          <w:rFonts w:ascii="Times New Roman" w:hAnsi="Times New Roman" w:cs="Times New Roman"/>
        </w:rPr>
        <w:t xml:space="preserve"> written in an interview style, similar to that utilised by </w:t>
      </w:r>
      <w:r w:rsidR="002A2B60">
        <w:rPr>
          <w:rFonts w:ascii="Times New Roman" w:hAnsi="Times New Roman" w:cs="Times New Roman"/>
        </w:rPr>
        <w:t xml:space="preserve">the </w:t>
      </w:r>
      <w:r w:rsidR="002A2B60" w:rsidRPr="00160C66">
        <w:rPr>
          <w:rFonts w:ascii="Times New Roman" w:hAnsi="Times New Roman" w:cs="Times New Roman"/>
        </w:rPr>
        <w:t>Australasian Legal Information Institute’s (“AustLII”) ‘ElectKB’ application</w:t>
      </w:r>
      <w:r w:rsidR="002A2B60">
        <w:rPr>
          <w:rFonts w:ascii="Times New Roman" w:hAnsi="Times New Roman" w:cs="Times New Roman"/>
        </w:rPr>
        <w:t>,</w:t>
      </w:r>
      <w:r>
        <w:rPr>
          <w:rStyle w:val="FootnoteReference"/>
          <w:rFonts w:ascii="Times New Roman" w:hAnsi="Times New Roman" w:cs="Times New Roman"/>
        </w:rPr>
        <w:footnoteReference w:id="99"/>
      </w:r>
      <w:r w:rsidR="002A2B60">
        <w:rPr>
          <w:rFonts w:ascii="Times New Roman" w:hAnsi="Times New Roman" w:cs="Times New Roman"/>
        </w:rPr>
        <w:t xml:space="preserve"> which questions users through a chat-like interface before generating a finding on their eligibility as a member of federal parliament under the </w:t>
      </w:r>
      <w:r w:rsidR="002A2B60">
        <w:rPr>
          <w:rFonts w:ascii="Times New Roman" w:hAnsi="Times New Roman" w:cs="Times New Roman"/>
          <w:i/>
          <w:iCs/>
        </w:rPr>
        <w:t xml:space="preserve">Commonwealth Electoral Act 1918 </w:t>
      </w:r>
      <w:r w:rsidR="002A2B60">
        <w:rPr>
          <w:rFonts w:ascii="Times New Roman" w:hAnsi="Times New Roman" w:cs="Times New Roman"/>
        </w:rPr>
        <w:t>(Cth).</w:t>
      </w:r>
      <w:r w:rsidR="002A2B60">
        <w:rPr>
          <w:rStyle w:val="FootnoteReference"/>
          <w:rFonts w:ascii="Times New Roman" w:hAnsi="Times New Roman" w:cs="Times New Roman"/>
        </w:rPr>
        <w:footnoteReference w:id="100"/>
      </w:r>
      <w:r w:rsidRPr="00CB2DF3">
        <w:rPr>
          <w:rFonts w:ascii="Times New Roman" w:hAnsi="Times New Roman" w:cs="Times New Roman"/>
        </w:rPr>
        <w:t xml:space="preserve"> To address concerns raised by Sergo et al. regarding the historical lack of an ‘unknown’ option in Boolean programs,</w:t>
      </w:r>
      <w:r>
        <w:rPr>
          <w:rStyle w:val="FootnoteReference"/>
          <w:rFonts w:ascii="Times New Roman" w:hAnsi="Times New Roman" w:cs="Times New Roman"/>
        </w:rPr>
        <w:footnoteReference w:id="101"/>
      </w:r>
      <w:r w:rsidRPr="00CB2DF3">
        <w:rPr>
          <w:rFonts w:ascii="Times New Roman" w:hAnsi="Times New Roman" w:cs="Times New Roman"/>
        </w:rPr>
        <w:t xml:space="preserve"> the </w:t>
      </w:r>
      <w:r w:rsidR="00C972AD">
        <w:rPr>
          <w:rFonts w:ascii="Times New Roman" w:hAnsi="Times New Roman" w:cs="Times New Roman"/>
        </w:rPr>
        <w:t>P</w:t>
      </w:r>
      <w:r w:rsidRPr="00CB2DF3">
        <w:rPr>
          <w:rFonts w:ascii="Times New Roman" w:hAnsi="Times New Roman" w:cs="Times New Roman"/>
        </w:rPr>
        <w:t>ython module ‘tribool’</w:t>
      </w:r>
      <w:r w:rsidR="002B47A6">
        <w:rPr>
          <w:rStyle w:val="FootnoteReference"/>
          <w:rFonts w:ascii="Times New Roman" w:hAnsi="Times New Roman" w:cs="Times New Roman"/>
        </w:rPr>
        <w:footnoteReference w:id="102"/>
      </w:r>
      <w:r w:rsidRPr="00CB2DF3">
        <w:rPr>
          <w:rFonts w:ascii="Times New Roman" w:hAnsi="Times New Roman" w:cs="Times New Roman"/>
        </w:rPr>
        <w:t xml:space="preserve"> </w:t>
      </w:r>
      <w:r>
        <w:rPr>
          <w:rFonts w:ascii="Times New Roman" w:hAnsi="Times New Roman" w:cs="Times New Roman"/>
        </w:rPr>
        <w:t>is</w:t>
      </w:r>
      <w:r w:rsidRPr="00CB2DF3">
        <w:rPr>
          <w:rFonts w:ascii="Times New Roman" w:hAnsi="Times New Roman" w:cs="Times New Roman"/>
        </w:rPr>
        <w:t xml:space="preserve"> used and adapted so as to emulate ternary unknown-state logic (True, False or Unknown).</w:t>
      </w:r>
      <w:r>
        <w:rPr>
          <w:rStyle w:val="FootnoteReference"/>
          <w:rFonts w:ascii="Times New Roman" w:hAnsi="Times New Roman" w:cs="Times New Roman"/>
        </w:rPr>
        <w:footnoteReference w:id="103"/>
      </w:r>
      <w:r>
        <w:rPr>
          <w:rFonts w:ascii="Times New Roman" w:hAnsi="Times New Roman" w:cs="Times New Roman"/>
        </w:rPr>
        <w:t xml:space="preserve"> </w:t>
      </w:r>
      <w:r w:rsidR="002B47A6">
        <w:rPr>
          <w:rFonts w:ascii="Times New Roman" w:hAnsi="Times New Roman" w:cs="Times New Roman"/>
        </w:rPr>
        <w:t>Influenced by Wolfram’s advocacy for classification-based programming,</w:t>
      </w:r>
      <w:r w:rsidR="002B47A6">
        <w:rPr>
          <w:rStyle w:val="FootnoteReference"/>
          <w:rFonts w:ascii="Times New Roman" w:hAnsi="Times New Roman" w:cs="Times New Roman"/>
        </w:rPr>
        <w:footnoteReference w:id="104"/>
      </w:r>
      <w:r>
        <w:rPr>
          <w:rFonts w:ascii="Times New Roman" w:hAnsi="Times New Roman" w:cs="Times New Roman"/>
        </w:rPr>
        <w:t xml:space="preserve"> an object-oriented programming (“OOP”) approach has been taken when considering legal concepts such as entities and contracts. While consensus regarding specific facets of this approach is lacking,</w:t>
      </w:r>
      <w:r>
        <w:rPr>
          <w:rStyle w:val="FootnoteReference"/>
          <w:rFonts w:ascii="Times New Roman" w:hAnsi="Times New Roman" w:cs="Times New Roman"/>
        </w:rPr>
        <w:footnoteReference w:id="105"/>
      </w:r>
      <w:r>
        <w:rPr>
          <w:rFonts w:ascii="Times New Roman" w:hAnsi="Times New Roman" w:cs="Times New Roman"/>
        </w:rPr>
        <w:t xml:space="preserve"> the general concepts of a variable’s class, </w:t>
      </w:r>
      <w:r w:rsidR="00BA782B">
        <w:rPr>
          <w:rFonts w:ascii="Times New Roman" w:hAnsi="Times New Roman" w:cs="Times New Roman"/>
        </w:rPr>
        <w:t>object,</w:t>
      </w:r>
      <w:r>
        <w:rPr>
          <w:rFonts w:ascii="Times New Roman" w:hAnsi="Times New Roman" w:cs="Times New Roman"/>
        </w:rPr>
        <w:t xml:space="preserve"> and attribute hierarchy</w:t>
      </w:r>
      <w:r w:rsidR="00BA782B">
        <w:rPr>
          <w:rStyle w:val="FootnoteReference"/>
          <w:rFonts w:ascii="Times New Roman" w:hAnsi="Times New Roman" w:cs="Times New Roman"/>
        </w:rPr>
        <w:footnoteReference w:id="106"/>
      </w:r>
      <w:r w:rsidR="00BA782B">
        <w:rPr>
          <w:rFonts w:ascii="Times New Roman" w:hAnsi="Times New Roman" w:cs="Times New Roman"/>
        </w:rPr>
        <w:t xml:space="preserve"> have proven instrumental in overcoming issues of both a legal and technical nature.</w:t>
      </w:r>
      <w:r w:rsidR="002B47A6">
        <w:rPr>
          <w:rFonts w:ascii="Times New Roman" w:hAnsi="Times New Roman" w:cs="Times New Roman"/>
        </w:rPr>
        <w:t xml:space="preserve"> </w:t>
      </w:r>
    </w:p>
    <w:p w14:paraId="192B5164" w14:textId="77777777" w:rsidR="00AD2743" w:rsidRDefault="00AD2743" w:rsidP="00AD2743"/>
    <w:p w14:paraId="50B3EAFB" w14:textId="03BC5DA6" w:rsidR="00AD2743" w:rsidRDefault="00AD2743" w:rsidP="00AD2743">
      <w:pPr>
        <w:spacing w:line="480" w:lineRule="auto"/>
        <w:jc w:val="center"/>
        <w:rPr>
          <w:rFonts w:ascii="Times New Roman" w:hAnsi="Times New Roman" w:cs="Times New Roman"/>
          <w:sz w:val="24"/>
          <w:szCs w:val="24"/>
        </w:rPr>
      </w:pPr>
      <w:r>
        <w:rPr>
          <w:rFonts w:ascii="Times New Roman" w:hAnsi="Times New Roman" w:cs="Times New Roman"/>
          <w:sz w:val="28"/>
          <w:szCs w:val="28"/>
        </w:rPr>
        <w:t>IV</w:t>
      </w:r>
      <w:r w:rsidRPr="00B67F00">
        <w:rPr>
          <w:rFonts w:ascii="Times New Roman" w:hAnsi="Times New Roman" w:cs="Times New Roman"/>
          <w:sz w:val="28"/>
          <w:szCs w:val="28"/>
        </w:rPr>
        <w:tab/>
      </w:r>
      <w:r>
        <w:rPr>
          <w:rFonts w:ascii="Times New Roman" w:hAnsi="Times New Roman" w:cs="Times New Roman"/>
          <w:sz w:val="28"/>
          <w:szCs w:val="28"/>
        </w:rPr>
        <w:t>F</w:t>
      </w:r>
      <w:r>
        <w:rPr>
          <w:rFonts w:ascii="Times New Roman" w:hAnsi="Times New Roman" w:cs="Times New Roman"/>
          <w:sz w:val="24"/>
          <w:szCs w:val="24"/>
        </w:rPr>
        <w:t>INDINGS</w:t>
      </w:r>
    </w:p>
    <w:p w14:paraId="71146F77" w14:textId="22D90322" w:rsidR="004430AA" w:rsidRPr="00151CC4" w:rsidRDefault="00EF76E3" w:rsidP="00151CC4">
      <w:pPr>
        <w:spacing w:line="480" w:lineRule="auto"/>
        <w:jc w:val="both"/>
        <w:rPr>
          <w:rFonts w:ascii="Times New Roman" w:hAnsi="Times New Roman" w:cs="Times New Roman"/>
        </w:rPr>
      </w:pPr>
      <w:r w:rsidRPr="00151CC4">
        <w:rPr>
          <w:rFonts w:ascii="Times New Roman" w:hAnsi="Times New Roman" w:cs="Times New Roman"/>
        </w:rPr>
        <w:t>For the most part, coding of the selected provisions was fairly straightforward, though difficulties posed by the outlier provisions ultimately resulted in significant changes to the aforementioned methodology. In contrast to expectations, it was ultimately determined that attempting to compare resultant digitisation of the provisions using both formalist and non-formalist theories was a task which could not be adequately approached without straying well outside the scope of this article. Though such efforts were hypothesised and proposed in part in this section, only one approach was ultimately taken, informed by the modern approach to statutory interpretation, and thus more aligned with non-formalism than formalism. Nonetheless, for reasons outlined below,</w:t>
      </w:r>
      <w:r w:rsidR="00151CC4" w:rsidRPr="00151CC4">
        <w:rPr>
          <w:rFonts w:ascii="Times New Roman" w:hAnsi="Times New Roman" w:cs="Times New Roman"/>
        </w:rPr>
        <w:t xml:space="preserve"> this approach should not be deemed a true non-formalist approach. </w:t>
      </w:r>
    </w:p>
    <w:p w14:paraId="01F44D08" w14:textId="77777777" w:rsidR="007028EF" w:rsidRDefault="007028EF" w:rsidP="00151CC4">
      <w:pPr>
        <w:spacing w:line="480" w:lineRule="auto"/>
        <w:rPr>
          <w:rFonts w:ascii="Times New Roman" w:hAnsi="Times New Roman" w:cs="Times New Roman"/>
        </w:rPr>
      </w:pPr>
    </w:p>
    <w:p w14:paraId="2D7CEB2E" w14:textId="3ED5EB24" w:rsidR="00AD2743" w:rsidRPr="00B60A04" w:rsidRDefault="00AD2743" w:rsidP="00AD2743">
      <w:pPr>
        <w:spacing w:line="480" w:lineRule="auto"/>
        <w:jc w:val="center"/>
        <w:rPr>
          <w:rFonts w:ascii="Times New Roman" w:hAnsi="Times New Roman" w:cs="Times New Roman"/>
          <w:i/>
          <w:iCs/>
        </w:rPr>
      </w:pPr>
      <w:r w:rsidRPr="00B60A04">
        <w:rPr>
          <w:rFonts w:ascii="Times New Roman" w:hAnsi="Times New Roman" w:cs="Times New Roman"/>
        </w:rPr>
        <w:t xml:space="preserve">A </w:t>
      </w:r>
      <w:r w:rsidRPr="00B60A04">
        <w:rPr>
          <w:rFonts w:ascii="Times New Roman" w:hAnsi="Times New Roman" w:cs="Times New Roman"/>
          <w:i/>
          <w:iCs/>
        </w:rPr>
        <w:t>Computational</w:t>
      </w:r>
      <w:r w:rsidR="00D642D9">
        <w:rPr>
          <w:rFonts w:ascii="Times New Roman" w:hAnsi="Times New Roman" w:cs="Times New Roman"/>
          <w:i/>
          <w:iCs/>
        </w:rPr>
        <w:t xml:space="preserve"> &amp; Interpretative</w:t>
      </w:r>
      <w:r w:rsidRPr="00B60A04">
        <w:rPr>
          <w:rFonts w:ascii="Times New Roman" w:hAnsi="Times New Roman" w:cs="Times New Roman"/>
          <w:i/>
          <w:iCs/>
        </w:rPr>
        <w:t xml:space="preserve"> Approaches</w:t>
      </w:r>
    </w:p>
    <w:p w14:paraId="5CACE8A2" w14:textId="110B9748" w:rsidR="007A0FC6" w:rsidRPr="00B60A04" w:rsidRDefault="007A0FC6" w:rsidP="00F66BD4">
      <w:pPr>
        <w:spacing w:line="480" w:lineRule="auto"/>
        <w:jc w:val="both"/>
        <w:rPr>
          <w:rFonts w:ascii="Times New Roman" w:hAnsi="Times New Roman" w:cs="Times New Roman"/>
        </w:rPr>
      </w:pPr>
      <w:r w:rsidRPr="00B60A04">
        <w:rPr>
          <w:rFonts w:ascii="Times New Roman" w:hAnsi="Times New Roman" w:cs="Times New Roman"/>
        </w:rPr>
        <w:t xml:space="preserve">As alluded to in the prior section, </w:t>
      </w:r>
      <w:r w:rsidR="00F66BD4" w:rsidRPr="00B60A04">
        <w:rPr>
          <w:rFonts w:ascii="Times New Roman" w:hAnsi="Times New Roman" w:cs="Times New Roman"/>
        </w:rPr>
        <w:t xml:space="preserve">the </w:t>
      </w:r>
      <w:r w:rsidRPr="00B60A04">
        <w:rPr>
          <w:rFonts w:ascii="Times New Roman" w:hAnsi="Times New Roman" w:cs="Times New Roman"/>
        </w:rPr>
        <w:t xml:space="preserve">user interface (“UI”) </w:t>
      </w:r>
      <w:r w:rsidR="00F66BD4" w:rsidRPr="00B60A04">
        <w:rPr>
          <w:rFonts w:ascii="Times New Roman" w:hAnsi="Times New Roman" w:cs="Times New Roman"/>
        </w:rPr>
        <w:t>portion of the application was built with an interview approach in mind, focussing</w:t>
      </w:r>
      <w:r w:rsidRPr="00B60A04">
        <w:rPr>
          <w:rFonts w:ascii="Times New Roman" w:hAnsi="Times New Roman" w:cs="Times New Roman"/>
        </w:rPr>
        <w:t xml:space="preserve"> on prompts and inputs which generally took the form of ternary unknown-state logic,</w:t>
      </w:r>
      <w:r w:rsidR="00C972AD" w:rsidRPr="00B60A04">
        <w:rPr>
          <w:rStyle w:val="FootnoteReference"/>
          <w:rFonts w:ascii="Times New Roman" w:hAnsi="Times New Roman" w:cs="Times New Roman"/>
        </w:rPr>
        <w:footnoteReference w:id="107"/>
      </w:r>
      <w:r w:rsidRPr="00B60A04">
        <w:rPr>
          <w:rFonts w:ascii="Times New Roman" w:hAnsi="Times New Roman" w:cs="Times New Roman"/>
        </w:rPr>
        <w:t xml:space="preserve"> dates</w:t>
      </w:r>
      <w:r w:rsidR="00C972AD" w:rsidRPr="00B60A04">
        <w:rPr>
          <w:rFonts w:ascii="Times New Roman" w:hAnsi="Times New Roman" w:cs="Times New Roman"/>
        </w:rPr>
        <w:t>,</w:t>
      </w:r>
      <w:r w:rsidR="00C972AD" w:rsidRPr="00B60A04">
        <w:rPr>
          <w:rStyle w:val="FootnoteReference"/>
          <w:rFonts w:ascii="Times New Roman" w:hAnsi="Times New Roman" w:cs="Times New Roman"/>
        </w:rPr>
        <w:footnoteReference w:id="108"/>
      </w:r>
      <w:r w:rsidR="00C972AD" w:rsidRPr="00B60A04">
        <w:rPr>
          <w:rFonts w:ascii="Times New Roman" w:hAnsi="Times New Roman" w:cs="Times New Roman"/>
        </w:rPr>
        <w:t xml:space="preserve"> or values sans units.</w:t>
      </w:r>
      <w:r w:rsidR="00C972AD" w:rsidRPr="00B60A04">
        <w:rPr>
          <w:rStyle w:val="FootnoteReference"/>
          <w:rFonts w:ascii="Times New Roman" w:hAnsi="Times New Roman" w:cs="Times New Roman"/>
        </w:rPr>
        <w:footnoteReference w:id="109"/>
      </w:r>
      <w:r w:rsidR="00F66BD4" w:rsidRPr="00B60A04">
        <w:rPr>
          <w:rFonts w:ascii="Times New Roman" w:hAnsi="Times New Roman" w:cs="Times New Roman"/>
        </w:rPr>
        <w:t xml:space="preserve"> Throughout the program’s life, these inputs are assigned as values of variables and used to determine which questions are asked and the ultimate determination of the program, which is delivered at the conclusion of the interview. In its current state, the application purports to identify which contraventions have been breached (if any), what the consequences of these contraventions are in terms of civil and criminal penalty units, and any </w:t>
      </w:r>
      <w:r w:rsidR="00F66BD4" w:rsidRPr="00B60A04">
        <w:rPr>
          <w:rFonts w:ascii="Times New Roman" w:hAnsi="Times New Roman" w:cs="Times New Roman"/>
        </w:rPr>
        <w:lastRenderedPageBreak/>
        <w:t>uncertainties arising from ‘indeterminate’ inputs which might decrease the reliability of the determination.</w:t>
      </w:r>
    </w:p>
    <w:p w14:paraId="2A670020" w14:textId="690A4F18" w:rsidR="006513A2" w:rsidRDefault="00C94353" w:rsidP="009003EA">
      <w:pPr>
        <w:spacing w:line="480" w:lineRule="auto"/>
        <w:jc w:val="both"/>
        <w:rPr>
          <w:rFonts w:ascii="Times New Roman" w:hAnsi="Times New Roman" w:cs="Times New Roman"/>
          <w:sz w:val="24"/>
          <w:szCs w:val="24"/>
        </w:rPr>
      </w:pPr>
      <w:r w:rsidRPr="00B60A04">
        <w:rPr>
          <w:rFonts w:ascii="Times New Roman" w:hAnsi="Times New Roman" w:cs="Times New Roman"/>
        </w:rPr>
        <w:t>Subjects of clauses were classified using an OOP approach,</w:t>
      </w:r>
      <w:r w:rsidR="006513A2" w:rsidRPr="00B60A04">
        <w:rPr>
          <w:rFonts w:ascii="Times New Roman" w:hAnsi="Times New Roman" w:cs="Times New Roman"/>
        </w:rPr>
        <w:t xml:space="preserve"> exemplified in Figure 2,</w:t>
      </w:r>
      <w:r w:rsidRPr="00B60A04">
        <w:rPr>
          <w:rFonts w:ascii="Times New Roman" w:hAnsi="Times New Roman" w:cs="Times New Roman"/>
        </w:rPr>
        <w:t xml:space="preserve"> which</w:t>
      </w:r>
      <w:r w:rsidR="00EE40C8" w:rsidRPr="00B60A04">
        <w:rPr>
          <w:rFonts w:ascii="Times New Roman" w:hAnsi="Times New Roman" w:cs="Times New Roman"/>
        </w:rPr>
        <w:t xml:space="preserve"> assisted in managing the large number of variables associated with determining a breach of the relevant provisions</w:t>
      </w:r>
      <w:r w:rsidR="006513A2" w:rsidRPr="00B60A04">
        <w:rPr>
          <w:rFonts w:ascii="Times New Roman" w:hAnsi="Times New Roman" w:cs="Times New Roman"/>
        </w:rPr>
        <w:t>.</w:t>
      </w:r>
      <w:r w:rsidR="006513A2">
        <w:rPr>
          <w:rFonts w:ascii="Times New Roman" w:hAnsi="Times New Roman" w:cs="Times New Roman"/>
          <w:sz w:val="24"/>
          <w:szCs w:val="24"/>
        </w:rPr>
        <w:t xml:space="preserve"> </w:t>
      </w:r>
    </w:p>
    <w:bookmarkStart w:id="2" w:name="_MON_1662987686"/>
    <w:bookmarkEnd w:id="2"/>
    <w:p w14:paraId="3201D01E" w14:textId="75FD53F9" w:rsidR="006513A2" w:rsidRDefault="0078672E" w:rsidP="006513A2">
      <w:pPr>
        <w:keepNext/>
        <w:spacing w:line="480" w:lineRule="auto"/>
        <w:jc w:val="both"/>
      </w:pPr>
      <w:r>
        <w:rPr>
          <w:rFonts w:ascii="Times New Roman" w:hAnsi="Times New Roman" w:cs="Times New Roman"/>
          <w:sz w:val="24"/>
          <w:szCs w:val="24"/>
        </w:rPr>
        <w:object w:dxaOrig="9026" w:dyaOrig="850" w14:anchorId="31315569">
          <v:shape id="_x0000_i1026" type="#_x0000_t75" style="width:451.15pt;height:42.55pt" o:ole="">
            <v:imagedata r:id="rId9" o:title=""/>
          </v:shape>
          <o:OLEObject Type="Embed" ProgID="Word.DocumentMacroEnabled.12" ShapeID="_x0000_i1026" DrawAspect="Content" ObjectID="_1663315006" r:id="rId10"/>
        </w:object>
      </w:r>
    </w:p>
    <w:p w14:paraId="61DF5AB0" w14:textId="1E570780" w:rsidR="006513A2" w:rsidRPr="006513A2" w:rsidRDefault="006513A2" w:rsidP="006513A2">
      <w:pPr>
        <w:pStyle w:val="Caption"/>
        <w:jc w:val="both"/>
        <w:rPr>
          <w:rFonts w:ascii="Times New Roman" w:hAnsi="Times New Roman" w:cs="Times New Roman"/>
          <w:i w:val="0"/>
          <w:iCs w:val="0"/>
          <w:sz w:val="24"/>
          <w:szCs w:val="24"/>
        </w:rPr>
      </w:pPr>
      <w:r w:rsidRPr="006513A2">
        <w:rPr>
          <w:b/>
          <w:bCs/>
          <w:i w:val="0"/>
          <w:iCs w:val="0"/>
        </w:rPr>
        <w:t xml:space="preserve">Figure </w:t>
      </w:r>
      <w:r w:rsidRPr="006513A2">
        <w:rPr>
          <w:b/>
          <w:bCs/>
          <w:i w:val="0"/>
          <w:iCs w:val="0"/>
        </w:rPr>
        <w:fldChar w:fldCharType="begin"/>
      </w:r>
      <w:r w:rsidRPr="006513A2">
        <w:rPr>
          <w:b/>
          <w:bCs/>
          <w:i w:val="0"/>
          <w:iCs w:val="0"/>
        </w:rPr>
        <w:instrText xml:space="preserve"> SEQ Figure \* ARABIC </w:instrText>
      </w:r>
      <w:r w:rsidRPr="006513A2">
        <w:rPr>
          <w:b/>
          <w:bCs/>
          <w:i w:val="0"/>
          <w:iCs w:val="0"/>
        </w:rPr>
        <w:fldChar w:fldCharType="separate"/>
      </w:r>
      <w:r w:rsidR="00EF76E3">
        <w:rPr>
          <w:b/>
          <w:bCs/>
          <w:i w:val="0"/>
          <w:iCs w:val="0"/>
          <w:noProof/>
        </w:rPr>
        <w:t>2</w:t>
      </w:r>
      <w:r w:rsidRPr="006513A2">
        <w:rPr>
          <w:b/>
          <w:bCs/>
          <w:i w:val="0"/>
          <w:iCs w:val="0"/>
        </w:rPr>
        <w:fldChar w:fldCharType="end"/>
      </w:r>
      <w:r>
        <w:rPr>
          <w:b/>
          <w:bCs/>
          <w:i w:val="0"/>
          <w:iCs w:val="0"/>
        </w:rPr>
        <w:t xml:space="preserve"> – </w:t>
      </w:r>
      <w:r>
        <w:rPr>
          <w:i w:val="0"/>
          <w:iCs w:val="0"/>
        </w:rPr>
        <w:t>A simple example of a class defining a trust. For the selected provisions, the relevant properties of a given trust are the number of trustees it had and whether it existed at the relevant time. The trust’s name is also included as a property for the purposes of the application’s UI and internal logic.</w:t>
      </w:r>
    </w:p>
    <w:p w14:paraId="04B74EE5" w14:textId="78B0208C" w:rsidR="00C94353" w:rsidRPr="00B60A04" w:rsidRDefault="00EE40C8" w:rsidP="00F66BD4">
      <w:pPr>
        <w:spacing w:line="480" w:lineRule="auto"/>
        <w:jc w:val="both"/>
        <w:rPr>
          <w:rFonts w:ascii="Times New Roman" w:hAnsi="Times New Roman" w:cs="Times New Roman"/>
        </w:rPr>
      </w:pPr>
      <w:r w:rsidRPr="00B60A04">
        <w:rPr>
          <w:rFonts w:ascii="Times New Roman" w:hAnsi="Times New Roman" w:cs="Times New Roman"/>
        </w:rPr>
        <w:t xml:space="preserve">Further, the OOP approach suited a module-based structure in which, generally, each relevant section of the </w:t>
      </w:r>
      <w:r w:rsidRPr="00B60A04">
        <w:rPr>
          <w:rFonts w:ascii="Times New Roman" w:hAnsi="Times New Roman" w:cs="Times New Roman"/>
          <w:i/>
          <w:iCs/>
        </w:rPr>
        <w:t>National Credit Act</w:t>
      </w:r>
      <w:r w:rsidRPr="00B60A04">
        <w:rPr>
          <w:rFonts w:ascii="Times New Roman" w:hAnsi="Times New Roman" w:cs="Times New Roman"/>
        </w:rPr>
        <w:t xml:space="preserve"> is coded as a separate function called from the main() program</w:t>
      </w:r>
      <w:r w:rsidR="003D7AEB" w:rsidRPr="00B60A04">
        <w:rPr>
          <w:rFonts w:ascii="Times New Roman" w:hAnsi="Times New Roman" w:cs="Times New Roman"/>
        </w:rPr>
        <w:t xml:space="preserve">, </w:t>
      </w:r>
      <w:r w:rsidRPr="00B60A04">
        <w:rPr>
          <w:rFonts w:ascii="Times New Roman" w:hAnsi="Times New Roman" w:cs="Times New Roman"/>
        </w:rPr>
        <w:t>a task which would have been significantly more difficult if variables were to be supplied and returned individually instead of as object properties. In addition to making the code generally easier to follow, this modul</w:t>
      </w:r>
      <w:r w:rsidR="003D7AEB" w:rsidRPr="00B60A04">
        <w:rPr>
          <w:rFonts w:ascii="Times New Roman" w:hAnsi="Times New Roman" w:cs="Times New Roman"/>
        </w:rPr>
        <w:t>ar</w:t>
      </w:r>
      <w:r w:rsidRPr="00B60A04">
        <w:rPr>
          <w:rFonts w:ascii="Times New Roman" w:hAnsi="Times New Roman" w:cs="Times New Roman"/>
        </w:rPr>
        <w:t xml:space="preserve"> approach</w:t>
      </w:r>
      <w:r w:rsidR="003D7AEB" w:rsidRPr="00B60A04">
        <w:rPr>
          <w:rFonts w:ascii="Times New Roman" w:hAnsi="Times New Roman" w:cs="Times New Roman"/>
        </w:rPr>
        <w:t>, an example of which is seen in Figure 2,</w:t>
      </w:r>
      <w:r w:rsidRPr="00B60A04">
        <w:rPr>
          <w:rFonts w:ascii="Times New Roman" w:hAnsi="Times New Roman" w:cs="Times New Roman"/>
        </w:rPr>
        <w:t xml:space="preserve"> allows for ease of modification in the debugging process or in the case of amendments to the legislation.</w:t>
      </w:r>
    </w:p>
    <w:bookmarkStart w:id="3" w:name="_MON_1662980153"/>
    <w:bookmarkEnd w:id="3"/>
    <w:p w14:paraId="3BC0C222" w14:textId="133E2CEA" w:rsidR="00802FF4" w:rsidRDefault="00B93D50" w:rsidP="00802FF4">
      <w:pPr>
        <w:keepNext/>
        <w:spacing w:line="480" w:lineRule="auto"/>
        <w:jc w:val="both"/>
      </w:pPr>
      <w:r>
        <w:rPr>
          <w:rFonts w:ascii="Times New Roman" w:hAnsi="Times New Roman" w:cs="Times New Roman"/>
          <w:sz w:val="24"/>
          <w:szCs w:val="24"/>
        </w:rPr>
        <w:object w:dxaOrig="9026" w:dyaOrig="1530" w14:anchorId="15C33698">
          <v:shape id="_x0000_i1027" type="#_x0000_t75" style="width:451.15pt;height:78.1pt" o:ole="">
            <v:imagedata r:id="rId11" o:title="" cropbottom="-1624f"/>
          </v:shape>
          <o:OLEObject Type="Embed" ProgID="Word.DocumentMacroEnabled.12" ShapeID="_x0000_i1027" DrawAspect="Content" ObjectID="_1663315007" r:id="rId12"/>
        </w:object>
      </w:r>
    </w:p>
    <w:p w14:paraId="2DC8629F" w14:textId="740944E3" w:rsidR="00EE40C8" w:rsidRDefault="00802FF4" w:rsidP="00802FF4">
      <w:pPr>
        <w:pStyle w:val="Caption"/>
        <w:jc w:val="both"/>
        <w:rPr>
          <w:i w:val="0"/>
          <w:iCs w:val="0"/>
        </w:rPr>
      </w:pPr>
      <w:r w:rsidRPr="00802FF4">
        <w:rPr>
          <w:b/>
          <w:bCs/>
          <w:i w:val="0"/>
          <w:iCs w:val="0"/>
        </w:rPr>
        <w:t xml:space="preserve">Figure </w:t>
      </w:r>
      <w:r w:rsidRPr="00802FF4">
        <w:rPr>
          <w:b/>
          <w:bCs/>
          <w:i w:val="0"/>
          <w:iCs w:val="0"/>
        </w:rPr>
        <w:fldChar w:fldCharType="begin"/>
      </w:r>
      <w:r w:rsidRPr="00802FF4">
        <w:rPr>
          <w:b/>
          <w:bCs/>
          <w:i w:val="0"/>
          <w:iCs w:val="0"/>
        </w:rPr>
        <w:instrText xml:space="preserve"> SEQ Figure \* ARABIC </w:instrText>
      </w:r>
      <w:r w:rsidRPr="00802FF4">
        <w:rPr>
          <w:b/>
          <w:bCs/>
          <w:i w:val="0"/>
          <w:iCs w:val="0"/>
        </w:rPr>
        <w:fldChar w:fldCharType="separate"/>
      </w:r>
      <w:r w:rsidR="00EF76E3">
        <w:rPr>
          <w:b/>
          <w:bCs/>
          <w:i w:val="0"/>
          <w:iCs w:val="0"/>
          <w:noProof/>
        </w:rPr>
        <w:t>3</w:t>
      </w:r>
      <w:r w:rsidRPr="00802FF4">
        <w:rPr>
          <w:b/>
          <w:bCs/>
          <w:i w:val="0"/>
          <w:iCs w:val="0"/>
        </w:rPr>
        <w:fldChar w:fldCharType="end"/>
      </w:r>
      <w:r>
        <w:rPr>
          <w:b/>
          <w:bCs/>
          <w:i w:val="0"/>
          <w:iCs w:val="0"/>
        </w:rPr>
        <w:t xml:space="preserve"> </w:t>
      </w:r>
      <w:r>
        <w:rPr>
          <w:i w:val="0"/>
          <w:iCs w:val="0"/>
        </w:rPr>
        <w:t xml:space="preserve">– Each section is coded as a separate </w:t>
      </w:r>
      <w:r w:rsidR="000D7675">
        <w:rPr>
          <w:i w:val="0"/>
          <w:iCs w:val="0"/>
        </w:rPr>
        <w:t>function</w:t>
      </w:r>
      <w:r>
        <w:rPr>
          <w:i w:val="0"/>
          <w:iCs w:val="0"/>
        </w:rPr>
        <w:t xml:space="preserve"> which is called under certain conditions using relevant variables as arguments and returning any modified or new variables.</w:t>
      </w:r>
      <w:r w:rsidR="000D7675">
        <w:rPr>
          <w:i w:val="0"/>
          <w:iCs w:val="0"/>
        </w:rPr>
        <w:t xml:space="preserve"> Section 131 is only called if a contract exists between two entities (the provider and debtor), and under that contract the provider (Entities[0]) is both a credit provider and licensee as defined by the Act, while the Debtor (Entities[1]) is a consumer as defined by the Act, and finally, an assessment of the unsuitability of the contract for the provider has been made by the debtor. The function is provided with object arguments representing both parties, the contract and assessment, and integer arguments representing the currently accrued civil and criminal penalty units. When the function has completed running, it returns a list containing </w:t>
      </w:r>
      <w:r w:rsidR="00E77EF6">
        <w:rPr>
          <w:i w:val="0"/>
          <w:iCs w:val="0"/>
        </w:rPr>
        <w:t>modifications to variables (such as the summed civil penalty units or properties of the contract) and the section’s local contraventions, which are then added to the list of all contraventions</w:t>
      </w:r>
      <w:r w:rsidR="000D7675">
        <w:rPr>
          <w:i w:val="0"/>
          <w:iCs w:val="0"/>
        </w:rPr>
        <w:t xml:space="preserve">. </w:t>
      </w:r>
    </w:p>
    <w:p w14:paraId="2E5331CE" w14:textId="114321C8" w:rsidR="00B60A04" w:rsidRDefault="00B60A04" w:rsidP="00B60A04"/>
    <w:p w14:paraId="58066E44" w14:textId="731235F3" w:rsidR="00EA0668" w:rsidRDefault="007F6761" w:rsidP="004F551B">
      <w:pPr>
        <w:spacing w:line="480" w:lineRule="auto"/>
        <w:jc w:val="both"/>
      </w:pPr>
      <w:r>
        <w:t>While attempts to code and compare the full application as informed by formalist and non-formalist theories respectively ultimately failed,</w:t>
      </w:r>
      <w:r w:rsidR="00EA0668">
        <w:t xml:space="preserve"> clear distinctions between the approaches still became apparent in the process of encoding specific clauses</w:t>
      </w:r>
      <w:r>
        <w:t>.</w:t>
      </w:r>
      <w:r w:rsidR="00EA0668">
        <w:t xml:space="preserve"> In such cases, code was written with regard to </w:t>
      </w:r>
      <w:r w:rsidR="00EA0668">
        <w:lastRenderedPageBreak/>
        <w:t xml:space="preserve">the principles of modern statutory interpretation which typically resulted in a non-formalist interpretation. Section 133, which prohibits licensees from entering, or increasing the credit limit of, unsuitable credit contracts, provided two examples of such interpretative decisions. </w:t>
      </w:r>
    </w:p>
    <w:p w14:paraId="1CACA1F7" w14:textId="3135D9A1" w:rsidR="00EA0668" w:rsidRDefault="00EA0668" w:rsidP="004F551B">
      <w:pPr>
        <w:spacing w:line="480" w:lineRule="auto"/>
        <w:jc w:val="both"/>
      </w:pPr>
      <w:r>
        <w:t>Section 133</w:t>
      </w:r>
      <w:r w:rsidR="00B15342">
        <w:t xml:space="preserve"> is largely functionally identical to s131, which prescribes an obligation on licensees to assess a contract which is unsuitable for consumers as unsuitable. Both sections prescribe the prohibition and obligation respectively in subsection (1) and use subsections (2)-(4) to describe when a contract is unsuitable for the purposes of subsection (1). These subsections are nearly identical and have no functional difference, but s133 also includes an additional subsection which delegates power to the regulations</w:t>
      </w:r>
      <w:r w:rsidR="00B15342">
        <w:rPr>
          <w:rStyle w:val="FootnoteReference"/>
        </w:rPr>
        <w:footnoteReference w:id="110"/>
      </w:r>
      <w:r w:rsidR="00B15342">
        <w:t xml:space="preserve"> to “prescribe particular situations in which a credit contract is taken not to be unsuitable for a consumer”.</w:t>
      </w:r>
      <w:r w:rsidR="00B15342">
        <w:rPr>
          <w:rStyle w:val="FootnoteReference"/>
        </w:rPr>
        <w:footnoteReference w:id="111"/>
      </w:r>
      <w:r w:rsidR="00B15342">
        <w:t xml:space="preserve"> The resultant interpretative question thus became whether the regulations might be empowered to prescribe such situations in which </w:t>
      </w:r>
      <w:r w:rsidR="002A4EB9">
        <w:t xml:space="preserve">a credit contract is not unsuitable for the purposes not just of s133, but also of s131. </w:t>
      </w:r>
      <w:r w:rsidR="00B15342">
        <w:t>Lacking any limiting conditions such as “for the purposes of</w:t>
      </w:r>
      <w:r w:rsidR="002A4EB9">
        <w:t xml:space="preserve"> this provision”, a strict formalist would likely argue in favour of applying this power to s131 as well, while a non-formalist might point out that the omission of subsection (5) in s131’s otherwise identical set of subsections defining when a contract is unsuitable is a deliberate indicator that Parliament did not intend for the regulations to be empowered to prescribe such circumstances for the purposes of s131. Lacking any clarity in the relevant explanatory memoranda,</w:t>
      </w:r>
      <w:r w:rsidR="002A4EB9">
        <w:rPr>
          <w:rStyle w:val="FootnoteReference"/>
        </w:rPr>
        <w:footnoteReference w:id="112"/>
      </w:r>
      <w:r w:rsidR="002A4EB9">
        <w:t xml:space="preserve"> it was ultimately determined that the modern principles of statutory interpretation aligned with the non-formalist approach to this particular issue, and thus, the application was coded accordingly.</w:t>
      </w:r>
    </w:p>
    <w:p w14:paraId="16A9F202" w14:textId="6D746B96" w:rsidR="00DD0BAB" w:rsidRDefault="002A4EB9" w:rsidP="004F551B">
      <w:pPr>
        <w:spacing w:line="480" w:lineRule="auto"/>
        <w:jc w:val="both"/>
      </w:pPr>
      <w:r>
        <w:t>A similar example arose out of s133(6), which prescribes a criminal penalty of two years imprisonment where a ‘person’ subject to s133(1)</w:t>
      </w:r>
      <w:r>
        <w:rPr>
          <w:rStyle w:val="FootnoteReference"/>
        </w:rPr>
        <w:footnoteReference w:id="113"/>
      </w:r>
      <w:r>
        <w:t xml:space="preserve"> engages in conduct</w:t>
      </w:r>
      <w:r>
        <w:rPr>
          <w:rStyle w:val="FootnoteReference"/>
        </w:rPr>
        <w:footnoteReference w:id="114"/>
      </w:r>
      <w:r>
        <w:t xml:space="preserve"> which contravenes s133(1).</w:t>
      </w:r>
      <w:r>
        <w:rPr>
          <w:rStyle w:val="FootnoteReference"/>
        </w:rPr>
        <w:footnoteReference w:id="115"/>
      </w:r>
      <w:r>
        <w:t xml:space="preserve"> Given that, </w:t>
      </w:r>
      <w:r>
        <w:lastRenderedPageBreak/>
        <w:t>for the purposes of the Act, a ‘person’ need not be a natural person</w:t>
      </w:r>
      <w:r w:rsidR="00722D98">
        <w:rPr>
          <w:rStyle w:val="FootnoteReference"/>
        </w:rPr>
        <w:footnoteReference w:id="116"/>
      </w:r>
      <w:r w:rsidR="00722D98">
        <w:t xml:space="preserve"> it was necessary to convert this penalty to one which could apply to all entities</w:t>
      </w:r>
      <w:r w:rsidR="007028EF">
        <w:t xml:space="preserve">, an effort which </w:t>
      </w:r>
      <w:r w:rsidR="00805826">
        <w:t>is informed</w:t>
      </w:r>
      <w:r w:rsidR="007028EF">
        <w:t xml:space="preserve"> through </w:t>
      </w:r>
      <w:r w:rsidR="00805826">
        <w:t>rejection of</w:t>
      </w:r>
      <w:r w:rsidR="007028EF">
        <w:t xml:space="preserve"> strict formalism</w:t>
      </w:r>
      <w:r w:rsidR="00DD0BAB">
        <w:t xml:space="preserve"> and </w:t>
      </w:r>
      <w:r w:rsidR="00805826">
        <w:t>consideration of</w:t>
      </w:r>
      <w:r w:rsidR="00DD0BAB">
        <w:t xml:space="preserve"> explanatory memoranda. Where a provision such as s133(6) prescribes imprisonment as a punishment for offence, the </w:t>
      </w:r>
      <w:r w:rsidR="00DD0BAB">
        <w:rPr>
          <w:i/>
          <w:iCs/>
        </w:rPr>
        <w:t xml:space="preserve">Crimes Act 1914 </w:t>
      </w:r>
      <w:r w:rsidR="00DD0BAB">
        <w:t xml:space="preserve">(Cth) (“the </w:t>
      </w:r>
      <w:r w:rsidR="00DD0BAB">
        <w:rPr>
          <w:i/>
          <w:iCs/>
        </w:rPr>
        <w:t>Crimes Act</w:t>
      </w:r>
      <w:r w:rsidR="00DD0BAB">
        <w:t>”) empowers the courts to instead convert the imprisonment period to penalty units per Equation (1):</w:t>
      </w:r>
      <w:r w:rsidR="008F443E">
        <w:rPr>
          <w:rStyle w:val="FootnoteReference"/>
        </w:rPr>
        <w:footnoteReference w:id="117"/>
      </w:r>
    </w:p>
    <w:p w14:paraId="2A02DE63" w14:textId="70870532" w:rsidR="00DD0BAB" w:rsidRDefault="00DD0BAB" w:rsidP="004F551B">
      <w:pPr>
        <w:spacing w:line="480" w:lineRule="auto"/>
        <w:jc w:val="both"/>
      </w:pPr>
      <w:r w:rsidRPr="00B11197">
        <w:rPr>
          <w:rFonts w:eastAsiaTheme="minorEastAsia"/>
          <w:noProof/>
          <w:sz w:val="24"/>
          <w:szCs w:val="24"/>
        </w:rPr>
        <mc:AlternateContent>
          <mc:Choice Requires="wpg">
            <w:drawing>
              <wp:inline distT="0" distB="0" distL="0" distR="0" wp14:anchorId="06DF2FFA" wp14:editId="4CB1EE6E">
                <wp:extent cx="5731510" cy="1057110"/>
                <wp:effectExtent l="0" t="0" r="2540" b="0"/>
                <wp:docPr id="1" name="Group 1"/>
                <wp:cNvGraphicFramePr/>
                <a:graphic xmlns:a="http://schemas.openxmlformats.org/drawingml/2006/main">
                  <a:graphicData uri="http://schemas.microsoft.com/office/word/2010/wordprocessingGroup">
                    <wpg:wgp>
                      <wpg:cNvGrpSpPr/>
                      <wpg:grpSpPr>
                        <a:xfrm>
                          <a:off x="0" y="0"/>
                          <a:ext cx="5731510" cy="1057110"/>
                          <a:chOff x="-119062" y="0"/>
                          <a:chExt cx="6306248" cy="633095"/>
                        </a:xfrm>
                      </wpg:grpSpPr>
                      <wps:wsp>
                        <wps:cNvPr id="2" name="Text Box 2"/>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49DF4E17" w14:textId="77777777" w:rsidR="006F7A8D" w:rsidRPr="00C555B3" w:rsidRDefault="006F7A8D" w:rsidP="00DD0BAB">
                              <w:pPr>
                                <w:jc w:val="center"/>
                                <w:rPr>
                                  <w:b/>
                                  <w:bCs/>
                                </w:rPr>
                              </w:pPr>
                              <w:r w:rsidRPr="00C555B3">
                                <w:rPr>
                                  <w:b/>
                                  <w:bCs/>
                                </w:rPr>
                                <w:t>(</w:t>
                              </w:r>
                              <w:r>
                                <w:rPr>
                                  <w:b/>
                                  <w:bCs/>
                                </w:rPr>
                                <w:t>1</w:t>
                              </w:r>
                              <w:r w:rsidRPr="00C555B3">
                                <w:rPr>
                                  <w:b/>
                                  <w:bCs/>
                                </w:rPr>
                                <w:t>)</w:t>
                              </w:r>
                            </w:p>
                          </w:txbxContent>
                        </wps:txbx>
                        <wps:bodyPr rot="0" vert="horz" wrap="square" lIns="91440" tIns="45720" rIns="91440" bIns="45720" anchor="ctr" anchorCtr="0">
                          <a:noAutofit/>
                        </wps:bodyPr>
                      </wps:wsp>
                      <wps:wsp>
                        <wps:cNvPr id="3" name="Text Box 3"/>
                        <wps:cNvSpPr txBox="1"/>
                        <wps:spPr>
                          <a:xfrm>
                            <a:off x="-119062" y="0"/>
                            <a:ext cx="5834062" cy="633002"/>
                          </a:xfrm>
                          <a:prstGeom prst="rect">
                            <a:avLst/>
                          </a:prstGeom>
                          <a:solidFill>
                            <a:schemeClr val="lt1"/>
                          </a:solidFill>
                          <a:ln w="6350">
                            <a:noFill/>
                          </a:ln>
                        </wps:spPr>
                        <wps:txbx>
                          <w:txbxContent>
                            <w:p w14:paraId="68A29BCF" w14:textId="47C55D4F" w:rsidR="006F7A8D" w:rsidRPr="00DD0BAB" w:rsidRDefault="006F7A8D"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6F7A8D" w:rsidRPr="008C60A9" w:rsidRDefault="006F7A8D" w:rsidP="00DD0BAB">
                              <w:pPr>
                                <w:ind w:left="720"/>
                                <w:rPr>
                                  <w:rFonts w:eastAsiaTheme="minorEastAsia"/>
                                </w:rPr>
                              </w:pPr>
                              <w:r w:rsidRPr="008C60A9">
                                <w:t xml:space="preserve">Where: </w:t>
                              </w:r>
                            </w:p>
                            <w:p w14:paraId="3C0B814D" w14:textId="03E3DE36" w:rsidR="006F7A8D" w:rsidRPr="008C60A9" w:rsidRDefault="006F7A8D"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6DF2FFA" id="Group 1" o:spid="_x0000_s1026" style="width:451.3pt;height:83.25pt;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">
                <v:shapetype id="_x0000_t202" coordsize="21600,21600" o:spt="202" path="m,l,21600r21600,l21600,xe">
                  <v:stroke joinstyle="miter"/>
                  <v:path gradientshapeok="t" o:connecttype="rect"/>
                </v:shapetype>
                <v:shape id="Text Box 2" o:spid="_x0000_s1027"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" stroked="f">
                  <v:textbox>
                    <w:txbxContent>
                      <w:p w14:paraId="49DF4E17" w14:textId="77777777" w:rsidR="006F7A8D" w:rsidRPr="00C555B3" w:rsidRDefault="006F7A8D" w:rsidP="00DD0BAB">
                        <w:pPr>
                          <w:jc w:val="center"/>
                          <w:rPr>
                            <w:b/>
                            <w:bCs/>
                          </w:rPr>
                        </w:pPr>
                        <w:r w:rsidRPr="00C555B3">
                          <w:rPr>
                            <w:b/>
                            <w:bCs/>
                          </w:rPr>
                          <w:t>(</w:t>
                        </w:r>
                        <w:r>
                          <w:rPr>
                            <w:b/>
                            <w:bCs/>
                          </w:rPr>
                          <w:t>1</w:t>
                        </w:r>
                        <w:r w:rsidRPr="00C555B3">
                          <w:rPr>
                            <w:b/>
                            <w:bCs/>
                          </w:rPr>
                          <w:t>)</w:t>
                        </w:r>
                      </w:p>
                    </w:txbxContent>
                  </v:textbox>
                </v:shape>
                <v:shape id="Text Box 3" o:spid="_x0000_s1028"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68A29BCF" w14:textId="47C55D4F" w:rsidR="006F7A8D" w:rsidRPr="00DD0BAB" w:rsidRDefault="006F7A8D" w:rsidP="00DD0BAB">
                        <w:pPr>
                          <w:spacing w:line="276" w:lineRule="auto"/>
                          <w:rPr>
                            <w:iCs/>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 xml:space="preserve">  =5× </m:t>
                            </m:r>
                            <m:r>
                              <m:rPr>
                                <m:sty m:val="p"/>
                              </m:rPr>
                              <w:rPr>
                                <w:rFonts w:ascii="Cambria Math" w:hAnsi="Cambria Math"/>
                              </w:rPr>
                              <m:t>Term of Imprisonment</m:t>
                            </m:r>
                          </m:oMath>
                        </m:oMathPara>
                      </w:p>
                      <w:p w14:paraId="41405154" w14:textId="77777777" w:rsidR="006F7A8D" w:rsidRPr="008C60A9" w:rsidRDefault="006F7A8D" w:rsidP="00DD0BAB">
                        <w:pPr>
                          <w:ind w:left="720"/>
                          <w:rPr>
                            <w:rFonts w:eastAsiaTheme="minorEastAsia"/>
                          </w:rPr>
                        </w:pPr>
                        <w:r w:rsidRPr="008C60A9">
                          <w:t xml:space="preserve">Where: </w:t>
                        </w:r>
                      </w:p>
                      <w:p w14:paraId="3C0B814D" w14:textId="03E3DE36" w:rsidR="006F7A8D" w:rsidRPr="008C60A9" w:rsidRDefault="006F7A8D" w:rsidP="00DD0BAB">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eastAsiaTheme="minorEastAsia"/>
                          </w:rPr>
                          <w:t xml:space="preserve"> = The maximum number of criminal penalty units which may be imposed by the court.</w:t>
                        </w:r>
                      </w:p>
                    </w:txbxContent>
                  </v:textbox>
                </v:shape>
                <w10:anchorlock/>
              </v:group>
            </w:pict>
          </mc:Fallback>
        </mc:AlternateContent>
      </w:r>
    </w:p>
    <w:p w14:paraId="29C947DE" w14:textId="49BB73A1" w:rsidR="00DD0BAB" w:rsidRDefault="00805826" w:rsidP="004F551B">
      <w:pPr>
        <w:spacing w:line="480" w:lineRule="auto"/>
        <w:jc w:val="both"/>
      </w:pPr>
      <w:r>
        <w:t xml:space="preserve">Section 4(3) of the </w:t>
      </w:r>
      <w:r>
        <w:rPr>
          <w:i/>
          <w:iCs/>
        </w:rPr>
        <w:t xml:space="preserve">Crimes Act </w:t>
      </w:r>
      <w:r>
        <w:t xml:space="preserve">further </w:t>
      </w:r>
      <w:r w:rsidR="00E6172A">
        <w:t>establishes a relationship between</w:t>
      </w:r>
      <w:r>
        <w:t xml:space="preserve"> the maximum pecuniary penalty for a body corporate</w:t>
      </w:r>
      <w:r w:rsidR="00E6172A">
        <w:t xml:space="preserve"> and that for a natural person. One might correctly assume that the conversion set out in subsection (2) should therefore indicate that a similar conversion can be applied to body corporates, but this could ultimately only be confirmed through consideration of the explanatory memorandum.</w:t>
      </w:r>
      <w:r w:rsidR="00E6172A">
        <w:rPr>
          <w:rStyle w:val="FootnoteReference"/>
        </w:rPr>
        <w:footnoteReference w:id="118"/>
      </w:r>
    </w:p>
    <w:p w14:paraId="6C385DB9" w14:textId="32F54CF5" w:rsidR="00EA0668" w:rsidRDefault="00F5099E" w:rsidP="004F551B">
      <w:pPr>
        <w:spacing w:line="480" w:lineRule="auto"/>
        <w:jc w:val="both"/>
      </w:pPr>
      <w:r>
        <w:t>Additional interpretative issues arose</w:t>
      </w:r>
      <w:r w:rsidR="00967D72">
        <w:t xml:space="preserve"> which were better addressed through deferral to caselaw, such as determining whether a breach has occurred under s131 in the absence of any preliminary assessment.</w:t>
      </w:r>
      <w:r w:rsidR="00D04259">
        <w:t xml:space="preserve"> While the lack of an assessment in the relevant circumstances would certainly result in a s128 breach,</w:t>
      </w:r>
      <w:r w:rsidR="00967D72">
        <w:t xml:space="preserve"> </w:t>
      </w:r>
      <w:r w:rsidR="00D04259">
        <w:t xml:space="preserve">the temporal nature of s131(2), enshrined in the phrasing, “the contract will be unsuitable for the consumer if, at the time of the assessment,” would suggest that no breach would occur under s131(1). This interpretation might seem counterintuitive and at odds with Parliament’s </w:t>
      </w:r>
      <w:r w:rsidR="00D04259">
        <w:lastRenderedPageBreak/>
        <w:t>intent,</w:t>
      </w:r>
      <w:r w:rsidR="00D04259">
        <w:rPr>
          <w:rStyle w:val="FootnoteReference"/>
        </w:rPr>
        <w:footnoteReference w:id="119"/>
      </w:r>
      <w:r w:rsidR="00D04259">
        <w:t xml:space="preserve"> as it functionally punishes licensees who conduct insufficient assessments moreso than those who conduct no assessment whatsoever.</w:t>
      </w:r>
      <w:r w:rsidR="00A03648">
        <w:rPr>
          <w:rStyle w:val="FootnoteReference"/>
        </w:rPr>
        <w:footnoteReference w:id="120"/>
      </w:r>
      <w:r w:rsidR="00D04259">
        <w:t xml:space="preserve"> Despite this,</w:t>
      </w:r>
      <w:r w:rsidR="00B16671">
        <w:t xml:space="preserve"> when such facts came before the Federal Court in </w:t>
      </w:r>
      <w:r w:rsidR="00B16671">
        <w:rPr>
          <w:i/>
          <w:iCs/>
        </w:rPr>
        <w:t>Australian Securities and Investments Commission v Cash Store Pty Ltd (in liquidation)</w:t>
      </w:r>
      <w:r w:rsidR="00B16671" w:rsidRPr="00B16671">
        <w:rPr>
          <w:rStyle w:val="FootnoteReference"/>
        </w:rPr>
        <w:footnoteReference w:id="121"/>
      </w:r>
      <w:r w:rsidR="00FC5FB5">
        <w:rPr>
          <w:i/>
          <w:iCs/>
        </w:rPr>
        <w:t xml:space="preserve"> </w:t>
      </w:r>
      <w:r w:rsidR="00FC5FB5">
        <w:t>(“</w:t>
      </w:r>
      <w:r w:rsidR="00FC5FB5">
        <w:rPr>
          <w:i/>
          <w:iCs/>
        </w:rPr>
        <w:t>Cash Store</w:t>
      </w:r>
      <w:r w:rsidR="00FC5FB5">
        <w:t>”)</w:t>
      </w:r>
      <w:r w:rsidR="00B16671">
        <w:t xml:space="preserve"> the licensees, who had failed to make any preliminary assessments, were found to have breached ss128-130, but not s131.</w:t>
      </w:r>
      <w:r w:rsidR="00B16671">
        <w:rPr>
          <w:rStyle w:val="FootnoteReference"/>
        </w:rPr>
        <w:footnoteReference w:id="122"/>
      </w:r>
      <w:r w:rsidR="00B16671">
        <w:t xml:space="preserve"> In translating this decision to the application, the s131 function is thus only called where the ‘assessment.exists’ property is true, as in Figure 4.</w:t>
      </w:r>
    </w:p>
    <w:bookmarkStart w:id="4" w:name="_MON_1663064899"/>
    <w:bookmarkEnd w:id="4"/>
    <w:p w14:paraId="09767229" w14:textId="77777777" w:rsidR="00B16671" w:rsidRDefault="00B16671" w:rsidP="00B16671">
      <w:pPr>
        <w:keepNext/>
        <w:jc w:val="both"/>
      </w:pPr>
      <w:r>
        <w:rPr>
          <w:i/>
          <w:iCs/>
        </w:rPr>
        <w:object w:dxaOrig="9026" w:dyaOrig="680" w14:anchorId="31178D57">
          <v:shape id="_x0000_i1028" type="#_x0000_t75" style="width:451.15pt;height:34.15pt" o:ole="">
            <v:imagedata r:id="rId13" o:title=""/>
          </v:shape>
          <o:OLEObject Type="Embed" ProgID="Word.DocumentMacroEnabled.12" ShapeID="_x0000_i1028" DrawAspect="Content" ObjectID="_1663315008" r:id="rId14"/>
        </w:object>
      </w:r>
    </w:p>
    <w:p w14:paraId="08A2E29D" w14:textId="18E72A0F" w:rsidR="00B16671" w:rsidRPr="00B16671" w:rsidRDefault="00B16671" w:rsidP="00B16671">
      <w:pPr>
        <w:pStyle w:val="Caption"/>
        <w:jc w:val="both"/>
        <w:rPr>
          <w:b/>
          <w:bCs/>
          <w:i w:val="0"/>
          <w:iCs w:val="0"/>
        </w:rPr>
      </w:pPr>
      <w:r w:rsidRPr="00B16671">
        <w:rPr>
          <w:b/>
          <w:bCs/>
          <w:i w:val="0"/>
          <w:iCs w:val="0"/>
        </w:rPr>
        <w:t xml:space="preserve">Figure </w:t>
      </w:r>
      <w:r w:rsidRPr="00B16671">
        <w:rPr>
          <w:b/>
          <w:bCs/>
          <w:i w:val="0"/>
          <w:iCs w:val="0"/>
        </w:rPr>
        <w:fldChar w:fldCharType="begin"/>
      </w:r>
      <w:r w:rsidRPr="00B16671">
        <w:rPr>
          <w:b/>
          <w:bCs/>
          <w:i w:val="0"/>
          <w:iCs w:val="0"/>
        </w:rPr>
        <w:instrText xml:space="preserve"> SEQ Figure \* ARABIC </w:instrText>
      </w:r>
      <w:r w:rsidRPr="00B16671">
        <w:rPr>
          <w:b/>
          <w:bCs/>
          <w:i w:val="0"/>
          <w:iCs w:val="0"/>
        </w:rPr>
        <w:fldChar w:fldCharType="separate"/>
      </w:r>
      <w:r w:rsidR="00EF76E3">
        <w:rPr>
          <w:b/>
          <w:bCs/>
          <w:i w:val="0"/>
          <w:iCs w:val="0"/>
          <w:noProof/>
        </w:rPr>
        <w:t>4</w:t>
      </w:r>
      <w:r w:rsidRPr="00B16671">
        <w:rPr>
          <w:b/>
          <w:bCs/>
          <w:i w:val="0"/>
          <w:iCs w:val="0"/>
        </w:rPr>
        <w:fldChar w:fldCharType="end"/>
      </w:r>
      <w:r w:rsidRPr="00B16671">
        <w:rPr>
          <w:b/>
          <w:bCs/>
          <w:i w:val="0"/>
          <w:iCs w:val="0"/>
        </w:rPr>
        <w:t xml:space="preserve"> – </w:t>
      </w:r>
      <w:r w:rsidR="00FC5FB5">
        <w:rPr>
          <w:i w:val="0"/>
          <w:iCs w:val="0"/>
        </w:rPr>
        <w:t xml:space="preserve">In consistence with the </w:t>
      </w:r>
      <w:r w:rsidR="00FC5FB5">
        <w:t>Cash Store</w:t>
      </w:r>
      <w:r w:rsidR="00FC5FB5">
        <w:rPr>
          <w:i w:val="0"/>
          <w:iCs w:val="0"/>
        </w:rPr>
        <w:t xml:space="preserve"> judgement, s131 is only evaluated where a relevant assessment exists. </w:t>
      </w:r>
      <w:r w:rsidRPr="00B16671">
        <w:rPr>
          <w:b/>
          <w:bCs/>
          <w:i w:val="0"/>
          <w:iCs w:val="0"/>
        </w:rPr>
        <w:t xml:space="preserve"> </w:t>
      </w:r>
    </w:p>
    <w:p w14:paraId="7D8BC10D" w14:textId="77777777" w:rsidR="00F5099E" w:rsidRPr="00151CC4" w:rsidRDefault="00F5099E" w:rsidP="00151CC4">
      <w:pPr>
        <w:spacing w:line="480" w:lineRule="auto"/>
        <w:rPr>
          <w:rFonts w:ascii="Times New Roman" w:hAnsi="Times New Roman" w:cs="Times New Roman"/>
          <w:sz w:val="24"/>
          <w:szCs w:val="24"/>
        </w:rPr>
      </w:pPr>
    </w:p>
    <w:p w14:paraId="7CE3DF62" w14:textId="3DF7E360" w:rsidR="00DF0D8F" w:rsidRDefault="00AD2743" w:rsidP="00DF0D8F">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 xml:space="preserve">The </w:t>
      </w:r>
      <w:r w:rsidR="00055E76">
        <w:rPr>
          <w:rFonts w:ascii="Times New Roman" w:hAnsi="Times New Roman" w:cs="Times New Roman"/>
          <w:i/>
          <w:iCs/>
          <w:sz w:val="24"/>
          <w:szCs w:val="24"/>
        </w:rPr>
        <w:t>Discretionary</w:t>
      </w:r>
      <w:r>
        <w:rPr>
          <w:rFonts w:ascii="Times New Roman" w:hAnsi="Times New Roman" w:cs="Times New Roman"/>
          <w:i/>
          <w:iCs/>
          <w:sz w:val="24"/>
          <w:szCs w:val="24"/>
        </w:rPr>
        <w:t xml:space="preserve"> Dilemma</w:t>
      </w:r>
    </w:p>
    <w:p w14:paraId="514CFAEC" w14:textId="3544C8E3" w:rsidR="00B60A04" w:rsidRPr="001C300E" w:rsidRDefault="00A03648" w:rsidP="00B60A04">
      <w:pPr>
        <w:spacing w:line="480" w:lineRule="auto"/>
        <w:jc w:val="both"/>
        <w:rPr>
          <w:rFonts w:ascii="Times New Roman" w:hAnsi="Times New Roman" w:cs="Times New Roman"/>
        </w:rPr>
      </w:pPr>
      <w:r w:rsidRPr="001C300E">
        <w:rPr>
          <w:rFonts w:ascii="Times New Roman" w:hAnsi="Times New Roman" w:cs="Times New Roman"/>
        </w:rPr>
        <w:t>Ultimately, while the considered literature has not erred in identifying formalist and non-formalist considerations as relevant in the task of digitising legislation, it is put forward that the proposed methodology’s framing of the problem within the context of legal formalism was perhaps short-sighted. While such theories of interpretation should certainly be referred to throughout the act of coding, attempting to adhere fully to one alignment or the other was ultimately harmful to the exercise on the basis that, barring significant legal reform or technological advances, one cannot expect to produce digitised legislation which is fully formalist or non-formalist.</w:t>
      </w:r>
      <w:r w:rsidR="00F51080" w:rsidRPr="001C300E">
        <w:rPr>
          <w:rFonts w:ascii="Times New Roman" w:hAnsi="Times New Roman" w:cs="Times New Roman"/>
        </w:rPr>
        <w:t xml:space="preserve"> This dilemma arises largely – though not solely – due to the presence of discretionary clauses.</w:t>
      </w:r>
      <w:r w:rsidRPr="001C300E">
        <w:rPr>
          <w:rFonts w:ascii="Times New Roman" w:hAnsi="Times New Roman" w:cs="Times New Roman"/>
        </w:rPr>
        <w:t xml:space="preserve"> </w:t>
      </w:r>
    </w:p>
    <w:p w14:paraId="774B902E" w14:textId="237CDE08" w:rsidR="00ED0565" w:rsidRPr="001C300E" w:rsidRDefault="00D7008B" w:rsidP="00865E68">
      <w:pPr>
        <w:spacing w:line="480" w:lineRule="auto"/>
        <w:jc w:val="both"/>
        <w:rPr>
          <w:rFonts w:ascii="Times New Roman" w:hAnsi="Times New Roman" w:cs="Times New Roman"/>
        </w:rPr>
      </w:pPr>
      <w:r w:rsidRPr="001C300E">
        <w:rPr>
          <w:rFonts w:ascii="Times New Roman" w:hAnsi="Times New Roman" w:cs="Times New Roman"/>
        </w:rPr>
        <w:t xml:space="preserve">In the case of the non-formalist approach, it was found that presence of discretionary </w:t>
      </w:r>
      <w:r w:rsidR="00C930F2" w:rsidRPr="001C300E">
        <w:rPr>
          <w:rFonts w:ascii="Times New Roman" w:hAnsi="Times New Roman" w:cs="Times New Roman"/>
        </w:rPr>
        <w:t>clauses</w:t>
      </w:r>
      <w:r w:rsidRPr="001C300E">
        <w:rPr>
          <w:rFonts w:ascii="Times New Roman" w:hAnsi="Times New Roman" w:cs="Times New Roman"/>
        </w:rPr>
        <w:t xml:space="preserve"> posed computational problems outside of the scope of this article through incompatibility with the calculative </w:t>
      </w:r>
      <w:r w:rsidRPr="001C300E">
        <w:rPr>
          <w:rFonts w:ascii="Times New Roman" w:hAnsi="Times New Roman" w:cs="Times New Roman"/>
        </w:rPr>
        <w:lastRenderedPageBreak/>
        <w:t>and deterministic nature of algorithms first raised in Section II</w:t>
      </w:r>
      <w:r w:rsidR="00C930F2" w:rsidRPr="001C300E">
        <w:rPr>
          <w:rFonts w:ascii="Times New Roman" w:hAnsi="Times New Roman" w:cs="Times New Roman"/>
        </w:rPr>
        <w:t>,</w:t>
      </w:r>
      <w:r w:rsidRPr="001C300E">
        <w:rPr>
          <w:rStyle w:val="FootnoteReference"/>
          <w:rFonts w:ascii="Times New Roman" w:hAnsi="Times New Roman" w:cs="Times New Roman"/>
        </w:rPr>
        <w:footnoteReference w:id="123"/>
      </w:r>
      <w:r w:rsidR="00C930F2" w:rsidRPr="001C300E">
        <w:rPr>
          <w:rFonts w:ascii="Times New Roman" w:hAnsi="Times New Roman" w:cs="Times New Roman"/>
        </w:rPr>
        <w:t xml:space="preserve"> and ultimately, this article failed to identify a justifiable non-formalist approach to such provisions. </w:t>
      </w:r>
      <w:r w:rsidR="00D15B11" w:rsidRPr="001C300E">
        <w:rPr>
          <w:rFonts w:ascii="Times New Roman" w:hAnsi="Times New Roman" w:cs="Times New Roman"/>
        </w:rPr>
        <w:t>Initial efforts revolved around attempting to address the incompatibility of algorithms with non-formalism through quantitative emulation of non-formalist decisions. It was hypothesised that this might be achievable by determining, for example, whether</w:t>
      </w:r>
      <w:r w:rsidR="00ED0565" w:rsidRPr="001C300E">
        <w:rPr>
          <w:rFonts w:ascii="Times New Roman" w:hAnsi="Times New Roman" w:cs="Times New Roman"/>
        </w:rPr>
        <w:t xml:space="preserve"> a set of given inquiries were reasonable,</w:t>
      </w:r>
      <w:r w:rsidR="00ED0565" w:rsidRPr="001C300E">
        <w:rPr>
          <w:rStyle w:val="FootnoteReference"/>
          <w:rFonts w:ascii="Times New Roman" w:hAnsi="Times New Roman" w:cs="Times New Roman"/>
        </w:rPr>
        <w:footnoteReference w:id="124"/>
      </w:r>
      <w:r w:rsidR="00ED0565" w:rsidRPr="001C300E">
        <w:rPr>
          <w:rFonts w:ascii="Times New Roman" w:hAnsi="Times New Roman" w:cs="Times New Roman"/>
        </w:rPr>
        <w:t xml:space="preserve"> through calculating the weighted sum of all possible non-formalist considerations</w:t>
      </w:r>
      <w:r w:rsidR="00ED0565" w:rsidRPr="001C300E">
        <w:rPr>
          <w:rStyle w:val="FootnoteReference"/>
          <w:rFonts w:ascii="Times New Roman" w:hAnsi="Times New Roman" w:cs="Times New Roman"/>
        </w:rPr>
        <w:footnoteReference w:id="125"/>
      </w:r>
      <w:r w:rsidR="00ED0565" w:rsidRPr="001C300E">
        <w:rPr>
          <w:rFonts w:ascii="Times New Roman" w:hAnsi="Times New Roman" w:cs="Times New Roman"/>
        </w:rPr>
        <w:t xml:space="preserve"> against a given threshold</w:t>
      </w:r>
      <w:r w:rsidR="002C68DF">
        <w:rPr>
          <w:rFonts w:ascii="Times New Roman" w:hAnsi="Times New Roman" w:cs="Times New Roman"/>
        </w:rPr>
        <w:t xml:space="preserve">. This </w:t>
      </w:r>
      <w:r w:rsidR="00BA7082">
        <w:rPr>
          <w:rFonts w:ascii="Times New Roman" w:hAnsi="Times New Roman" w:cs="Times New Roman"/>
        </w:rPr>
        <w:t xml:space="preserve">method, </w:t>
      </w:r>
      <w:r w:rsidR="002C68DF">
        <w:rPr>
          <w:rFonts w:ascii="Times New Roman" w:hAnsi="Times New Roman" w:cs="Times New Roman"/>
        </w:rPr>
        <w:t>much like the neural networks of machine learning,</w:t>
      </w:r>
      <w:r w:rsidR="00BA7082">
        <w:rPr>
          <w:rStyle w:val="FootnoteReference"/>
          <w:rFonts w:ascii="Times New Roman" w:hAnsi="Times New Roman" w:cs="Times New Roman"/>
        </w:rPr>
        <w:footnoteReference w:id="126"/>
      </w:r>
      <w:r w:rsidR="002C68DF">
        <w:rPr>
          <w:rFonts w:ascii="Times New Roman" w:hAnsi="Times New Roman" w:cs="Times New Roman"/>
        </w:rPr>
        <w:t xml:space="preserve"> emulates the process by which neurons in a brain </w:t>
      </w:r>
      <w:r w:rsidR="00BA7082">
        <w:rPr>
          <w:rFonts w:ascii="Times New Roman" w:hAnsi="Times New Roman" w:cs="Times New Roman"/>
        </w:rPr>
        <w:t>are activated based on a series of weighted binary inputs,</w:t>
      </w:r>
      <w:r w:rsidR="00BA7082">
        <w:rPr>
          <w:rStyle w:val="FootnoteReference"/>
          <w:rFonts w:ascii="Times New Roman" w:hAnsi="Times New Roman" w:cs="Times New Roman"/>
        </w:rPr>
        <w:footnoteReference w:id="127"/>
      </w:r>
      <w:r w:rsidR="00BA7082">
        <w:rPr>
          <w:rFonts w:ascii="Times New Roman" w:hAnsi="Times New Roman" w:cs="Times New Roman"/>
        </w:rPr>
        <w:t xml:space="preserve"> and is therefore an arguably appropriate starting point for modelling the process by which one might exercise discretion.</w:t>
      </w:r>
      <w:r w:rsidR="002C68DF">
        <w:rPr>
          <w:rFonts w:ascii="Times New Roman" w:hAnsi="Times New Roman" w:cs="Times New Roman"/>
        </w:rPr>
        <w:t xml:space="preserve"> Such an approach is described</w:t>
      </w:r>
      <w:r w:rsidR="00D642D9">
        <w:rPr>
          <w:rFonts w:ascii="Times New Roman" w:hAnsi="Times New Roman" w:cs="Times New Roman"/>
        </w:rPr>
        <w:t xml:space="preserve"> in</w:t>
      </w:r>
      <w:r w:rsidR="00ED0565" w:rsidRPr="001C300E">
        <w:rPr>
          <w:rFonts w:ascii="Times New Roman" w:hAnsi="Times New Roman" w:cs="Times New Roman"/>
        </w:rPr>
        <w:t xml:space="preserve"> Equation (</w:t>
      </w:r>
      <w:r w:rsidR="00DD0BAB" w:rsidRPr="001C300E">
        <w:rPr>
          <w:rFonts w:ascii="Times New Roman" w:hAnsi="Times New Roman" w:cs="Times New Roman"/>
        </w:rPr>
        <w:t>2</w:t>
      </w:r>
      <w:r w:rsidR="00ED0565" w:rsidRPr="001C300E">
        <w:rPr>
          <w:rFonts w:ascii="Times New Roman" w:hAnsi="Times New Roman" w:cs="Times New Roman"/>
        </w:rPr>
        <w:t>)</w:t>
      </w:r>
      <w:r w:rsidR="00D642D9">
        <w:rPr>
          <w:rFonts w:ascii="Times New Roman" w:hAnsi="Times New Roman" w:cs="Times New Roman"/>
        </w:rPr>
        <w:t xml:space="preserve"> and visualised logically in Figure 5</w:t>
      </w:r>
      <w:r w:rsidR="0045475E">
        <w:rPr>
          <w:rFonts w:ascii="Times New Roman" w:hAnsi="Times New Roman" w:cs="Times New Roman"/>
        </w:rPr>
        <w:t>.</w:t>
      </w:r>
    </w:p>
    <w:p w14:paraId="49D79359" w14:textId="59FCBA85" w:rsidR="00ED0565" w:rsidRDefault="00B3249D" w:rsidP="00ED0565">
      <w:pPr>
        <w:spacing w:line="480" w:lineRule="auto"/>
        <w:rPr>
          <w:rFonts w:ascii="Times New Roman" w:hAnsi="Times New Roman" w:cs="Times New Roman"/>
          <w:sz w:val="24"/>
          <w:szCs w:val="24"/>
        </w:rPr>
      </w:pPr>
      <w:r w:rsidRPr="00B11197">
        <w:rPr>
          <w:rFonts w:eastAsiaTheme="minorEastAsia"/>
          <w:noProof/>
          <w:sz w:val="24"/>
          <w:szCs w:val="24"/>
        </w:rPr>
        <mc:AlternateContent>
          <mc:Choice Requires="wpg">
            <w:drawing>
              <wp:inline distT="0" distB="0" distL="0" distR="0" wp14:anchorId="21ACCA68" wp14:editId="001900F1">
                <wp:extent cx="5731510" cy="1828800"/>
                <wp:effectExtent l="0" t="0" r="2540" b="0"/>
                <wp:docPr id="25" name="Group 25"/>
                <wp:cNvGraphicFramePr/>
                <a:graphic xmlns:a="http://schemas.openxmlformats.org/drawingml/2006/main">
                  <a:graphicData uri="http://schemas.microsoft.com/office/word/2010/wordprocessingGroup">
                    <wpg:wgp>
                      <wpg:cNvGrpSpPr/>
                      <wpg:grpSpPr>
                        <a:xfrm>
                          <a:off x="0" y="0"/>
                          <a:ext cx="5731510" cy="1828800"/>
                          <a:chOff x="-119062" y="0"/>
                          <a:chExt cx="6306248" cy="633095"/>
                        </a:xfrm>
                      </wpg:grpSpPr>
                      <wps:wsp>
                        <wps:cNvPr id="26" name="Text Box 26"/>
                        <wps:cNvSpPr txBox="1">
                          <a:spLocks noChangeArrowheads="1"/>
                        </wps:cNvSpPr>
                        <wps:spPr bwMode="auto">
                          <a:xfrm>
                            <a:off x="5715000" y="0"/>
                            <a:ext cx="472186" cy="633095"/>
                          </a:xfrm>
                          <a:prstGeom prst="rect">
                            <a:avLst/>
                          </a:prstGeom>
                          <a:solidFill>
                            <a:srgbClr val="FFFFFF"/>
                          </a:solidFill>
                          <a:ln w="9525">
                            <a:noFill/>
                            <a:miter lim="800000"/>
                            <a:headEnd/>
                            <a:tailEnd/>
                          </a:ln>
                        </wps:spPr>
                        <wps:txbx>
                          <w:txbxContent>
                            <w:p w14:paraId="6FC6EEF4" w14:textId="74237CEE" w:rsidR="006F7A8D" w:rsidRPr="00C555B3" w:rsidRDefault="006F7A8D" w:rsidP="00B3249D">
                              <w:pPr>
                                <w:jc w:val="center"/>
                                <w:rPr>
                                  <w:b/>
                                  <w:bCs/>
                                </w:rPr>
                              </w:pPr>
                              <w:r w:rsidRPr="00C555B3">
                                <w:rPr>
                                  <w:b/>
                                  <w:bCs/>
                                </w:rPr>
                                <w:t>(</w:t>
                              </w:r>
                              <w:r>
                                <w:rPr>
                                  <w:b/>
                                  <w:bCs/>
                                </w:rPr>
                                <w:t>2</w:t>
                              </w:r>
                              <w:r w:rsidRPr="00C555B3">
                                <w:rPr>
                                  <w:b/>
                                  <w:bCs/>
                                </w:rPr>
                                <w:t>)</w:t>
                              </w:r>
                            </w:p>
                          </w:txbxContent>
                        </wps:txbx>
                        <wps:bodyPr rot="0" vert="horz" wrap="square" lIns="91440" tIns="45720" rIns="91440" bIns="45720" anchor="ctr" anchorCtr="0">
                          <a:noAutofit/>
                        </wps:bodyPr>
                      </wps:wsp>
                      <wps:wsp>
                        <wps:cNvPr id="27" name="Text Box 27"/>
                        <wps:cNvSpPr txBox="1"/>
                        <wps:spPr>
                          <a:xfrm>
                            <a:off x="-119062" y="0"/>
                            <a:ext cx="5834062" cy="633002"/>
                          </a:xfrm>
                          <a:prstGeom prst="rect">
                            <a:avLst/>
                          </a:prstGeom>
                          <a:solidFill>
                            <a:schemeClr val="lt1"/>
                          </a:solidFill>
                          <a:ln w="6350">
                            <a:noFill/>
                          </a:ln>
                        </wps:spPr>
                        <wps:txbx>
                          <w:txbxContent>
                            <w:p w14:paraId="0A082322" w14:textId="2BC5BAE5" w:rsidR="006F7A8D" w:rsidRPr="00B3249D" w:rsidRDefault="006F7A8D"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6F7A8D" w:rsidRPr="008C60A9" w:rsidRDefault="006F7A8D" w:rsidP="00B3249D">
                              <w:pPr>
                                <w:ind w:left="720"/>
                                <w:rPr>
                                  <w:rFonts w:eastAsiaTheme="minorEastAsia"/>
                                </w:rPr>
                              </w:pPr>
                              <w:r w:rsidRPr="008C60A9">
                                <w:t xml:space="preserve">Where: </w:t>
                              </w:r>
                            </w:p>
                            <w:p w14:paraId="6025F058" w14:textId="73432F22"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6F7A8D" w:rsidRPr="008C60A9" w:rsidRDefault="006F7A8D"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1ACCA68" id="Group 25" o:spid="_x0000_s1029" style="width:451.3pt;height:2in;mso-position-horizontal-relative:char;mso-position-vertical-relative:line" coordorigin="-1190" coordsize="63062,6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">
                <v:shape id="Text Box 26" o:spid="_x0000_s1030" type="#_x0000_t202" style="position:absolute;left:57150;width:4721;height:6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" stroked="f">
                  <v:textbox>
                    <w:txbxContent>
                      <w:p w14:paraId="6FC6EEF4" w14:textId="74237CEE" w:rsidR="006F7A8D" w:rsidRPr="00C555B3" w:rsidRDefault="006F7A8D" w:rsidP="00B3249D">
                        <w:pPr>
                          <w:jc w:val="center"/>
                          <w:rPr>
                            <w:b/>
                            <w:bCs/>
                          </w:rPr>
                        </w:pPr>
                        <w:r w:rsidRPr="00C555B3">
                          <w:rPr>
                            <w:b/>
                            <w:bCs/>
                          </w:rPr>
                          <w:t>(</w:t>
                        </w:r>
                        <w:r>
                          <w:rPr>
                            <w:b/>
                            <w:bCs/>
                          </w:rPr>
                          <w:t>2</w:t>
                        </w:r>
                        <w:r w:rsidRPr="00C555B3">
                          <w:rPr>
                            <w:b/>
                            <w:bCs/>
                          </w:rPr>
                          <w:t>)</w:t>
                        </w:r>
                      </w:p>
                    </w:txbxContent>
                  </v:textbox>
                </v:shape>
                <v:shape id="Text Box 27" o:spid="_x0000_s1031" type="#_x0000_t202" style="position:absolute;left:-1190;width:58340;height:6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0A082322" w14:textId="2BC5BAE5" w:rsidR="006F7A8D" w:rsidRPr="00B3249D" w:rsidRDefault="006F7A8D" w:rsidP="00B3249D">
                        <w:pPr>
                          <w:spacing w:line="276" w:lineRule="auto"/>
                          <w:rPr>
                            <w:i/>
                            <w:iCs/>
                          </w:rPr>
                        </w:pPr>
                        <m:oMathPara>
                          <m:oMath>
                            <m:nary>
                              <m:naryPr>
                                <m:chr m:val="∑"/>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nary>
                            <m:r>
                              <w:rPr>
                                <w:rFonts w:ascii="Cambria Math" w:hAnsi="Cambria Math"/>
                              </w:rPr>
                              <m:t xml:space="preserve">≥T </m:t>
                            </m:r>
                          </m:oMath>
                        </m:oMathPara>
                      </w:p>
                      <w:p w14:paraId="75388C7D" w14:textId="77777777" w:rsidR="006F7A8D" w:rsidRPr="008C60A9" w:rsidRDefault="006F7A8D" w:rsidP="00B3249D">
                        <w:pPr>
                          <w:ind w:left="720"/>
                          <w:rPr>
                            <w:rFonts w:eastAsiaTheme="minorEastAsia"/>
                          </w:rPr>
                        </w:pPr>
                        <w:r w:rsidRPr="008C60A9">
                          <w:t xml:space="preserve">Where: </w:t>
                        </w:r>
                      </w:p>
                      <w:p w14:paraId="6025F058" w14:textId="73432F22"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 xml:space="preserve"> = A binary value representing whether the </w:t>
                        </w:r>
                        <m:oMath>
                          <m:r>
                            <w:rPr>
                              <w:rFonts w:ascii="Cambria Math" w:hAnsi="Cambria Math"/>
                            </w:rPr>
                            <m:t>n</m:t>
                          </m:r>
                        </m:oMath>
                        <w:r>
                          <w:rPr>
                            <w:rFonts w:eastAsiaTheme="minorEastAsia"/>
                          </w:rPr>
                          <w:t>th source of information has been considered (1) or not (0).</w:t>
                        </w:r>
                      </w:p>
                      <w:p w14:paraId="1572A002" w14:textId="43767BFE" w:rsidR="006F7A8D" w:rsidRDefault="006F7A8D" w:rsidP="00B3249D">
                        <w:pPr>
                          <w:pStyle w:val="ListParagraph"/>
                          <w:numPr>
                            <w:ilvl w:val="0"/>
                            <w:numId w:val="13"/>
                          </w:numPr>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n</m:t>
                              </m:r>
                            </m:sub>
                          </m:sSub>
                        </m:oMath>
                        <w:r>
                          <w:rPr>
                            <w:rFonts w:eastAsiaTheme="minorEastAsia"/>
                            <w:i/>
                            <w:iCs/>
                          </w:rPr>
                          <w:t xml:space="preserve"> </w:t>
                        </w:r>
                        <w:r>
                          <w:rPr>
                            <w:rFonts w:eastAsiaTheme="minorEastAsia"/>
                          </w:rPr>
                          <w:t xml:space="preserve">= The weighting given to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eastAsiaTheme="minorEastAsia"/>
                          </w:rPr>
                          <w:t>.</w:t>
                        </w:r>
                      </w:p>
                      <w:p w14:paraId="6971254C" w14:textId="36B66951" w:rsidR="006F7A8D" w:rsidRPr="008C60A9" w:rsidRDefault="006F7A8D" w:rsidP="00B3249D">
                        <w:pPr>
                          <w:pStyle w:val="ListParagraph"/>
                          <w:numPr>
                            <w:ilvl w:val="0"/>
                            <w:numId w:val="13"/>
                          </w:numPr>
                          <w:rPr>
                            <w:rFonts w:eastAsiaTheme="minorEastAsia"/>
                          </w:rPr>
                        </w:pPr>
                        <m:oMath>
                          <m:r>
                            <w:rPr>
                              <w:rFonts w:ascii="Cambria Math" w:eastAsiaTheme="minorEastAsia" w:hAnsi="Cambria Math"/>
                            </w:rPr>
                            <m:t>T</m:t>
                          </m:r>
                        </m:oMath>
                        <w:r w:rsidRPr="008C60A9">
                          <w:rPr>
                            <w:rFonts w:eastAsiaTheme="minorEastAsia"/>
                            <w:i/>
                            <w:iCs/>
                          </w:rPr>
                          <w:t xml:space="preserve"> </w:t>
                        </w:r>
                        <w:r w:rsidRPr="008C60A9">
                          <w:rPr>
                            <w:rFonts w:eastAsiaTheme="minorEastAsia"/>
                          </w:rPr>
                          <w:t xml:space="preserve">= </w:t>
                        </w:r>
                        <w:r>
                          <w:rPr>
                            <w:rFonts w:eastAsiaTheme="minorEastAsia"/>
                          </w:rPr>
                          <w:t>The prescribed threshold that must be met or surpassed</w:t>
                        </w:r>
                        <w:r w:rsidRPr="008C60A9">
                          <w:rPr>
                            <w:rFonts w:eastAsiaTheme="minorEastAsia"/>
                          </w:rPr>
                          <w:t xml:space="preserve"> </w:t>
                        </w:r>
                        <w:r>
                          <w:rPr>
                            <w:rFonts w:eastAsiaTheme="minorEastAsia"/>
                          </w:rPr>
                          <w:t>for a licensee to have ‘passed’ the requirement.</w:t>
                        </w:r>
                      </w:p>
                    </w:txbxContent>
                  </v:textbox>
                </v:shape>
                <w10:anchorlock/>
              </v:group>
            </w:pict>
          </mc:Fallback>
        </mc:AlternateContent>
      </w:r>
    </w:p>
    <w:bookmarkStart w:id="5" w:name="_MON_1663089418"/>
    <w:bookmarkEnd w:id="5"/>
    <w:p w14:paraId="119BEF48" w14:textId="77777777" w:rsidR="00EF76E3" w:rsidRDefault="00EF76E3" w:rsidP="00EF76E3">
      <w:pPr>
        <w:keepNext/>
        <w:spacing w:line="480" w:lineRule="auto"/>
        <w:jc w:val="both"/>
      </w:pPr>
      <w:r>
        <w:rPr>
          <w:rFonts w:ascii="Times New Roman" w:hAnsi="Times New Roman" w:cs="Times New Roman"/>
        </w:rPr>
        <w:object w:dxaOrig="9026" w:dyaOrig="2379" w14:anchorId="6A614854">
          <v:shape id="_x0000_i1029" type="#_x0000_t75" style="width:451.15pt;height:119.2pt" o:ole="">
            <v:imagedata r:id="rId15" o:title=""/>
          </v:shape>
          <o:OLEObject Type="Embed" ProgID="Word.DocumentMacroEnabled.12" ShapeID="_x0000_i1029" DrawAspect="Content" ObjectID="_1663315009" r:id="rId16"/>
        </w:object>
      </w:r>
    </w:p>
    <w:p w14:paraId="7D2A24FB" w14:textId="05B4E17F" w:rsidR="00D642D9" w:rsidRPr="00EF76E3" w:rsidRDefault="00EF76E3" w:rsidP="00EF76E3">
      <w:pPr>
        <w:pStyle w:val="Caption"/>
        <w:jc w:val="both"/>
        <w:rPr>
          <w:rFonts w:ascii="Times New Roman" w:hAnsi="Times New Roman" w:cs="Times New Roman"/>
          <w:i w:val="0"/>
          <w:iCs w:val="0"/>
        </w:rPr>
      </w:pPr>
      <w:r w:rsidRPr="00EF76E3">
        <w:rPr>
          <w:b/>
          <w:bCs/>
          <w:i w:val="0"/>
          <w:iCs w:val="0"/>
        </w:rPr>
        <w:t xml:space="preserve">Figure </w:t>
      </w:r>
      <w:r w:rsidRPr="00EF76E3">
        <w:rPr>
          <w:b/>
          <w:bCs/>
          <w:i w:val="0"/>
          <w:iCs w:val="0"/>
        </w:rPr>
        <w:fldChar w:fldCharType="begin"/>
      </w:r>
      <w:r w:rsidRPr="00EF76E3">
        <w:rPr>
          <w:b/>
          <w:bCs/>
          <w:i w:val="0"/>
          <w:iCs w:val="0"/>
        </w:rPr>
        <w:instrText xml:space="preserve"> SEQ Figure \* ARABIC </w:instrText>
      </w:r>
      <w:r w:rsidRPr="00EF76E3">
        <w:rPr>
          <w:b/>
          <w:bCs/>
          <w:i w:val="0"/>
          <w:iCs w:val="0"/>
        </w:rPr>
        <w:fldChar w:fldCharType="separate"/>
      </w:r>
      <w:r w:rsidRPr="00EF76E3">
        <w:rPr>
          <w:b/>
          <w:bCs/>
          <w:i w:val="0"/>
          <w:iCs w:val="0"/>
          <w:noProof/>
        </w:rPr>
        <w:t>5</w:t>
      </w:r>
      <w:r w:rsidRPr="00EF76E3">
        <w:rPr>
          <w:b/>
          <w:bCs/>
          <w:i w:val="0"/>
          <w:iCs w:val="0"/>
        </w:rPr>
        <w:fldChar w:fldCharType="end"/>
      </w:r>
      <w:r>
        <w:rPr>
          <w:b/>
          <w:bCs/>
          <w:i w:val="0"/>
          <w:iCs w:val="0"/>
        </w:rPr>
        <w:t xml:space="preserve"> – </w:t>
      </w:r>
      <w:r>
        <w:rPr>
          <w:i w:val="0"/>
          <w:iCs w:val="0"/>
        </w:rPr>
        <w:t>Equation (2) represented in python syntax. Each relevant factor is assigned a weighting which is multiplied by 1 if it has been considered, or zero if not. These resultant values are summed as each factor is checked. If, after all checks, the running total is equal to or surpasses a given threshold, the licensee can be considered to have met their obligation to make ‘reasonable inquiries’.</w:t>
      </w:r>
    </w:p>
    <w:p w14:paraId="0E38D010" w14:textId="4C244DA8" w:rsidR="001C300E" w:rsidRPr="001C300E" w:rsidRDefault="00C930F2" w:rsidP="001C300E">
      <w:pPr>
        <w:spacing w:line="480" w:lineRule="auto"/>
        <w:jc w:val="both"/>
        <w:rPr>
          <w:rFonts w:ascii="Times New Roman" w:hAnsi="Times New Roman" w:cs="Times New Roman"/>
        </w:rPr>
      </w:pPr>
      <w:r w:rsidRPr="001C300E">
        <w:rPr>
          <w:rFonts w:ascii="Times New Roman" w:hAnsi="Times New Roman" w:cs="Times New Roman"/>
        </w:rPr>
        <w:lastRenderedPageBreak/>
        <w:t xml:space="preserve">It soon became apparent, however, that no practicable method of determining acceptable weightings and thresholds could be justifiably produced with any academic or legal </w:t>
      </w:r>
      <w:r w:rsidR="006F7A8D">
        <w:rPr>
          <w:rFonts w:ascii="Times New Roman" w:hAnsi="Times New Roman" w:cs="Times New Roman"/>
        </w:rPr>
        <w:t>justification</w:t>
      </w:r>
      <w:r w:rsidRPr="001C300E">
        <w:rPr>
          <w:rFonts w:ascii="Times New Roman" w:hAnsi="Times New Roman" w:cs="Times New Roman"/>
        </w:rPr>
        <w:t xml:space="preserve"> </w:t>
      </w:r>
      <w:r w:rsidR="006F7A8D">
        <w:rPr>
          <w:rFonts w:ascii="Times New Roman" w:hAnsi="Times New Roman" w:cs="Times New Roman"/>
        </w:rPr>
        <w:t>with</w:t>
      </w:r>
      <w:r w:rsidRPr="001C300E">
        <w:rPr>
          <w:rFonts w:ascii="Times New Roman" w:hAnsi="Times New Roman" w:cs="Times New Roman"/>
        </w:rPr>
        <w:t>in the scope of this article. Nonetheless, it is put forward that such efforts would be well-suited in further RaC research. Specifically, such attempts at quantifying legal discretion harken to the limited but relevant literature surrounding attempts to quantify ‘reasonable doubt’ in criminal trials,</w:t>
      </w:r>
      <w:r w:rsidR="001C300E" w:rsidRPr="001C300E">
        <w:rPr>
          <w:rStyle w:val="FootnoteReference"/>
          <w:rFonts w:ascii="Times New Roman" w:hAnsi="Times New Roman" w:cs="Times New Roman"/>
        </w:rPr>
        <w:footnoteReference w:id="128"/>
      </w:r>
      <w:r w:rsidRPr="001C300E">
        <w:rPr>
          <w:rFonts w:ascii="Times New Roman" w:hAnsi="Times New Roman" w:cs="Times New Roman"/>
        </w:rPr>
        <w:t xml:space="preserve"> and it is posited </w:t>
      </w:r>
      <w:r w:rsidR="001C300E" w:rsidRPr="001C300E">
        <w:rPr>
          <w:rFonts w:ascii="Times New Roman" w:hAnsi="Times New Roman" w:cs="Times New Roman"/>
        </w:rPr>
        <w:t xml:space="preserve">that further investigation could produce methods supported by academic and legal justification. </w:t>
      </w:r>
    </w:p>
    <w:p w14:paraId="404E9C36" w14:textId="3C9E53E9" w:rsidR="001C300E" w:rsidRDefault="001C300E" w:rsidP="001C300E">
      <w:pPr>
        <w:spacing w:line="480" w:lineRule="auto"/>
        <w:jc w:val="both"/>
        <w:rPr>
          <w:rFonts w:ascii="Times New Roman" w:hAnsi="Times New Roman" w:cs="Times New Roman"/>
        </w:rPr>
      </w:pPr>
      <w:r>
        <w:rPr>
          <w:rFonts w:ascii="Times New Roman" w:hAnsi="Times New Roman" w:cs="Times New Roman"/>
        </w:rPr>
        <w:t xml:space="preserve">In contrast to the computational difficulties encountered operating as a non-formalist, approaching discretionary terms from a strict formalist’s approach was deemed to be an inherently flawed process. Indeed, it is argued that the very existence of such discretionary terms invalidates the notion that the law could ever be adequately coded in an absolutely strict formalist </w:t>
      </w:r>
      <w:r w:rsidR="006F7A8D">
        <w:rPr>
          <w:rFonts w:ascii="Times New Roman" w:hAnsi="Times New Roman" w:cs="Times New Roman"/>
        </w:rPr>
        <w:t>manner</w:t>
      </w:r>
      <w:r>
        <w:rPr>
          <w:rFonts w:ascii="Times New Roman" w:hAnsi="Times New Roman" w:cs="Times New Roman"/>
        </w:rPr>
        <w:t>.</w:t>
      </w:r>
      <w:r w:rsidR="006F00A3">
        <w:rPr>
          <w:rFonts w:ascii="Times New Roman" w:hAnsi="Times New Roman" w:cs="Times New Roman"/>
        </w:rPr>
        <w:t xml:space="preserve"> Beyond statute, cases considering Chapter III have been influenced by the principles of modern statutory interpretation which inherently disagree with facets of formalism.</w:t>
      </w:r>
      <w:r w:rsidR="006F00A3">
        <w:rPr>
          <w:rStyle w:val="FootnoteReference"/>
          <w:rFonts w:ascii="Times New Roman" w:hAnsi="Times New Roman" w:cs="Times New Roman"/>
        </w:rPr>
        <w:footnoteReference w:id="129"/>
      </w:r>
      <w:r w:rsidR="006F00A3">
        <w:rPr>
          <w:rFonts w:ascii="Times New Roman" w:hAnsi="Times New Roman" w:cs="Times New Roman"/>
        </w:rPr>
        <w:t xml:space="preserve"> </w:t>
      </w:r>
      <w:r>
        <w:rPr>
          <w:rFonts w:ascii="Times New Roman" w:hAnsi="Times New Roman" w:cs="Times New Roman"/>
        </w:rPr>
        <w:t xml:space="preserve">Referring to provisions included in </w:t>
      </w:r>
      <w:r w:rsidR="006F7A8D">
        <w:rPr>
          <w:rFonts w:ascii="Times New Roman" w:hAnsi="Times New Roman" w:cs="Times New Roman"/>
        </w:rPr>
        <w:t>this</w:t>
      </w:r>
      <w:r>
        <w:rPr>
          <w:rFonts w:ascii="Times New Roman" w:hAnsi="Times New Roman" w:cs="Times New Roman"/>
        </w:rPr>
        <w:t xml:space="preserve"> coding exercise, Lee J wrote that “if…</w:t>
      </w:r>
      <w:r w:rsidRPr="001C300E">
        <w:rPr>
          <w:rFonts w:ascii="Times New Roman" w:hAnsi="Times New Roman" w:cs="Times New Roman"/>
        </w:rPr>
        <w:t>Parliament intended to make it pellucid exactly what licensees needed to do before entering into a credit contract, that effort miscarried</w:t>
      </w:r>
      <w:r>
        <w:rPr>
          <w:rFonts w:ascii="Times New Roman" w:hAnsi="Times New Roman" w:cs="Times New Roman"/>
        </w:rPr>
        <w:t>.”</w:t>
      </w:r>
      <w:r>
        <w:rPr>
          <w:rStyle w:val="FootnoteReference"/>
          <w:rFonts w:ascii="Times New Roman" w:hAnsi="Times New Roman" w:cs="Times New Roman"/>
          <w:sz w:val="24"/>
          <w:szCs w:val="24"/>
        </w:rPr>
        <w:footnoteReference w:id="130"/>
      </w:r>
      <w:r>
        <w:rPr>
          <w:rFonts w:ascii="Times New Roman" w:hAnsi="Times New Roman" w:cs="Times New Roman"/>
        </w:rPr>
        <w:t xml:space="preserve"> In light of the literature considered in Section II, it is argued that such a statement places Chapter III of the </w:t>
      </w:r>
      <w:r>
        <w:rPr>
          <w:rFonts w:ascii="Times New Roman" w:hAnsi="Times New Roman" w:cs="Times New Roman"/>
          <w:i/>
          <w:iCs/>
        </w:rPr>
        <w:t>National Credit Act</w:t>
      </w:r>
      <w:r>
        <w:rPr>
          <w:rFonts w:ascii="Times New Roman" w:hAnsi="Times New Roman" w:cs="Times New Roman"/>
        </w:rPr>
        <w:t xml:space="preserve"> irretrievably at odds with the notion of legal formalism. Attempting to code it in such way, therefore, was soon considered a fool’s errand.</w:t>
      </w:r>
    </w:p>
    <w:p w14:paraId="703332B5" w14:textId="4548D332" w:rsidR="001C300E" w:rsidRPr="00F64D9C" w:rsidRDefault="00F64D9C" w:rsidP="001C300E">
      <w:pPr>
        <w:spacing w:line="480" w:lineRule="auto"/>
        <w:jc w:val="both"/>
        <w:rPr>
          <w:rFonts w:ascii="Times New Roman" w:hAnsi="Times New Roman" w:cs="Times New Roman"/>
        </w:rPr>
      </w:pPr>
      <w:r w:rsidRPr="00F64D9C">
        <w:rPr>
          <w:rFonts w:ascii="Times New Roman" w:hAnsi="Times New Roman" w:cs="Times New Roman"/>
        </w:rPr>
        <w:t xml:space="preserve">In light </w:t>
      </w:r>
      <w:r>
        <w:rPr>
          <w:rFonts w:ascii="Times New Roman" w:hAnsi="Times New Roman" w:cs="Times New Roman"/>
        </w:rPr>
        <w:t>of these understandings, the approach which was ultimately applied in coding discretionary clauses was to treat them not as a question of law, as they would be considered by the courts, but as one of fact. To this end, one might interpret the relevant question</w:t>
      </w:r>
      <w:r w:rsidR="006F7A8D">
        <w:rPr>
          <w:rFonts w:ascii="Times New Roman" w:hAnsi="Times New Roman" w:cs="Times New Roman"/>
        </w:rPr>
        <w:t xml:space="preserve">s concerning the obligations described in, for example, s130(1), </w:t>
      </w:r>
      <w:r>
        <w:rPr>
          <w:rFonts w:ascii="Times New Roman" w:hAnsi="Times New Roman" w:cs="Times New Roman"/>
        </w:rPr>
        <w:t>being “is it factually correct that reasonable inquiries were made</w:t>
      </w:r>
      <w:r w:rsidR="006F7A8D">
        <w:rPr>
          <w:rFonts w:ascii="Times New Roman" w:hAnsi="Times New Roman" w:cs="Times New Roman"/>
        </w:rPr>
        <w:t xml:space="preserve"> regarding </w:t>
      </w:r>
      <w:r w:rsidR="006F7A8D">
        <w:rPr>
          <w:rFonts w:ascii="Times New Roman" w:hAnsi="Times New Roman" w:cs="Times New Roman"/>
          <w:i/>
          <w:iCs/>
        </w:rPr>
        <w:t>x</w:t>
      </w:r>
      <w:r>
        <w:rPr>
          <w:rFonts w:ascii="Times New Roman" w:hAnsi="Times New Roman" w:cs="Times New Roman"/>
        </w:rPr>
        <w:t>?” Such an approach is obviously problematic in that it knowingly distances itself from the approach the judiciary would take and places</w:t>
      </w:r>
      <w:r w:rsidR="000C620A">
        <w:rPr>
          <w:rFonts w:ascii="Times New Roman" w:hAnsi="Times New Roman" w:cs="Times New Roman"/>
        </w:rPr>
        <w:t xml:space="preserve"> </w:t>
      </w:r>
      <w:r>
        <w:rPr>
          <w:rFonts w:ascii="Times New Roman" w:hAnsi="Times New Roman" w:cs="Times New Roman"/>
        </w:rPr>
        <w:t>discretionary power in the hands of the user, whos</w:t>
      </w:r>
      <w:r w:rsidR="000C620A">
        <w:rPr>
          <w:rFonts w:ascii="Times New Roman" w:hAnsi="Times New Roman" w:cs="Times New Roman"/>
        </w:rPr>
        <w:t>e</w:t>
      </w:r>
      <w:r>
        <w:rPr>
          <w:rFonts w:ascii="Times New Roman" w:hAnsi="Times New Roman" w:cs="Times New Roman"/>
        </w:rPr>
        <w:t xml:space="preserve"> authority and role in the dispute is undefined. Despite this, it is argued that, absent a non-formalist method of </w:t>
      </w:r>
      <w:r>
        <w:rPr>
          <w:rFonts w:ascii="Times New Roman" w:hAnsi="Times New Roman" w:cs="Times New Roman"/>
        </w:rPr>
        <w:lastRenderedPageBreak/>
        <w:t>algorithmically determining ‘reasonableness’, the factual approach is most practical and appropriate when considering the potential contexts in which such an application might be deployed. If operated in a private advisory context, the act of determining whether something is likely to be deemed ‘reasonable’ is performed regularly by licensees making internal judgements as to whether their processes are compliant with the law, and such an application would merely be an extension of this. If, however, such an application was deployed in a legally binding context,</w:t>
      </w:r>
      <w:r>
        <w:rPr>
          <w:rStyle w:val="FootnoteReference"/>
          <w:rFonts w:ascii="Times New Roman" w:hAnsi="Times New Roman" w:cs="Times New Roman"/>
        </w:rPr>
        <w:footnoteReference w:id="131"/>
      </w:r>
      <w:r w:rsidR="006F00A3">
        <w:rPr>
          <w:rFonts w:ascii="Times New Roman" w:hAnsi="Times New Roman" w:cs="Times New Roman"/>
        </w:rPr>
        <w:t xml:space="preserve"> broader questions would need consideration regarding the factual accuracy of all inputs. Though such questions threaten to breach the scope of this article, it is proposed that such user inputs could be treated  in the same manner in which a statutory declaration might, prompting the licensee to declare that they subjectively believe they have been ‘reasonable’ as informed by the relevant guidelines.</w:t>
      </w:r>
    </w:p>
    <w:p w14:paraId="4EC80E82" w14:textId="77777777" w:rsidR="00096FD9" w:rsidRDefault="00096FD9" w:rsidP="001D223E">
      <w:pPr>
        <w:spacing w:line="480" w:lineRule="auto"/>
        <w:rPr>
          <w:rFonts w:ascii="Times New Roman" w:hAnsi="Times New Roman" w:cs="Times New Roman"/>
        </w:rPr>
      </w:pPr>
    </w:p>
    <w:p w14:paraId="7B2FB97B" w14:textId="0625A549" w:rsidR="00D73D79" w:rsidRDefault="00AD2743" w:rsidP="00D73D79">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D73D79" w:rsidRPr="00B67F00">
        <w:rPr>
          <w:rFonts w:ascii="Times New Roman" w:hAnsi="Times New Roman" w:cs="Times New Roman"/>
          <w:sz w:val="28"/>
          <w:szCs w:val="28"/>
        </w:rPr>
        <w:tab/>
      </w:r>
      <w:r w:rsidR="00577AE0">
        <w:rPr>
          <w:rFonts w:ascii="Times New Roman" w:hAnsi="Times New Roman" w:cs="Times New Roman"/>
          <w:sz w:val="28"/>
          <w:szCs w:val="28"/>
        </w:rPr>
        <w:t>A</w:t>
      </w:r>
      <w:r>
        <w:rPr>
          <w:rFonts w:ascii="Times New Roman" w:hAnsi="Times New Roman" w:cs="Times New Roman"/>
          <w:sz w:val="24"/>
          <w:szCs w:val="24"/>
        </w:rPr>
        <w:t xml:space="preserve">N </w:t>
      </w:r>
      <w:r>
        <w:rPr>
          <w:rFonts w:ascii="Times New Roman" w:hAnsi="Times New Roman" w:cs="Times New Roman"/>
          <w:sz w:val="28"/>
          <w:szCs w:val="28"/>
        </w:rPr>
        <w:t>A</w:t>
      </w:r>
      <w:r>
        <w:rPr>
          <w:rFonts w:ascii="Times New Roman" w:hAnsi="Times New Roman" w:cs="Times New Roman"/>
          <w:sz w:val="24"/>
          <w:szCs w:val="24"/>
        </w:rPr>
        <w:t xml:space="preserve">LTERNATIVE </w:t>
      </w:r>
      <w:r>
        <w:rPr>
          <w:rFonts w:ascii="Times New Roman" w:hAnsi="Times New Roman" w:cs="Times New Roman"/>
          <w:sz w:val="28"/>
          <w:szCs w:val="28"/>
        </w:rPr>
        <w:t>A</w:t>
      </w:r>
      <w:r>
        <w:rPr>
          <w:rFonts w:ascii="Times New Roman" w:hAnsi="Times New Roman" w:cs="Times New Roman"/>
          <w:sz w:val="24"/>
          <w:szCs w:val="24"/>
        </w:rPr>
        <w:t xml:space="preserve">PPROACH: </w:t>
      </w:r>
      <w:r>
        <w:rPr>
          <w:rFonts w:ascii="Times New Roman" w:hAnsi="Times New Roman" w:cs="Times New Roman"/>
          <w:sz w:val="28"/>
          <w:szCs w:val="28"/>
        </w:rPr>
        <w:t>M</w:t>
      </w:r>
      <w:r>
        <w:rPr>
          <w:rFonts w:ascii="Times New Roman" w:hAnsi="Times New Roman" w:cs="Times New Roman"/>
          <w:sz w:val="24"/>
          <w:szCs w:val="24"/>
        </w:rPr>
        <w:t xml:space="preserve">ULTILINGUAL </w:t>
      </w:r>
      <w:r>
        <w:rPr>
          <w:rFonts w:ascii="Times New Roman" w:hAnsi="Times New Roman" w:cs="Times New Roman"/>
          <w:sz w:val="28"/>
          <w:szCs w:val="28"/>
        </w:rPr>
        <w:t>L</w:t>
      </w:r>
      <w:r>
        <w:rPr>
          <w:rFonts w:ascii="Times New Roman" w:hAnsi="Times New Roman" w:cs="Times New Roman"/>
          <w:sz w:val="24"/>
          <w:szCs w:val="24"/>
        </w:rPr>
        <w:t>EGISLATION</w:t>
      </w:r>
    </w:p>
    <w:p w14:paraId="5CCD878F" w14:textId="0B41584F" w:rsidR="001D02D8" w:rsidRPr="00702FCF" w:rsidRDefault="006F00A3" w:rsidP="006F00A3">
      <w:pPr>
        <w:spacing w:line="480" w:lineRule="auto"/>
        <w:jc w:val="both"/>
        <w:rPr>
          <w:rFonts w:ascii="Times New Roman" w:hAnsi="Times New Roman" w:cs="Times New Roman"/>
        </w:rPr>
      </w:pPr>
      <w:r w:rsidRPr="00702FCF">
        <w:rPr>
          <w:rFonts w:ascii="Times New Roman" w:hAnsi="Times New Roman" w:cs="Times New Roman"/>
        </w:rPr>
        <w:t>Absent a clear solution stemming from comparisons of formalism and non-formalism-influenced coding, it proposed, as alluded to in Section II, that analysing the approaches taken in jurisdictions with multilingual legislation could bare more positive findings.</w:t>
      </w:r>
      <w:r w:rsidR="004F551B" w:rsidRPr="00702FCF">
        <w:rPr>
          <w:rFonts w:ascii="Times New Roman" w:hAnsi="Times New Roman" w:cs="Times New Roman"/>
        </w:rPr>
        <w:t xml:space="preserve"> </w:t>
      </w:r>
      <w:r w:rsidR="00577AE0" w:rsidRPr="00702FCF">
        <w:rPr>
          <w:rFonts w:ascii="Times New Roman" w:hAnsi="Times New Roman" w:cs="Times New Roman"/>
        </w:rPr>
        <w:t xml:space="preserve">Concerning multilingual drafting in the context of a supranational regime such as the </w:t>
      </w:r>
      <w:r w:rsidR="00727ED7" w:rsidRPr="00702FCF">
        <w:rPr>
          <w:rFonts w:ascii="Times New Roman" w:hAnsi="Times New Roman" w:cs="Times New Roman"/>
        </w:rPr>
        <w:t>EU</w:t>
      </w:r>
      <w:r w:rsidR="00577AE0" w:rsidRPr="00702FCF">
        <w:rPr>
          <w:rFonts w:ascii="Times New Roman" w:hAnsi="Times New Roman" w:cs="Times New Roman"/>
        </w:rPr>
        <w:t>, Solan</w:t>
      </w:r>
      <w:r w:rsidR="00577AE0" w:rsidRPr="00702FCF">
        <w:rPr>
          <w:rStyle w:val="FootnoteReference"/>
          <w:rFonts w:ascii="Times New Roman" w:hAnsi="Times New Roman" w:cs="Times New Roman"/>
        </w:rPr>
        <w:footnoteReference w:id="132"/>
      </w:r>
      <w:r w:rsidR="00577AE0" w:rsidRPr="00702FCF">
        <w:rPr>
          <w:rFonts w:ascii="Times New Roman" w:hAnsi="Times New Roman" w:cs="Times New Roman"/>
        </w:rPr>
        <w:t xml:space="preserve"> identifies three goals: equality of language, fidelity in interpretation and efficiency of translation.</w:t>
      </w:r>
      <w:r w:rsidR="00577AE0" w:rsidRPr="00702FCF">
        <w:rPr>
          <w:rStyle w:val="FootnoteReference"/>
          <w:rFonts w:ascii="Times New Roman" w:hAnsi="Times New Roman" w:cs="Times New Roman"/>
        </w:rPr>
        <w:footnoteReference w:id="133"/>
      </w:r>
      <w:r w:rsidR="00577AE0" w:rsidRPr="00702FCF">
        <w:rPr>
          <w:rFonts w:ascii="Times New Roman" w:hAnsi="Times New Roman" w:cs="Times New Roman"/>
        </w:rPr>
        <w:t xml:space="preserve"> Though certainly an important consideration in encoding legal rules, the latter falls outside of the scope of the presently tested methodology, which instead purports to consider and compare equality with fidelity. Where the multilingual notion of equality is concerned with the </w:t>
      </w:r>
      <w:r w:rsidR="00727ED7" w:rsidRPr="00702FCF">
        <w:rPr>
          <w:rFonts w:ascii="Times New Roman" w:hAnsi="Times New Roman" w:cs="Times New Roman"/>
        </w:rPr>
        <w:t>EU</w:t>
      </w:r>
      <w:r w:rsidR="00577AE0" w:rsidRPr="00702FCF">
        <w:rPr>
          <w:rFonts w:ascii="Times New Roman" w:hAnsi="Times New Roman" w:cs="Times New Roman"/>
        </w:rPr>
        <w:t>’s declaration that all translations of a law hold equal authority,</w:t>
      </w:r>
      <w:r w:rsidR="00577AE0" w:rsidRPr="00702FCF">
        <w:rPr>
          <w:rStyle w:val="FootnoteReference"/>
          <w:rFonts w:ascii="Times New Roman" w:hAnsi="Times New Roman" w:cs="Times New Roman"/>
        </w:rPr>
        <w:footnoteReference w:id="134"/>
      </w:r>
      <w:r w:rsidR="00577AE0" w:rsidRPr="00702FCF">
        <w:rPr>
          <w:rFonts w:ascii="Times New Roman" w:hAnsi="Times New Roman" w:cs="Times New Roman"/>
        </w:rPr>
        <w:t xml:space="preserve"> this article questions whether such an affirmation should be made with regards to the authority of any conclusions reached by digitised legislation. Similarly, the notion of fidelity is prioritised in both </w:t>
      </w:r>
      <w:r w:rsidR="00577AE0" w:rsidRPr="00702FCF">
        <w:rPr>
          <w:rFonts w:ascii="Times New Roman" w:hAnsi="Times New Roman" w:cs="Times New Roman"/>
        </w:rPr>
        <w:lastRenderedPageBreak/>
        <w:t>multilingualism and digitisation of legislation, with this article’s considerations of ambiguity and syntactic differences between languages</w:t>
      </w:r>
      <w:r w:rsidR="00577AE0" w:rsidRPr="00702FCF">
        <w:rPr>
          <w:rStyle w:val="FootnoteReference"/>
          <w:rFonts w:ascii="Times New Roman" w:hAnsi="Times New Roman" w:cs="Times New Roman"/>
        </w:rPr>
        <w:footnoteReference w:id="135"/>
      </w:r>
      <w:r w:rsidR="00577AE0" w:rsidRPr="00702FCF">
        <w:rPr>
          <w:rFonts w:ascii="Times New Roman" w:hAnsi="Times New Roman" w:cs="Times New Roman"/>
        </w:rPr>
        <w:t xml:space="preserve"> mirroring the concerns of legal translators.</w:t>
      </w:r>
    </w:p>
    <w:p w14:paraId="0ED472E7" w14:textId="77777777" w:rsidR="00096FD9" w:rsidRDefault="00096FD9" w:rsidP="001D223E">
      <w:pPr>
        <w:spacing w:line="480" w:lineRule="auto"/>
      </w:pPr>
    </w:p>
    <w:p w14:paraId="1E5520DD" w14:textId="77777777" w:rsidR="00096FD9" w:rsidRDefault="00096FD9" w:rsidP="00096FD9">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r w:rsidRPr="00B67F00">
        <w:rPr>
          <w:rFonts w:ascii="Times New Roman" w:hAnsi="Times New Roman" w:cs="Times New Roman"/>
          <w:sz w:val="24"/>
          <w:szCs w:val="24"/>
        </w:rPr>
        <w:t xml:space="preserve"> </w:t>
      </w:r>
      <w:r>
        <w:rPr>
          <w:rFonts w:ascii="Times New Roman" w:hAnsi="Times New Roman" w:cs="Times New Roman"/>
          <w:i/>
          <w:iCs/>
          <w:sz w:val="24"/>
          <w:szCs w:val="24"/>
        </w:rPr>
        <w:t>Equality</w:t>
      </w:r>
    </w:p>
    <w:p w14:paraId="4A106EF1" w14:textId="77777777" w:rsidR="00AE538D" w:rsidRPr="002B70F8" w:rsidRDefault="00096FD9" w:rsidP="00AE538D">
      <w:pPr>
        <w:spacing w:line="480" w:lineRule="auto"/>
        <w:jc w:val="both"/>
        <w:rPr>
          <w:rFonts w:ascii="Times New Roman" w:hAnsi="Times New Roman" w:cs="Times New Roman"/>
        </w:rPr>
      </w:pPr>
      <w:r w:rsidRPr="002B70F8">
        <w:rPr>
          <w:rFonts w:ascii="Times New Roman" w:hAnsi="Times New Roman" w:cs="Times New Roman"/>
        </w:rPr>
        <w:t>A largely unanswered question amongst RaC endeavours is that of the context in which such a solution might be deployed,</w:t>
      </w:r>
      <w:r w:rsidRPr="00FF395A">
        <w:rPr>
          <w:rStyle w:val="FootnoteReference"/>
        </w:rPr>
        <w:footnoteReference w:id="136"/>
      </w:r>
      <w:r w:rsidRPr="002B70F8">
        <w:rPr>
          <w:rFonts w:ascii="Times New Roman" w:hAnsi="Times New Roman" w:cs="Times New Roman"/>
        </w:rPr>
        <w:t xml:space="preserve"> yet such a decision is arguably vital in ensuring efficient and effective development both from a technical and legal standpoint. The question of how constitutionally valid the act of programming law might be can only be answered when the program’s contextual application, and therefore its standing compared with standard legislation, is </w:t>
      </w:r>
      <w:r w:rsidR="00142440" w:rsidRPr="002B70F8">
        <w:rPr>
          <w:rFonts w:ascii="Times New Roman" w:hAnsi="Times New Roman" w:cs="Times New Roman"/>
        </w:rPr>
        <w:t xml:space="preserve">known. [TODO outline how some current attempts might compare with standard legislation]. </w:t>
      </w:r>
    </w:p>
    <w:p w14:paraId="703CA465" w14:textId="58F51A0B" w:rsidR="00142440" w:rsidRPr="002B70F8" w:rsidRDefault="00142440" w:rsidP="00AE538D">
      <w:pPr>
        <w:spacing w:line="480" w:lineRule="auto"/>
        <w:jc w:val="both"/>
        <w:rPr>
          <w:rFonts w:ascii="Times New Roman" w:hAnsi="Times New Roman" w:cs="Times New Roman"/>
        </w:rPr>
      </w:pPr>
      <w:r w:rsidRPr="002B70F8">
        <w:rPr>
          <w:rFonts w:ascii="Times New Roman" w:hAnsi="Times New Roman" w:cs="Times New Roman"/>
        </w:rPr>
        <w:t>For present purposes, it is posited that a spectrum describing legal authority upon which an RaC application might be placed, can be split into three broad areas: advisory, influential, and binding.</w:t>
      </w:r>
      <w:r w:rsidR="00AE538D" w:rsidRPr="002B70F8">
        <w:rPr>
          <w:rFonts w:ascii="Times New Roman" w:hAnsi="Times New Roman" w:cs="Times New Roman"/>
        </w:rPr>
        <w:t xml:space="preserve"> </w:t>
      </w:r>
      <w:r w:rsidR="004F551B">
        <w:rPr>
          <w:rFonts w:ascii="Times New Roman" w:hAnsi="Times New Roman" w:cs="Times New Roman"/>
        </w:rPr>
        <w:t>For example, within</w:t>
      </w:r>
      <w:r w:rsidR="00AE538D" w:rsidRPr="002B70F8">
        <w:rPr>
          <w:rFonts w:ascii="Times New Roman" w:hAnsi="Times New Roman" w:cs="Times New Roman"/>
        </w:rPr>
        <w:t xml:space="preserve"> the context of Australia’s banking compliance framework</w:t>
      </w:r>
      <w:r w:rsidR="004F551B">
        <w:rPr>
          <w:rFonts w:ascii="Times New Roman" w:hAnsi="Times New Roman" w:cs="Times New Roman"/>
        </w:rPr>
        <w:t xml:space="preserve">, the </w:t>
      </w:r>
      <w:r w:rsidR="00AE538D" w:rsidRPr="002B70F8">
        <w:rPr>
          <w:rFonts w:ascii="Times New Roman" w:hAnsi="Times New Roman" w:cs="Times New Roman"/>
        </w:rPr>
        <w:t>‘advisory’ section of such a spectrum might be populated by legal textbooks on consumer law or a barrister’s opinion, while the ‘influential’ area would be populated, for example, by ASIC’s regulatory guidelines and explanatory memoranda. Within the ‘binding’ portion of the spectrum, one would expect caselaw, regulations and statute.</w:t>
      </w:r>
    </w:p>
    <w:p w14:paraId="34A7C6E0" w14:textId="4E0A05E6" w:rsidR="00AE538D" w:rsidRPr="00160C66" w:rsidRDefault="00AE538D" w:rsidP="00AE538D">
      <w:pPr>
        <w:spacing w:line="480" w:lineRule="auto"/>
        <w:jc w:val="both"/>
        <w:rPr>
          <w:rFonts w:ascii="Times New Roman" w:hAnsi="Times New Roman" w:cs="Times New Roman"/>
        </w:rPr>
      </w:pPr>
      <w:r w:rsidRPr="00160C66">
        <w:rPr>
          <w:rFonts w:ascii="Times New Roman" w:hAnsi="Times New Roman" w:cs="Times New Roman"/>
        </w:rPr>
        <w:t xml:space="preserve">Considering in which third of this spectrum an RaC application might be deployed helps to define the constitutional roadblocks a programmer might navigate in interpreting and publishing, while also assisting in setting boundaries upon the actual functionality and design of the application. For example, </w:t>
      </w:r>
      <w:r w:rsidR="002A2B60">
        <w:rPr>
          <w:rFonts w:ascii="Times New Roman" w:hAnsi="Times New Roman" w:cs="Times New Roman"/>
        </w:rPr>
        <w:t>AUSTLII’s</w:t>
      </w:r>
      <w:r w:rsidRPr="00160C66">
        <w:rPr>
          <w:rFonts w:ascii="Times New Roman" w:hAnsi="Times New Roman" w:cs="Times New Roman"/>
        </w:rPr>
        <w:t xml:space="preserve"> </w:t>
      </w:r>
      <w:r w:rsidR="002B70F8" w:rsidRPr="00160C66">
        <w:rPr>
          <w:rFonts w:ascii="Times New Roman" w:hAnsi="Times New Roman" w:cs="Times New Roman"/>
        </w:rPr>
        <w:t>‘ElectKB’ application</w:t>
      </w:r>
      <w:r w:rsidR="002B70F8" w:rsidRPr="00160C66">
        <w:rPr>
          <w:rStyle w:val="FootnoteReference"/>
          <w:rFonts w:ascii="Times New Roman" w:hAnsi="Times New Roman" w:cs="Times New Roman"/>
        </w:rPr>
        <w:footnoteReference w:id="137"/>
      </w:r>
      <w:r w:rsidR="002B70F8" w:rsidRPr="00160C66">
        <w:rPr>
          <w:rFonts w:ascii="Times New Roman" w:hAnsi="Times New Roman" w:cs="Times New Roman"/>
        </w:rPr>
        <w:t xml:space="preserve"> gathers information and draws conclusions surrounding an individual’s eligibility as a member of </w:t>
      </w:r>
      <w:r w:rsidR="002A2B60">
        <w:rPr>
          <w:rFonts w:ascii="Times New Roman" w:hAnsi="Times New Roman" w:cs="Times New Roman"/>
        </w:rPr>
        <w:t>federal parliament</w:t>
      </w:r>
      <w:r w:rsidR="00DF5049" w:rsidRPr="00160C66">
        <w:rPr>
          <w:rFonts w:ascii="Times New Roman" w:hAnsi="Times New Roman" w:cs="Times New Roman"/>
          <w:i/>
          <w:iCs/>
        </w:rPr>
        <w:t>.</w:t>
      </w:r>
      <w:r w:rsidR="00A07E0D" w:rsidRPr="00160C66">
        <w:rPr>
          <w:rStyle w:val="FootnoteReference"/>
          <w:rFonts w:ascii="Times New Roman" w:hAnsi="Times New Roman" w:cs="Times New Roman"/>
        </w:rPr>
        <w:footnoteReference w:id="138"/>
      </w:r>
      <w:r w:rsidR="00DF5049" w:rsidRPr="00160C66">
        <w:rPr>
          <w:rFonts w:ascii="Times New Roman" w:hAnsi="Times New Roman" w:cs="Times New Roman"/>
        </w:rPr>
        <w:t xml:space="preserve"> </w:t>
      </w:r>
      <w:r w:rsidR="00C153C2" w:rsidRPr="00160C66">
        <w:rPr>
          <w:rFonts w:ascii="Times New Roman" w:hAnsi="Times New Roman" w:cs="Times New Roman"/>
        </w:rPr>
        <w:t>This is achieved</w:t>
      </w:r>
      <w:r w:rsidR="00DF5049" w:rsidRPr="00160C66">
        <w:rPr>
          <w:rFonts w:ascii="Times New Roman" w:hAnsi="Times New Roman" w:cs="Times New Roman"/>
        </w:rPr>
        <w:t xml:space="preserve"> through a simple chatbot </w:t>
      </w:r>
      <w:r w:rsidR="00DF5049" w:rsidRPr="00160C66">
        <w:rPr>
          <w:rFonts w:ascii="Times New Roman" w:hAnsi="Times New Roman" w:cs="Times New Roman"/>
        </w:rPr>
        <w:lastRenderedPageBreak/>
        <w:t xml:space="preserve">interface in which users are asked relevant questions and can respond only with ‘yes’, ‘no’, ‘uncertain’ or ask why a question is relevant. </w:t>
      </w:r>
      <w:r w:rsidR="00C909E9" w:rsidRPr="00160C66">
        <w:rPr>
          <w:rFonts w:ascii="Times New Roman" w:hAnsi="Times New Roman" w:cs="Times New Roman"/>
        </w:rPr>
        <w:t xml:space="preserve">ElectKB </w:t>
      </w:r>
      <w:r w:rsidR="00A07E0D" w:rsidRPr="00160C66">
        <w:rPr>
          <w:rFonts w:ascii="Times New Roman" w:hAnsi="Times New Roman" w:cs="Times New Roman"/>
        </w:rPr>
        <w:t xml:space="preserve">simply accepts limited inputs to hard-coded questions as facts and applies them directly to a straightforward set of rules from relevant </w:t>
      </w:r>
      <w:r w:rsidR="009C44D9">
        <w:rPr>
          <w:rFonts w:ascii="Times New Roman" w:hAnsi="Times New Roman" w:cs="Times New Roman"/>
        </w:rPr>
        <w:t>legislative pieces</w:t>
      </w:r>
      <w:r w:rsidR="00A07E0D" w:rsidRPr="00160C66">
        <w:rPr>
          <w:rFonts w:ascii="Times New Roman" w:hAnsi="Times New Roman" w:cs="Times New Roman"/>
        </w:rPr>
        <w:t>,</w:t>
      </w:r>
      <w:r w:rsidR="009C44D9">
        <w:rPr>
          <w:rStyle w:val="FootnoteReference"/>
          <w:rFonts w:ascii="Times New Roman" w:hAnsi="Times New Roman" w:cs="Times New Roman"/>
        </w:rPr>
        <w:footnoteReference w:id="139"/>
      </w:r>
      <w:r w:rsidR="00A07E0D" w:rsidRPr="00160C66">
        <w:rPr>
          <w:rFonts w:ascii="Times New Roman" w:hAnsi="Times New Roman" w:cs="Times New Roman"/>
        </w:rPr>
        <w:t xml:space="preserve"> and thus b</w:t>
      </w:r>
      <w:r w:rsidR="00C909E9" w:rsidRPr="00160C66">
        <w:rPr>
          <w:rFonts w:ascii="Times New Roman" w:hAnsi="Times New Roman" w:cs="Times New Roman"/>
        </w:rPr>
        <w:t>eyond its obvious purpose as a basic proof of concept for RaC applications, ElectKB</w:t>
      </w:r>
      <w:r w:rsidR="00A07E0D" w:rsidRPr="00160C66">
        <w:rPr>
          <w:rFonts w:ascii="Times New Roman" w:hAnsi="Times New Roman" w:cs="Times New Roman"/>
        </w:rPr>
        <w:t>’s sole objective is to advise its user of the relevant law.</w:t>
      </w:r>
      <w:r w:rsidR="009C44D9">
        <w:rPr>
          <w:rStyle w:val="FootnoteReference"/>
          <w:rFonts w:ascii="Times New Roman" w:hAnsi="Times New Roman" w:cs="Times New Roman"/>
        </w:rPr>
        <w:footnoteReference w:id="140"/>
      </w:r>
      <w:r w:rsidR="00A07E0D" w:rsidRPr="00160C66">
        <w:rPr>
          <w:rFonts w:ascii="Times New Roman" w:hAnsi="Times New Roman" w:cs="Times New Roman"/>
        </w:rPr>
        <w:t xml:space="preserve"> In contrast, the use of automation tools in the judiciary, such as the Wisconsin Supreme Court’s use of the COMPAS software to predict recidivism,</w:t>
      </w:r>
      <w:r w:rsidR="00A07E0D" w:rsidRPr="00160C66">
        <w:rPr>
          <w:rStyle w:val="FootnoteReference"/>
          <w:rFonts w:ascii="Times New Roman" w:hAnsi="Times New Roman" w:cs="Times New Roman"/>
        </w:rPr>
        <w:footnoteReference w:id="141"/>
      </w:r>
      <w:r w:rsidR="00A07E0D" w:rsidRPr="00160C66">
        <w:rPr>
          <w:rFonts w:ascii="Times New Roman" w:hAnsi="Times New Roman" w:cs="Times New Roman"/>
        </w:rPr>
        <w:t xml:space="preserve"> </w:t>
      </w:r>
      <w:r w:rsidR="00457DE7" w:rsidRPr="00160C66">
        <w:rPr>
          <w:rFonts w:ascii="Times New Roman" w:hAnsi="Times New Roman" w:cs="Times New Roman"/>
        </w:rPr>
        <w:t xml:space="preserve">provide insights through complex algorithms which influence judicial decision-making, and </w:t>
      </w:r>
      <w:r w:rsidR="00A07E0D" w:rsidRPr="00160C66">
        <w:rPr>
          <w:rFonts w:ascii="Times New Roman" w:hAnsi="Times New Roman" w:cs="Times New Roman"/>
        </w:rPr>
        <w:t>would fall within the boundaries of ‘influential’.</w:t>
      </w:r>
      <w:r w:rsidR="00FA5461">
        <w:rPr>
          <w:rFonts w:ascii="Times New Roman" w:hAnsi="Times New Roman" w:cs="Times New Roman"/>
        </w:rPr>
        <w:t xml:space="preserve"> </w:t>
      </w:r>
      <w:r w:rsidR="00C153C2" w:rsidRPr="00160C66">
        <w:rPr>
          <w:rFonts w:ascii="Times New Roman" w:hAnsi="Times New Roman" w:cs="Times New Roman"/>
        </w:rPr>
        <w:t>Finally, Centrelink’s Online Compliance Intervention scheme, better known as ‘robodebt’,</w:t>
      </w:r>
      <w:r w:rsidR="0074091F" w:rsidRPr="00160C66">
        <w:rPr>
          <w:rStyle w:val="FootnoteReference"/>
          <w:rFonts w:ascii="Times New Roman" w:hAnsi="Times New Roman" w:cs="Times New Roman"/>
        </w:rPr>
        <w:footnoteReference w:id="142"/>
      </w:r>
      <w:r w:rsidR="00C153C2" w:rsidRPr="00160C66">
        <w:rPr>
          <w:rFonts w:ascii="Times New Roman" w:hAnsi="Times New Roman" w:cs="Times New Roman"/>
        </w:rPr>
        <w:t xml:space="preserve"> might arguably be considered ‘binding’, with a caveat. Strictly, the </w:t>
      </w:r>
      <w:r w:rsidR="003B7661">
        <w:rPr>
          <w:rFonts w:ascii="Times New Roman" w:hAnsi="Times New Roman" w:cs="Times New Roman"/>
        </w:rPr>
        <w:t xml:space="preserve">Full </w:t>
      </w:r>
      <w:r w:rsidR="00C153C2" w:rsidRPr="00160C66">
        <w:rPr>
          <w:rFonts w:ascii="Times New Roman" w:hAnsi="Times New Roman" w:cs="Times New Roman"/>
        </w:rPr>
        <w:t xml:space="preserve">Federal Court </w:t>
      </w:r>
      <w:r w:rsidR="003B7661">
        <w:rPr>
          <w:rFonts w:ascii="Times New Roman" w:hAnsi="Times New Roman" w:cs="Times New Roman"/>
        </w:rPr>
        <w:t xml:space="preserve">majority </w:t>
      </w:r>
      <w:r w:rsidR="00160C66" w:rsidRPr="00160C66">
        <w:rPr>
          <w:rFonts w:ascii="Times New Roman" w:hAnsi="Times New Roman" w:cs="Times New Roman"/>
        </w:rPr>
        <w:t xml:space="preserve">held in </w:t>
      </w:r>
      <w:r w:rsidR="00160C66" w:rsidRPr="00160C66">
        <w:rPr>
          <w:rFonts w:ascii="Times New Roman" w:hAnsi="Times New Roman" w:cs="Times New Roman"/>
          <w:i/>
          <w:iCs/>
        </w:rPr>
        <w:t>Pintarich v Deputy Commission of Taxation</w:t>
      </w:r>
      <w:r w:rsidR="00160C66" w:rsidRPr="00160C66">
        <w:rPr>
          <w:rStyle w:val="FootnoteReference"/>
          <w:rFonts w:ascii="Times New Roman" w:hAnsi="Times New Roman" w:cs="Times New Roman"/>
        </w:rPr>
        <w:footnoteReference w:id="143"/>
      </w:r>
      <w:r w:rsidR="001A3C0C">
        <w:rPr>
          <w:rFonts w:ascii="Times New Roman" w:hAnsi="Times New Roman" w:cs="Times New Roman"/>
        </w:rPr>
        <w:t xml:space="preserve"> (“</w:t>
      </w:r>
      <w:r w:rsidR="001A3C0C">
        <w:rPr>
          <w:rFonts w:ascii="Times New Roman" w:hAnsi="Times New Roman" w:cs="Times New Roman"/>
          <w:i/>
          <w:iCs/>
        </w:rPr>
        <w:t>Pintarich</w:t>
      </w:r>
      <w:r w:rsidR="001A3C0C">
        <w:rPr>
          <w:rFonts w:ascii="Times New Roman" w:hAnsi="Times New Roman" w:cs="Times New Roman"/>
        </w:rPr>
        <w:t>”)</w:t>
      </w:r>
      <w:r w:rsidR="00160C66" w:rsidRPr="00160C66">
        <w:rPr>
          <w:rFonts w:ascii="Times New Roman" w:hAnsi="Times New Roman" w:cs="Times New Roman"/>
          <w:i/>
          <w:iCs/>
        </w:rPr>
        <w:t xml:space="preserve"> </w:t>
      </w:r>
      <w:r w:rsidR="00C153C2" w:rsidRPr="00160C66">
        <w:rPr>
          <w:rFonts w:ascii="Times New Roman" w:hAnsi="Times New Roman" w:cs="Times New Roman"/>
        </w:rPr>
        <w:t>that a binding decision cannot be made without a mental process on the part of the authorised officer,</w:t>
      </w:r>
      <w:r w:rsidR="00C153C2" w:rsidRPr="00160C66">
        <w:rPr>
          <w:rStyle w:val="FootnoteReference"/>
          <w:rFonts w:ascii="Times New Roman" w:hAnsi="Times New Roman" w:cs="Times New Roman"/>
        </w:rPr>
        <w:footnoteReference w:id="144"/>
      </w:r>
      <w:r w:rsidR="00C153C2" w:rsidRPr="00160C66">
        <w:rPr>
          <w:rFonts w:ascii="Times New Roman" w:hAnsi="Times New Roman" w:cs="Times New Roman"/>
        </w:rPr>
        <w:t xml:space="preserve"> </w:t>
      </w:r>
      <w:r w:rsidR="0074091F" w:rsidRPr="00160C66">
        <w:rPr>
          <w:rFonts w:ascii="Times New Roman" w:hAnsi="Times New Roman" w:cs="Times New Roman"/>
        </w:rPr>
        <w:t xml:space="preserve">though by placing an onus upon debtors to take action on behalf of an executive agency, the scheme purported itself to be binding, </w:t>
      </w:r>
      <w:r w:rsidR="00F52DFA">
        <w:rPr>
          <w:rFonts w:ascii="Times New Roman" w:hAnsi="Times New Roman" w:cs="Times New Roman"/>
        </w:rPr>
        <w:t>creating a presumption of validity</w:t>
      </w:r>
      <w:r w:rsidR="0074091F" w:rsidRPr="00160C66">
        <w:rPr>
          <w:rFonts w:ascii="Times New Roman" w:hAnsi="Times New Roman" w:cs="Times New Roman"/>
        </w:rPr>
        <w:t>.</w:t>
      </w:r>
      <w:r w:rsidR="0074091F" w:rsidRPr="00160C66">
        <w:rPr>
          <w:rStyle w:val="FootnoteReference"/>
          <w:rFonts w:ascii="Times New Roman" w:hAnsi="Times New Roman" w:cs="Times New Roman"/>
        </w:rPr>
        <w:footnoteReference w:id="145"/>
      </w:r>
      <w:r w:rsidR="00FA5461">
        <w:rPr>
          <w:rFonts w:ascii="Times New Roman" w:hAnsi="Times New Roman" w:cs="Times New Roman"/>
        </w:rPr>
        <w:t xml:space="preserve"> </w:t>
      </w:r>
    </w:p>
    <w:p w14:paraId="6230450B" w14:textId="36B325F9" w:rsidR="0074091F" w:rsidRDefault="0074091F" w:rsidP="00AE538D">
      <w:pPr>
        <w:spacing w:line="480" w:lineRule="auto"/>
        <w:jc w:val="both"/>
        <w:rPr>
          <w:rFonts w:ascii="Times New Roman" w:hAnsi="Times New Roman" w:cs="Times New Roman"/>
        </w:rPr>
      </w:pPr>
      <w:r>
        <w:rPr>
          <w:rFonts w:ascii="Times New Roman" w:hAnsi="Times New Roman" w:cs="Times New Roman"/>
        </w:rPr>
        <w:t xml:space="preserve">That the provided examples grow increasingly controversial as one travels positively along the spectrum of legal authority should come as no surprise and illustrates the importance of context in determining how constitutionally valid the act of converting legislation to code might be. </w:t>
      </w:r>
      <w:r w:rsidR="001A3C0C">
        <w:rPr>
          <w:rFonts w:ascii="Times New Roman" w:hAnsi="Times New Roman" w:cs="Times New Roman"/>
        </w:rPr>
        <w:t xml:space="preserve">Indeed, if the </w:t>
      </w:r>
      <w:r w:rsidR="001A3C0C">
        <w:rPr>
          <w:rFonts w:ascii="Times New Roman" w:hAnsi="Times New Roman" w:cs="Times New Roman"/>
          <w:i/>
          <w:iCs/>
        </w:rPr>
        <w:t>Pintarich</w:t>
      </w:r>
      <w:r w:rsidR="001A3C0C">
        <w:rPr>
          <w:rFonts w:ascii="Times New Roman" w:hAnsi="Times New Roman" w:cs="Times New Roman"/>
        </w:rPr>
        <w:t xml:space="preserve"> decision holds, it would seem that an RaC application could never be taken to have binding outputs without some form of human interventio</w:t>
      </w:r>
      <w:r w:rsidR="003B7661">
        <w:rPr>
          <w:rFonts w:ascii="Times New Roman" w:hAnsi="Times New Roman" w:cs="Times New Roman"/>
        </w:rPr>
        <w:t>n, though this condition is not certain</w:t>
      </w:r>
      <w:r w:rsidR="00926552">
        <w:rPr>
          <w:rFonts w:ascii="Times New Roman" w:hAnsi="Times New Roman" w:cs="Times New Roman"/>
        </w:rPr>
        <w:t xml:space="preserve">. In his dissent, Kerr J argued that the ‘mental process’ element relied upon by the majority, stemming from Finn J in </w:t>
      </w:r>
      <w:r w:rsidR="00926552">
        <w:rPr>
          <w:rFonts w:ascii="Times New Roman" w:hAnsi="Times New Roman" w:cs="Times New Roman"/>
          <w:i/>
          <w:iCs/>
        </w:rPr>
        <w:t>Semunigus v Minister for Immigration and Multicultural Affairs</w:t>
      </w:r>
      <w:r w:rsidR="00926552" w:rsidRPr="00926552">
        <w:rPr>
          <w:rStyle w:val="FootnoteReference"/>
          <w:rFonts w:ascii="Times New Roman" w:hAnsi="Times New Roman" w:cs="Times New Roman"/>
        </w:rPr>
        <w:footnoteReference w:id="146"/>
      </w:r>
      <w:r w:rsidR="00206C14">
        <w:rPr>
          <w:rFonts w:ascii="Times New Roman" w:hAnsi="Times New Roman" w:cs="Times New Roman"/>
          <w:i/>
          <w:iCs/>
        </w:rPr>
        <w:t xml:space="preserve"> </w:t>
      </w:r>
      <w:r w:rsidR="00206C14">
        <w:rPr>
          <w:rFonts w:ascii="Times New Roman" w:hAnsi="Times New Roman" w:cs="Times New Roman"/>
        </w:rPr>
        <w:t>(“</w:t>
      </w:r>
      <w:r w:rsidR="00206C14">
        <w:rPr>
          <w:rFonts w:ascii="Times New Roman" w:hAnsi="Times New Roman" w:cs="Times New Roman"/>
          <w:i/>
          <w:iCs/>
        </w:rPr>
        <w:t>Semunigus</w:t>
      </w:r>
      <w:r w:rsidR="00206C14">
        <w:rPr>
          <w:rFonts w:ascii="Times New Roman" w:hAnsi="Times New Roman" w:cs="Times New Roman"/>
        </w:rPr>
        <w:t>”)</w:t>
      </w:r>
      <w:r w:rsidR="00926552">
        <w:rPr>
          <w:rFonts w:ascii="Times New Roman" w:hAnsi="Times New Roman" w:cs="Times New Roman"/>
          <w:i/>
          <w:iCs/>
        </w:rPr>
        <w:t xml:space="preserve"> </w:t>
      </w:r>
      <w:r w:rsidR="00926552">
        <w:rPr>
          <w:rFonts w:ascii="Times New Roman" w:hAnsi="Times New Roman" w:cs="Times New Roman"/>
        </w:rPr>
        <w:t xml:space="preserve">and accepted on </w:t>
      </w:r>
      <w:r w:rsidR="00926552">
        <w:rPr>
          <w:rFonts w:ascii="Times New Roman" w:hAnsi="Times New Roman" w:cs="Times New Roman"/>
        </w:rPr>
        <w:lastRenderedPageBreak/>
        <w:t>appeal to the Full Federal Court,</w:t>
      </w:r>
      <w:r w:rsidR="00926552">
        <w:rPr>
          <w:rStyle w:val="FootnoteReference"/>
          <w:rFonts w:ascii="Times New Roman" w:hAnsi="Times New Roman" w:cs="Times New Roman"/>
        </w:rPr>
        <w:footnoteReference w:id="147"/>
      </w:r>
      <w:r w:rsidR="00926552">
        <w:rPr>
          <w:rFonts w:ascii="Times New Roman" w:hAnsi="Times New Roman" w:cs="Times New Roman"/>
        </w:rPr>
        <w:t xml:space="preserve"> </w:t>
      </w:r>
      <w:r w:rsidR="00BB3D48">
        <w:rPr>
          <w:rFonts w:ascii="Times New Roman" w:hAnsi="Times New Roman" w:cs="Times New Roman"/>
        </w:rPr>
        <w:t xml:space="preserve">was misapplied because </w:t>
      </w:r>
      <w:r w:rsidR="00206C14">
        <w:rPr>
          <w:rFonts w:ascii="Times New Roman" w:hAnsi="Times New Roman" w:cs="Times New Roman"/>
        </w:rPr>
        <w:t xml:space="preserve">its establishment in </w:t>
      </w:r>
      <w:r w:rsidR="00206C14">
        <w:rPr>
          <w:rFonts w:ascii="Times New Roman" w:hAnsi="Times New Roman" w:cs="Times New Roman"/>
          <w:i/>
          <w:iCs/>
        </w:rPr>
        <w:t>Semunigus</w:t>
      </w:r>
      <w:r w:rsidR="00206C14">
        <w:rPr>
          <w:rFonts w:ascii="Times New Roman" w:hAnsi="Times New Roman" w:cs="Times New Roman"/>
        </w:rPr>
        <w:t xml:space="preserve"> lacked the </w:t>
      </w:r>
      <w:r w:rsidR="00BB3D48">
        <w:rPr>
          <w:rFonts w:ascii="Times New Roman" w:hAnsi="Times New Roman" w:cs="Times New Roman"/>
        </w:rPr>
        <w:t xml:space="preserve">context of </w:t>
      </w:r>
      <w:r w:rsidR="003E281F">
        <w:rPr>
          <w:rFonts w:ascii="Times New Roman" w:hAnsi="Times New Roman" w:cs="Times New Roman"/>
        </w:rPr>
        <w:t>intelligent, algorithmic decision-making systems</w:t>
      </w:r>
      <w:r w:rsidR="00206C14">
        <w:rPr>
          <w:rFonts w:ascii="Times New Roman" w:hAnsi="Times New Roman" w:cs="Times New Roman"/>
        </w:rPr>
        <w:t xml:space="preserve">, such as the system in question in </w:t>
      </w:r>
      <w:r w:rsidR="00206C14">
        <w:rPr>
          <w:rFonts w:ascii="Times New Roman" w:hAnsi="Times New Roman" w:cs="Times New Roman"/>
          <w:i/>
          <w:iCs/>
        </w:rPr>
        <w:t>Pintarich</w:t>
      </w:r>
      <w:r w:rsidR="00206C14">
        <w:rPr>
          <w:rFonts w:ascii="Times New Roman" w:hAnsi="Times New Roman" w:cs="Times New Roman"/>
        </w:rPr>
        <w:t>.</w:t>
      </w:r>
      <w:r w:rsidR="00206C14">
        <w:rPr>
          <w:rStyle w:val="FootnoteReference"/>
          <w:rFonts w:ascii="Times New Roman" w:hAnsi="Times New Roman" w:cs="Times New Roman"/>
        </w:rPr>
        <w:footnoteReference w:id="148"/>
      </w:r>
      <w:r w:rsidR="00206C14">
        <w:rPr>
          <w:rFonts w:ascii="Times New Roman" w:hAnsi="Times New Roman" w:cs="Times New Roman"/>
        </w:rPr>
        <w:t xml:space="preserve"> Justice Kerr </w:t>
      </w:r>
      <w:r w:rsidR="00D710FA">
        <w:rPr>
          <w:rFonts w:ascii="Times New Roman" w:hAnsi="Times New Roman" w:cs="Times New Roman"/>
        </w:rPr>
        <w:t xml:space="preserve">further </w:t>
      </w:r>
      <w:r w:rsidR="00206C14">
        <w:rPr>
          <w:rFonts w:ascii="Times New Roman" w:hAnsi="Times New Roman" w:cs="Times New Roman"/>
        </w:rPr>
        <w:t xml:space="preserve">argued that in light of the </w:t>
      </w:r>
      <w:r w:rsidR="00E94939">
        <w:rPr>
          <w:rFonts w:ascii="Times New Roman" w:hAnsi="Times New Roman" w:cs="Times New Roman"/>
        </w:rPr>
        <w:t>increasing</w:t>
      </w:r>
      <w:r w:rsidR="00206C14">
        <w:rPr>
          <w:rFonts w:ascii="Times New Roman" w:hAnsi="Times New Roman" w:cs="Times New Roman"/>
        </w:rPr>
        <w:t xml:space="preserve"> prevalence of such systems, the majority’s decision promoted </w:t>
      </w:r>
      <w:r w:rsidR="00D710FA">
        <w:rPr>
          <w:rFonts w:ascii="Times New Roman" w:hAnsi="Times New Roman" w:cs="Times New Roman"/>
        </w:rPr>
        <w:t xml:space="preserve">unfairness </w:t>
      </w:r>
      <w:r w:rsidR="00206C14">
        <w:rPr>
          <w:rFonts w:ascii="Times New Roman" w:hAnsi="Times New Roman" w:cs="Times New Roman"/>
        </w:rPr>
        <w:t>administrative uncertainty,</w:t>
      </w:r>
      <w:r w:rsidR="00206C14">
        <w:rPr>
          <w:rStyle w:val="FootnoteReference"/>
          <w:rFonts w:ascii="Times New Roman" w:hAnsi="Times New Roman" w:cs="Times New Roman"/>
        </w:rPr>
        <w:footnoteReference w:id="149"/>
      </w:r>
      <w:r w:rsidR="00206C14">
        <w:rPr>
          <w:rFonts w:ascii="Times New Roman" w:hAnsi="Times New Roman" w:cs="Times New Roman"/>
        </w:rPr>
        <w:t xml:space="preserve"> </w:t>
      </w:r>
      <w:r w:rsidR="00D710FA">
        <w:rPr>
          <w:rFonts w:ascii="Times New Roman" w:hAnsi="Times New Roman" w:cs="Times New Roman"/>
        </w:rPr>
        <w:t>and while the majority agreed that the outcome could lead to these unwelcome results,</w:t>
      </w:r>
      <w:r w:rsidR="00D710FA">
        <w:rPr>
          <w:rStyle w:val="FootnoteReference"/>
          <w:rFonts w:ascii="Times New Roman" w:hAnsi="Times New Roman" w:cs="Times New Roman"/>
        </w:rPr>
        <w:footnoteReference w:id="150"/>
      </w:r>
      <w:r w:rsidR="00D710FA">
        <w:rPr>
          <w:rFonts w:ascii="Times New Roman" w:hAnsi="Times New Roman" w:cs="Times New Roman"/>
        </w:rPr>
        <w:t xml:space="preserve"> they justified it by claim that such circumstances were “quite unusual” and “unlikely to arise very often”</w:t>
      </w:r>
      <w:r w:rsidR="008B1A98">
        <w:rPr>
          <w:rFonts w:ascii="Times New Roman" w:hAnsi="Times New Roman" w:cs="Times New Roman"/>
        </w:rPr>
        <w:t>.</w:t>
      </w:r>
      <w:r w:rsidR="008B1A98">
        <w:rPr>
          <w:rStyle w:val="FootnoteReference"/>
          <w:rFonts w:ascii="Times New Roman" w:hAnsi="Times New Roman" w:cs="Times New Roman"/>
        </w:rPr>
        <w:footnoteReference w:id="151"/>
      </w:r>
      <w:r w:rsidR="008B1A98">
        <w:rPr>
          <w:rFonts w:ascii="Times New Roman" w:hAnsi="Times New Roman" w:cs="Times New Roman"/>
        </w:rPr>
        <w:t xml:space="preserve"> While the High Court refused the opportunity to consider this,</w:t>
      </w:r>
      <w:r w:rsidR="008B1A98">
        <w:rPr>
          <w:rStyle w:val="FootnoteReference"/>
          <w:rFonts w:ascii="Times New Roman" w:hAnsi="Times New Roman" w:cs="Times New Roman"/>
        </w:rPr>
        <w:footnoteReference w:id="152"/>
      </w:r>
      <w:r w:rsidR="008B1A98">
        <w:rPr>
          <w:rFonts w:ascii="Times New Roman" w:hAnsi="Times New Roman" w:cs="Times New Roman"/>
        </w:rPr>
        <w:t xml:space="preserve"> the majority’s decision has been widely criticised for denying the </w:t>
      </w:r>
      <w:r w:rsidR="00E94939">
        <w:rPr>
          <w:rFonts w:ascii="Times New Roman" w:hAnsi="Times New Roman" w:cs="Times New Roman"/>
        </w:rPr>
        <w:t>growing</w:t>
      </w:r>
      <w:r w:rsidR="008B1A98">
        <w:rPr>
          <w:rFonts w:ascii="Times New Roman" w:hAnsi="Times New Roman" w:cs="Times New Roman"/>
        </w:rPr>
        <w:t xml:space="preserve"> dominance of automation</w:t>
      </w:r>
      <w:r w:rsidR="00E94939">
        <w:rPr>
          <w:rFonts w:ascii="Times New Roman" w:hAnsi="Times New Roman" w:cs="Times New Roman"/>
        </w:rPr>
        <w:t xml:space="preserve"> in administrative decision-making</w:t>
      </w:r>
      <w:r w:rsidR="003634F4">
        <w:rPr>
          <w:rFonts w:ascii="Times New Roman" w:hAnsi="Times New Roman" w:cs="Times New Roman"/>
        </w:rPr>
        <w:t>,</w:t>
      </w:r>
      <w:r w:rsidR="00F52DFA">
        <w:rPr>
          <w:rStyle w:val="FootnoteReference"/>
          <w:rFonts w:ascii="Times New Roman" w:hAnsi="Times New Roman" w:cs="Times New Roman"/>
        </w:rPr>
        <w:footnoteReference w:id="153"/>
      </w:r>
      <w:r w:rsidR="003634F4">
        <w:rPr>
          <w:rFonts w:ascii="Times New Roman" w:hAnsi="Times New Roman" w:cs="Times New Roman"/>
        </w:rPr>
        <w:t xml:space="preserve"> and given the vast majority of automated systems in administrative decision-making at present,</w:t>
      </w:r>
      <w:r w:rsidR="003634F4">
        <w:rPr>
          <w:rStyle w:val="FootnoteReference"/>
          <w:rFonts w:ascii="Times New Roman" w:hAnsi="Times New Roman" w:cs="Times New Roman"/>
        </w:rPr>
        <w:footnoteReference w:id="154"/>
      </w:r>
      <w:r w:rsidR="003634F4">
        <w:rPr>
          <w:rFonts w:ascii="Times New Roman" w:hAnsi="Times New Roman" w:cs="Times New Roman"/>
        </w:rPr>
        <w:t xml:space="preserve"> it seems unlikely that the </w:t>
      </w:r>
      <w:r w:rsidR="003634F4">
        <w:rPr>
          <w:rFonts w:ascii="Times New Roman" w:hAnsi="Times New Roman" w:cs="Times New Roman"/>
          <w:i/>
          <w:iCs/>
        </w:rPr>
        <w:t xml:space="preserve">Pintarich </w:t>
      </w:r>
      <w:r w:rsidR="003634F4">
        <w:rPr>
          <w:rFonts w:ascii="Times New Roman" w:hAnsi="Times New Roman" w:cs="Times New Roman"/>
        </w:rPr>
        <w:t>decision should be taken to apply to all automated decisions.</w:t>
      </w:r>
      <w:r w:rsidR="00E9200B">
        <w:rPr>
          <w:rStyle w:val="FootnoteReference"/>
          <w:rFonts w:ascii="Times New Roman" w:hAnsi="Times New Roman" w:cs="Times New Roman"/>
        </w:rPr>
        <w:footnoteReference w:id="155"/>
      </w:r>
      <w:r w:rsidR="003634F4">
        <w:rPr>
          <w:rFonts w:ascii="Times New Roman" w:hAnsi="Times New Roman" w:cs="Times New Roman"/>
        </w:rPr>
        <w:t xml:space="preserve"> Interestingly, the Australian Taxation Office appeared to distance itself from such a broad precedent, noting in the case’s Decision Impact Statement</w:t>
      </w:r>
      <w:r w:rsidR="003634F4">
        <w:rPr>
          <w:rStyle w:val="FootnoteReference"/>
          <w:rFonts w:ascii="Times New Roman" w:hAnsi="Times New Roman" w:cs="Times New Roman"/>
        </w:rPr>
        <w:footnoteReference w:id="156"/>
      </w:r>
      <w:r w:rsidR="00321CCD">
        <w:rPr>
          <w:rFonts w:ascii="Times New Roman" w:hAnsi="Times New Roman" w:cs="Times New Roman"/>
        </w:rPr>
        <w:t xml:space="preserve"> that, in contrast to Kerr J’s remarks, the facts did not involve the use of “automated ‘intelligent’ decision-making systems such as to lay down the application of some wider legal principle to such systems.”</w:t>
      </w:r>
      <w:r w:rsidR="00321CCD">
        <w:rPr>
          <w:rStyle w:val="FootnoteReference"/>
          <w:rFonts w:ascii="Times New Roman" w:hAnsi="Times New Roman" w:cs="Times New Roman"/>
        </w:rPr>
        <w:footnoteReference w:id="157"/>
      </w:r>
    </w:p>
    <w:p w14:paraId="20233552" w14:textId="031106DF" w:rsidR="008555DF" w:rsidRDefault="00882407" w:rsidP="00FC0B34">
      <w:pPr>
        <w:spacing w:line="480" w:lineRule="auto"/>
        <w:jc w:val="both"/>
        <w:rPr>
          <w:rFonts w:ascii="Times New Roman" w:hAnsi="Times New Roman" w:cs="Times New Roman"/>
        </w:rPr>
      </w:pPr>
      <w:r w:rsidRPr="00FC0B34">
        <w:rPr>
          <w:rFonts w:ascii="Times New Roman" w:hAnsi="Times New Roman" w:cs="Times New Roman"/>
        </w:rPr>
        <w:t xml:space="preserve">Of greater importance than the </w:t>
      </w:r>
      <w:r w:rsidRPr="00FC0B34">
        <w:rPr>
          <w:rFonts w:ascii="Times New Roman" w:hAnsi="Times New Roman" w:cs="Times New Roman"/>
          <w:i/>
          <w:iCs/>
        </w:rPr>
        <w:t>Pintarich</w:t>
      </w:r>
      <w:r w:rsidRPr="00FC0B34">
        <w:rPr>
          <w:rFonts w:ascii="Times New Roman" w:hAnsi="Times New Roman" w:cs="Times New Roman"/>
        </w:rPr>
        <w:t xml:space="preserve"> decision, however, is the constitutional issue raised in Section II.</w:t>
      </w:r>
      <w:r w:rsidR="00727ED7" w:rsidRPr="00FC0B34">
        <w:rPr>
          <w:rFonts w:ascii="Times New Roman" w:hAnsi="Times New Roman" w:cs="Times New Roman"/>
        </w:rPr>
        <w:t xml:space="preserve"> As noted previously, in the absence of literature addressing this issue, this paper analogises it to the question of authority vested in legislative translations present in multilingual jurisdictions, such as the </w:t>
      </w:r>
      <w:r w:rsidR="00727ED7" w:rsidRPr="00FC0B34">
        <w:rPr>
          <w:rFonts w:ascii="Times New Roman" w:hAnsi="Times New Roman" w:cs="Times New Roman"/>
        </w:rPr>
        <w:lastRenderedPageBreak/>
        <w:t>EU. In extending such an analogy, a hypothetical binding context within which RaC might be deployed is as a piece of digitised legislation which is wholly equal in authority to its non-digitised counterpart, in much the same way that a given translation of an EU legal text has equal authority to all other translations.</w:t>
      </w:r>
      <w:r w:rsidR="00727ED7">
        <w:rPr>
          <w:rStyle w:val="FootnoteReference"/>
          <w:rFonts w:ascii="Times New Roman" w:hAnsi="Times New Roman" w:cs="Times New Roman"/>
        </w:rPr>
        <w:footnoteReference w:id="158"/>
      </w:r>
      <w:r w:rsidR="005F4A4C" w:rsidRPr="00FC0B34">
        <w:rPr>
          <w:rFonts w:ascii="Times New Roman" w:hAnsi="Times New Roman" w:cs="Times New Roman"/>
        </w:rPr>
        <w:t xml:space="preserve"> </w:t>
      </w:r>
      <w:r w:rsidR="00C31F75" w:rsidRPr="00FC0B34">
        <w:rPr>
          <w:rFonts w:ascii="Times New Roman" w:hAnsi="Times New Roman" w:cs="Times New Roman"/>
        </w:rPr>
        <w:t>As highlighted in Section II, the SoP is arguably present within the EU’s constitutional framework</w:t>
      </w:r>
      <w:r w:rsidR="00392B16">
        <w:rPr>
          <w:rFonts w:ascii="Times New Roman" w:hAnsi="Times New Roman" w:cs="Times New Roman"/>
        </w:rPr>
        <w:t>, given that</w:t>
      </w:r>
      <w:r w:rsidR="008555DF" w:rsidRPr="00FC0B34">
        <w:rPr>
          <w:rFonts w:ascii="Times New Roman" w:hAnsi="Times New Roman" w:cs="Times New Roman"/>
        </w:rPr>
        <w:t xml:space="preserve"> the power to interpret treaties is vested in its courts,</w:t>
      </w:r>
      <w:r w:rsidR="004D7EC5">
        <w:rPr>
          <w:rStyle w:val="FootnoteReference"/>
          <w:rFonts w:ascii="Times New Roman" w:hAnsi="Times New Roman" w:cs="Times New Roman"/>
        </w:rPr>
        <w:footnoteReference w:id="159"/>
      </w:r>
      <w:r w:rsidR="008555DF" w:rsidRPr="00FC0B34">
        <w:rPr>
          <w:rFonts w:ascii="Times New Roman" w:hAnsi="Times New Roman" w:cs="Times New Roman"/>
        </w:rPr>
        <w:t xml:space="preserve"> just as the federal courts of Australia enjoy the power to interpret Commonwealth legislation.</w:t>
      </w:r>
      <w:r w:rsidR="004D7EC5">
        <w:rPr>
          <w:rStyle w:val="FootnoteReference"/>
          <w:rFonts w:ascii="Times New Roman" w:hAnsi="Times New Roman" w:cs="Times New Roman"/>
        </w:rPr>
        <w:footnoteReference w:id="160"/>
      </w:r>
      <w:r w:rsidR="008555DF" w:rsidRPr="00FC0B34">
        <w:rPr>
          <w:rFonts w:ascii="Times New Roman" w:hAnsi="Times New Roman" w:cs="Times New Roman"/>
        </w:rPr>
        <w:t xml:space="preserve"> Nonetheless, the role of translating EU legislation, one which inherently involves interpretation, is conducted outside of the judiciary. </w:t>
      </w:r>
      <w:r w:rsidR="00BA1346" w:rsidRPr="00FC0B34">
        <w:rPr>
          <w:rFonts w:ascii="Times New Roman" w:hAnsi="Times New Roman" w:cs="Times New Roman"/>
        </w:rPr>
        <w:t>Specifically</w:t>
      </w:r>
      <w:r w:rsidR="008555DF" w:rsidRPr="00FC0B34">
        <w:rPr>
          <w:rFonts w:ascii="Times New Roman" w:hAnsi="Times New Roman" w:cs="Times New Roman"/>
        </w:rPr>
        <w:t>, while translations are carried out by the Directorate-General for Translation,</w:t>
      </w:r>
      <w:r w:rsidR="008555DF" w:rsidRPr="00FF395A">
        <w:rPr>
          <w:rStyle w:val="FootnoteReference"/>
        </w:rPr>
        <w:footnoteReference w:id="161"/>
      </w:r>
      <w:r w:rsidR="008555DF" w:rsidRPr="00FC0B34">
        <w:rPr>
          <w:rFonts w:ascii="Times New Roman" w:hAnsi="Times New Roman" w:cs="Times New Roman"/>
        </w:rPr>
        <w:t>, an executive body,</w:t>
      </w:r>
      <w:r w:rsidR="008555DF" w:rsidRPr="00FF395A">
        <w:rPr>
          <w:rStyle w:val="FootnoteReference"/>
        </w:rPr>
        <w:footnoteReference w:id="162"/>
      </w:r>
      <w:r w:rsidR="008555DF" w:rsidRPr="00FC0B34">
        <w:rPr>
          <w:rFonts w:ascii="Times New Roman" w:hAnsi="Times New Roman" w:cs="Times New Roman"/>
        </w:rPr>
        <w:t xml:space="preserve"> they are technically drafted and published by </w:t>
      </w:r>
      <w:r w:rsidR="00BA1346" w:rsidRPr="00FC0B34">
        <w:rPr>
          <w:rFonts w:ascii="Times New Roman" w:hAnsi="Times New Roman" w:cs="Times New Roman"/>
        </w:rPr>
        <w:t>the Council of the European Union and the European Parliament</w:t>
      </w:r>
      <w:r w:rsidR="00FC0B34" w:rsidRPr="00FC0B34">
        <w:rPr>
          <w:rFonts w:ascii="Times New Roman" w:hAnsi="Times New Roman" w:cs="Times New Roman"/>
        </w:rPr>
        <w:t xml:space="preserve">, bodies of the </w:t>
      </w:r>
      <w:r w:rsidR="00BA1346" w:rsidRPr="00FC0B34">
        <w:rPr>
          <w:rFonts w:ascii="Times New Roman" w:hAnsi="Times New Roman" w:cs="Times New Roman"/>
        </w:rPr>
        <w:t>legislature</w:t>
      </w:r>
      <w:r w:rsidR="00FC0B34" w:rsidRPr="00FC0B34">
        <w:rPr>
          <w:rFonts w:ascii="Times New Roman" w:hAnsi="Times New Roman" w:cs="Times New Roman"/>
        </w:rPr>
        <w:t>,</w:t>
      </w:r>
      <w:r w:rsidR="008555DF">
        <w:rPr>
          <w:rStyle w:val="FootnoteReference"/>
          <w:rFonts w:ascii="Times New Roman" w:hAnsi="Times New Roman" w:cs="Times New Roman"/>
        </w:rPr>
        <w:footnoteReference w:id="163"/>
      </w:r>
      <w:r w:rsidR="00FC0B34" w:rsidRPr="00FC0B34">
        <w:rPr>
          <w:rFonts w:ascii="Times New Roman" w:hAnsi="Times New Roman" w:cs="Times New Roman"/>
        </w:rPr>
        <w:t xml:space="preserve"> in a process which blurs the SoP. In a departure from the analogy to Australia’s constitutional framework, however, the executive body of the EU, the European Commission, also operates as a legislative body and holds the sole right to legislative initiation.</w:t>
      </w:r>
      <w:r w:rsidR="00FC0B34">
        <w:rPr>
          <w:rStyle w:val="FootnoteReference"/>
          <w:rFonts w:ascii="Times New Roman" w:hAnsi="Times New Roman" w:cs="Times New Roman"/>
        </w:rPr>
        <w:footnoteReference w:id="164"/>
      </w:r>
      <w:r w:rsidR="00FC0B34" w:rsidRPr="00FC0B34">
        <w:rPr>
          <w:rFonts w:ascii="Times New Roman" w:hAnsi="Times New Roman" w:cs="Times New Roman"/>
        </w:rPr>
        <w:t xml:space="preserve"> In this sense, the entire translation process might be deemed to be carried out by the legislature, though the presence of the Directorate-General for Translation, an agency of the European Commission within its capacity as a body of the executive,</w:t>
      </w:r>
      <w:r w:rsidR="00FC0B34">
        <w:rPr>
          <w:rStyle w:val="FootnoteReference"/>
          <w:rFonts w:ascii="Times New Roman" w:hAnsi="Times New Roman" w:cs="Times New Roman"/>
        </w:rPr>
        <w:footnoteReference w:id="165"/>
      </w:r>
      <w:r w:rsidR="00FC0B34" w:rsidRPr="00FC0B34">
        <w:rPr>
          <w:rFonts w:ascii="Times New Roman" w:hAnsi="Times New Roman" w:cs="Times New Roman"/>
        </w:rPr>
        <w:t xml:space="preserve"> would upset this argument.</w:t>
      </w:r>
      <w:r w:rsidR="00FC0B34">
        <w:rPr>
          <w:rFonts w:ascii="Times New Roman" w:hAnsi="Times New Roman" w:cs="Times New Roman"/>
        </w:rPr>
        <w:t xml:space="preserve"> If then, the process of legislative translation in the EU is taken to consist of a recommendation – translation of the original law – by the executive to the legislature, followed by the drafting and publication of law matching this recommendation, then the resultant new laws could be taken not as interpretations, but as new drafts which are functionally equivalent to the original law. Encroachment upon the judicial power of interpretation, therefore, is avoided in entirety, and the SoP is upheld.</w:t>
      </w:r>
    </w:p>
    <w:p w14:paraId="34AAAA4A" w14:textId="1444C2B1" w:rsidR="00882407" w:rsidRPr="008555DF" w:rsidRDefault="00F44B9F" w:rsidP="00AE538D">
      <w:pPr>
        <w:spacing w:line="480" w:lineRule="auto"/>
        <w:jc w:val="both"/>
        <w:rPr>
          <w:rFonts w:ascii="Times New Roman" w:hAnsi="Times New Roman" w:cs="Times New Roman"/>
        </w:rPr>
      </w:pPr>
      <w:r>
        <w:rPr>
          <w:rFonts w:ascii="Times New Roman" w:hAnsi="Times New Roman" w:cs="Times New Roman"/>
        </w:rPr>
        <w:lastRenderedPageBreak/>
        <w:t>Similarly, in an Australian context considering RaC in the place of multilingual legislation, while the executive is forbidden from creating law,</w:t>
      </w:r>
      <w:r>
        <w:rPr>
          <w:rStyle w:val="FootnoteReference"/>
          <w:rFonts w:ascii="Times New Roman" w:hAnsi="Times New Roman" w:cs="Times New Roman"/>
        </w:rPr>
        <w:footnoteReference w:id="166"/>
      </w:r>
      <w:r>
        <w:rPr>
          <w:rFonts w:ascii="Times New Roman" w:hAnsi="Times New Roman" w:cs="Times New Roman"/>
        </w:rPr>
        <w:t xml:space="preserve"> there exists no such prohibition toward making recommendations to the legislature. Thus, if a body of the executive tasked with converting legislation into code made recommendations to Parliament, the latter’s publication of the digital legislation could be seen</w:t>
      </w:r>
      <w:r w:rsidR="004D7EC5">
        <w:rPr>
          <w:rFonts w:ascii="Times New Roman" w:hAnsi="Times New Roman" w:cs="Times New Roman"/>
        </w:rPr>
        <w:t xml:space="preserve"> by analogy</w:t>
      </w:r>
      <w:r>
        <w:rPr>
          <w:rFonts w:ascii="Times New Roman" w:hAnsi="Times New Roman" w:cs="Times New Roman"/>
        </w:rPr>
        <w:t xml:space="preserve"> to be entirely within the bounds of the SoP.</w:t>
      </w:r>
      <w:r>
        <w:rPr>
          <w:rStyle w:val="FootnoteReference"/>
          <w:rFonts w:ascii="Times New Roman" w:hAnsi="Times New Roman" w:cs="Times New Roman"/>
        </w:rPr>
        <w:footnoteReference w:id="167"/>
      </w:r>
      <w:r>
        <w:rPr>
          <w:rFonts w:ascii="Times New Roman" w:hAnsi="Times New Roman" w:cs="Times New Roman"/>
        </w:rPr>
        <w:t xml:space="preserve"> In this sense, constitutionally, there arguably is no reason that a</w:t>
      </w:r>
      <w:r w:rsidR="00E44343">
        <w:rPr>
          <w:rFonts w:ascii="Times New Roman" w:hAnsi="Times New Roman" w:cs="Times New Roman"/>
        </w:rPr>
        <w:t xml:space="preserve"> piece of digitised legislation could not be equal in authority to its standard counterpart. </w:t>
      </w:r>
      <w:r w:rsidR="004D7EC5">
        <w:rPr>
          <w:rFonts w:ascii="Times New Roman" w:hAnsi="Times New Roman" w:cs="Times New Roman"/>
        </w:rPr>
        <w:t>Of course, whether or not such authority should be applied to the output of an RaC application given accurate inputs is an entirely separate question.</w:t>
      </w:r>
    </w:p>
    <w:p w14:paraId="6357B92D" w14:textId="5B2355D8" w:rsidR="00B635C7" w:rsidRDefault="00B635C7" w:rsidP="00D837A9">
      <w:pPr>
        <w:spacing w:line="480" w:lineRule="auto"/>
        <w:jc w:val="both"/>
      </w:pPr>
      <w:r>
        <w:rPr>
          <w:rFonts w:ascii="Times New Roman" w:hAnsi="Times New Roman" w:cs="Times New Roman"/>
        </w:rPr>
        <w:t>Concerns of incorrect conclusions might be soothed</w:t>
      </w:r>
      <w:r w:rsidR="00D837A9">
        <w:rPr>
          <w:rFonts w:ascii="Times New Roman" w:hAnsi="Times New Roman" w:cs="Times New Roman"/>
        </w:rPr>
        <w:t xml:space="preserve"> through an overriding principal that, in the event of dispute, the judiciary may preference a standard legal text over its RaC counterpart. </w:t>
      </w:r>
      <w:r w:rsidR="006F1425">
        <w:rPr>
          <w:rFonts w:ascii="Times New Roman" w:hAnsi="Times New Roman" w:cs="Times New Roman"/>
        </w:rPr>
        <w:t>Despite the EU’s principal of lingual equality in law, e</w:t>
      </w:r>
      <w:r w:rsidR="00754C41">
        <w:t>arly CJEU cases would, at times, preference original legislative drafts over their translations</w:t>
      </w:r>
      <w:r w:rsidR="006F1425">
        <w:t>.</w:t>
      </w:r>
      <w:r w:rsidRPr="00FF395A">
        <w:rPr>
          <w:rStyle w:val="FootnoteReference"/>
        </w:rPr>
        <w:footnoteReference w:id="168"/>
      </w:r>
      <w:r>
        <w:t xml:space="preserve"> </w:t>
      </w:r>
      <w:r>
        <w:rPr>
          <w:i/>
          <w:iCs/>
        </w:rPr>
        <w:t>Stauder v City of Ulm</w:t>
      </w:r>
      <w:r w:rsidR="006F1425">
        <w:t>,</w:t>
      </w:r>
      <w:r w:rsidRPr="00FF395A">
        <w:rPr>
          <w:rStyle w:val="FootnoteReference"/>
        </w:rPr>
        <w:footnoteReference w:id="169"/>
      </w:r>
      <w:r w:rsidR="006F1425">
        <w:t xml:space="preserve"> for example,</w:t>
      </w:r>
      <w:r>
        <w:rPr>
          <w:i/>
          <w:iCs/>
        </w:rPr>
        <w:t xml:space="preserve"> </w:t>
      </w:r>
      <w:r>
        <w:t xml:space="preserve">saw </w:t>
      </w:r>
      <w:r w:rsidR="006F1425">
        <w:t>the original draft of a regulation in</w:t>
      </w:r>
      <w:r>
        <w:t xml:space="preserve"> French accepted over</w:t>
      </w:r>
      <w:r w:rsidR="006F1425">
        <w:t xml:space="preserve"> its equally reasonable</w:t>
      </w:r>
      <w:r>
        <w:t xml:space="preserve"> German and Dutch </w:t>
      </w:r>
      <w:r w:rsidR="006F1425">
        <w:t>translations</w:t>
      </w:r>
      <w:r>
        <w:t>, with the court concluding that the variation in the latter two must have stemmed from translational errors.</w:t>
      </w:r>
      <w:r w:rsidRPr="00FF395A">
        <w:rPr>
          <w:rStyle w:val="FootnoteReference"/>
        </w:rPr>
        <w:footnoteReference w:id="170"/>
      </w:r>
      <w:r>
        <w:t xml:space="preserve"> Solan notes that this approach is the “functional equivalent of selecting an official language” and that as such, it has been used less in recent years so as to avoid encroaching on the sovereignty and equality of its members.</w:t>
      </w:r>
      <w:r w:rsidRPr="00FF395A">
        <w:rPr>
          <w:rStyle w:val="FootnoteReference"/>
        </w:rPr>
        <w:footnoteReference w:id="171"/>
      </w:r>
      <w:r>
        <w:t xml:space="preserve"> While such concerns are perfectly </w:t>
      </w:r>
      <w:r w:rsidR="00D05024">
        <w:t>valid</w:t>
      </w:r>
      <w:r>
        <w:t xml:space="preserve">, </w:t>
      </w:r>
      <w:r w:rsidR="00D05024">
        <w:t>no such concerns could be reasonably applied to the relationship of digital and non-digital legislation</w:t>
      </w:r>
      <w:r>
        <w:t xml:space="preserve">, and </w:t>
      </w:r>
      <w:r w:rsidR="00D05024">
        <w:t>thus, a principal recognising the latter as more authoritative in the event of a dispute is likely to be uncontroversial</w:t>
      </w:r>
      <w:r w:rsidR="00014D3D">
        <w:t>.</w:t>
      </w:r>
      <w:r w:rsidR="00D05024">
        <w:rPr>
          <w:rStyle w:val="FootnoteReference"/>
        </w:rPr>
        <w:footnoteReference w:id="172"/>
      </w:r>
      <w:r w:rsidR="00014D3D">
        <w:t xml:space="preserve"> </w:t>
      </w:r>
      <w:r w:rsidR="00C31F75">
        <w:t xml:space="preserve">Indeed, identifying an RaC application as legally inferior to standard legislation could allow it to be deemed ‘delegated legislation’ as prepared by a body of the executive, as opposed to a ‘copy’ and, therefore, </w:t>
      </w:r>
      <w:r w:rsidR="00C31F75">
        <w:lastRenderedPageBreak/>
        <w:t>interpretation of the given act,</w:t>
      </w:r>
      <w:r w:rsidR="00C31F75">
        <w:rPr>
          <w:rStyle w:val="FootnoteReference"/>
        </w:rPr>
        <w:footnoteReference w:id="173"/>
      </w:r>
      <w:r w:rsidR="00C31F75">
        <w:t xml:space="preserve"> and in this sense, avoid breaching or blurring the SoP beyond those breaches which are already present in the numerous regulations prescribed by administrative bodies.</w:t>
      </w:r>
    </w:p>
    <w:p w14:paraId="46E35107" w14:textId="51C982EE" w:rsidR="001C1F2A" w:rsidRDefault="00607F92" w:rsidP="00D837A9">
      <w:pPr>
        <w:spacing w:line="480" w:lineRule="auto"/>
        <w:jc w:val="both"/>
      </w:pPr>
      <w:r>
        <w:t xml:space="preserve">In light of such drafting processes, it should therefore be clear how the multilingual approach might inform where an RaC application might fit along the spectrum of legal authority. </w:t>
      </w:r>
      <w:r w:rsidR="001C1F2A">
        <w:t>Following the approach adopted by monolingual nations with diversified populations, the application might be considered merely advisory but lacking legal force,</w:t>
      </w:r>
      <w:r w:rsidR="001C1F2A">
        <w:rPr>
          <w:rStyle w:val="FootnoteReference"/>
        </w:rPr>
        <w:footnoteReference w:id="174"/>
      </w:r>
      <w:r w:rsidR="001C1F2A">
        <w:t xml:space="preserve"> presenting a solution to the status quo issue raised in Section II of inefficiency in development of private compliance systems. While a judicially influential categorisation would be largely redundant given how rarely Chapter III disputes reach the courts,</w:t>
      </w:r>
      <w:r w:rsidR="001C1F2A">
        <w:rPr>
          <w:rStyle w:val="FootnoteReference"/>
        </w:rPr>
        <w:footnoteReference w:id="175"/>
      </w:r>
      <w:r w:rsidR="001C1F2A">
        <w:t xml:space="preserve"> the EU approach sheds light on how an RaC application could be accepted as binding, insofar that the SoP is concerned, but whether such a solution should be adopted in practice depends largely upon how accurately it represents the letter of the law.</w:t>
      </w:r>
    </w:p>
    <w:p w14:paraId="411F283E" w14:textId="77777777" w:rsidR="00B635C7" w:rsidRPr="00B635C7" w:rsidRDefault="00B635C7" w:rsidP="00B635C7">
      <w:pPr>
        <w:spacing w:line="480" w:lineRule="auto"/>
        <w:jc w:val="both"/>
        <w:rPr>
          <w:rFonts w:ascii="Times New Roman" w:hAnsi="Times New Roman" w:cs="Times New Roman"/>
        </w:rPr>
      </w:pPr>
    </w:p>
    <w:p w14:paraId="257715FC" w14:textId="77777777" w:rsidR="00AB280C" w:rsidRDefault="00AB280C" w:rsidP="00AB280C">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 Obviously the outputted conclusions of such a system could only be binding so far as the inputs relied upon are accurate. – Is a decision still binding where the facts relied upon are false? TODO</w:t>
      </w:r>
    </w:p>
    <w:p w14:paraId="44A1364B" w14:textId="77777777" w:rsidR="00E44343" w:rsidRPr="00E44343" w:rsidRDefault="00E44343" w:rsidP="00E44343">
      <w:pPr>
        <w:pStyle w:val="ListParagraph"/>
        <w:spacing w:line="480" w:lineRule="auto"/>
        <w:ind w:left="1440"/>
        <w:jc w:val="both"/>
        <w:rPr>
          <w:rFonts w:ascii="Times New Roman" w:hAnsi="Times New Roman" w:cs="Times New Roman"/>
        </w:rPr>
      </w:pPr>
    </w:p>
    <w:p w14:paraId="35C72969" w14:textId="77ACBF33" w:rsidR="00096FD9" w:rsidRDefault="00096FD9" w:rsidP="00096FD9">
      <w:pPr>
        <w:spacing w:line="480" w:lineRule="auto"/>
        <w:jc w:val="center"/>
        <w:rPr>
          <w:rFonts w:ascii="Times New Roman" w:hAnsi="Times New Roman" w:cs="Times New Roman"/>
          <w:i/>
          <w:iCs/>
          <w:sz w:val="24"/>
          <w:szCs w:val="24"/>
        </w:rPr>
      </w:pPr>
      <w:r>
        <w:rPr>
          <w:rFonts w:ascii="Times New Roman" w:hAnsi="Times New Roman" w:cs="Times New Roman"/>
          <w:sz w:val="24"/>
          <w:szCs w:val="24"/>
        </w:rPr>
        <w:t>B</w:t>
      </w:r>
      <w:r w:rsidRPr="00B67F00">
        <w:rPr>
          <w:rFonts w:ascii="Times New Roman" w:hAnsi="Times New Roman" w:cs="Times New Roman"/>
          <w:sz w:val="24"/>
          <w:szCs w:val="24"/>
        </w:rPr>
        <w:t xml:space="preserve"> </w:t>
      </w:r>
      <w:r>
        <w:rPr>
          <w:rFonts w:ascii="Times New Roman" w:hAnsi="Times New Roman" w:cs="Times New Roman"/>
          <w:i/>
          <w:iCs/>
          <w:sz w:val="24"/>
          <w:szCs w:val="24"/>
        </w:rPr>
        <w:t>Fidelity</w:t>
      </w:r>
    </w:p>
    <w:p w14:paraId="392FED35" w14:textId="64E58C23" w:rsidR="00E44343" w:rsidRDefault="00E44343" w:rsidP="00E44343">
      <w:pPr>
        <w:spacing w:line="480" w:lineRule="auto"/>
        <w:jc w:val="both"/>
        <w:rPr>
          <w:rFonts w:ascii="Times New Roman" w:hAnsi="Times New Roman" w:cs="Times New Roman"/>
        </w:rPr>
      </w:pPr>
      <w:r w:rsidRPr="00E44343">
        <w:rPr>
          <w:rFonts w:ascii="Times New Roman" w:hAnsi="Times New Roman" w:cs="Times New Roman"/>
        </w:rPr>
        <w:t>In main</w:t>
      </w:r>
      <w:r>
        <w:rPr>
          <w:rFonts w:ascii="Times New Roman" w:hAnsi="Times New Roman" w:cs="Times New Roman"/>
        </w:rPr>
        <w:t>taining fidelity throughout the coding process, a combination of the modern approach to statutory interpretation,</w:t>
      </w:r>
      <w:r>
        <w:rPr>
          <w:rStyle w:val="FootnoteReference"/>
          <w:rFonts w:ascii="Times New Roman" w:hAnsi="Times New Roman" w:cs="Times New Roman"/>
        </w:rPr>
        <w:footnoteReference w:id="176"/>
      </w:r>
      <w:r>
        <w:rPr>
          <w:rFonts w:ascii="Times New Roman" w:hAnsi="Times New Roman" w:cs="Times New Roman"/>
        </w:rPr>
        <w:t xml:space="preserve"> embodied in </w:t>
      </w:r>
      <w:r>
        <w:rPr>
          <w:rFonts w:ascii="Times New Roman" w:hAnsi="Times New Roman" w:cs="Times New Roman"/>
          <w:i/>
          <w:iCs/>
        </w:rPr>
        <w:t>Project Blue Sky v Australian Broadcasting Authority</w:t>
      </w:r>
      <w:r w:rsidRPr="00E44343">
        <w:rPr>
          <w:rStyle w:val="FootnoteReference"/>
          <w:rFonts w:ascii="Times New Roman" w:hAnsi="Times New Roman" w:cs="Times New Roman"/>
        </w:rPr>
        <w:footnoteReference w:id="177"/>
      </w:r>
      <w:r>
        <w:rPr>
          <w:rFonts w:ascii="Times New Roman" w:hAnsi="Times New Roman" w:cs="Times New Roman"/>
          <w:i/>
          <w:iCs/>
        </w:rPr>
        <w:t xml:space="preserve"> </w:t>
      </w:r>
      <w:r>
        <w:rPr>
          <w:rFonts w:ascii="Times New Roman" w:hAnsi="Times New Roman" w:cs="Times New Roman"/>
        </w:rPr>
        <w:t>(“</w:t>
      </w:r>
      <w:r>
        <w:rPr>
          <w:rFonts w:ascii="Times New Roman" w:hAnsi="Times New Roman" w:cs="Times New Roman"/>
          <w:i/>
          <w:iCs/>
        </w:rPr>
        <w:t>Project Blue Sky”</w:t>
      </w:r>
      <w:r>
        <w:rPr>
          <w:rFonts w:ascii="Times New Roman" w:hAnsi="Times New Roman" w:cs="Times New Roman"/>
        </w:rPr>
        <w:t>)</w:t>
      </w:r>
    </w:p>
    <w:p w14:paraId="06487240" w14:textId="28E06B6F" w:rsidR="00E462F3" w:rsidRDefault="00E462F3" w:rsidP="00A16C74">
      <w:pPr>
        <w:pStyle w:val="ListParagraph"/>
        <w:numPr>
          <w:ilvl w:val="0"/>
          <w:numId w:val="9"/>
        </w:numPr>
        <w:spacing w:line="480" w:lineRule="auto"/>
        <w:jc w:val="both"/>
        <w:rPr>
          <w:rFonts w:ascii="Times New Roman" w:hAnsi="Times New Roman" w:cs="Times New Roman"/>
        </w:rPr>
      </w:pPr>
      <w:r w:rsidRPr="002A65A3">
        <w:rPr>
          <w:rFonts w:ascii="Times New Roman" w:hAnsi="Times New Roman" w:cs="Times New Roman"/>
        </w:rPr>
        <w:lastRenderedPageBreak/>
        <w:t xml:space="preserve">Solan </w:t>
      </w:r>
      <w:r w:rsidR="002A65A3" w:rsidRPr="002A65A3">
        <w:rPr>
          <w:rFonts w:ascii="Times New Roman" w:hAnsi="Times New Roman" w:cs="Times New Roman"/>
        </w:rPr>
        <w:t>shows</w:t>
      </w:r>
      <w:r w:rsidRPr="002A65A3">
        <w:rPr>
          <w:rFonts w:ascii="Times New Roman" w:hAnsi="Times New Roman" w:cs="Times New Roman"/>
        </w:rPr>
        <w:t xml:space="preserve"> that</w:t>
      </w:r>
      <w:r w:rsidR="002A65A3" w:rsidRPr="002A65A3">
        <w:rPr>
          <w:rFonts w:ascii="Times New Roman" w:hAnsi="Times New Roman" w:cs="Times New Roman"/>
        </w:rPr>
        <w:t>, rather than a hinderance, the CJEU has viewed the wide variety of translations available as a “unique kind of evidence of purpose”,</w:t>
      </w:r>
      <w:r w:rsidR="002A65A3">
        <w:rPr>
          <w:rStyle w:val="FootnoteReference"/>
          <w:rFonts w:ascii="Times New Roman" w:hAnsi="Times New Roman" w:cs="Times New Roman"/>
        </w:rPr>
        <w:footnoteReference w:id="178"/>
      </w:r>
      <w:r w:rsidR="002A65A3" w:rsidRPr="002A65A3">
        <w:rPr>
          <w:rFonts w:ascii="Times New Roman" w:hAnsi="Times New Roman" w:cs="Times New Roman"/>
        </w:rPr>
        <w:t xml:space="preserve"> serving as a further tool into the intent of the legislature. Indeed, in this context, and in light of the potential drafting process explored in the prior subsection, the presence of a translation of legislation into logical</w:t>
      </w:r>
      <w:r w:rsidR="002A65A3">
        <w:rPr>
          <w:rFonts w:ascii="Times New Roman" w:hAnsi="Times New Roman" w:cs="Times New Roman"/>
        </w:rPr>
        <w:t xml:space="preserve"> code could help to outline its true intent.</w:t>
      </w:r>
    </w:p>
    <w:p w14:paraId="44864B47" w14:textId="05D29FD3" w:rsidR="002378E1" w:rsidRDefault="002378E1" w:rsidP="00A16C74">
      <w:pPr>
        <w:pStyle w:val="ListParagraph"/>
        <w:numPr>
          <w:ilvl w:val="0"/>
          <w:numId w:val="9"/>
        </w:numPr>
        <w:spacing w:line="480" w:lineRule="auto"/>
        <w:jc w:val="both"/>
        <w:rPr>
          <w:rFonts w:ascii="Times New Roman" w:hAnsi="Times New Roman" w:cs="Times New Roman"/>
        </w:rPr>
      </w:pPr>
      <w:r>
        <w:rPr>
          <w:rFonts w:ascii="Times New Roman" w:hAnsi="Times New Roman" w:cs="Times New Roman"/>
        </w:rPr>
        <w:t>(cutting down of repetition (ie 133? I think?) is justified in context of multilingual translative strategies) – In Canada, legal translators had no interpretative powers and were required to translate the source text to the exact word, even where such translation was superfluous. However, when that changed there was no harm seen</w:t>
      </w:r>
      <w:r w:rsidR="00607F92">
        <w:rPr>
          <w:rFonts w:ascii="Times New Roman" w:hAnsi="Times New Roman" w:cs="Times New Roman"/>
        </w:rPr>
        <w:t>, and the Canadian Parliament has established English and French translations as being identical in legal content, intent and effect.</w:t>
      </w:r>
      <w:r>
        <w:rPr>
          <w:rFonts w:ascii="Times New Roman" w:hAnsi="Times New Roman" w:cs="Times New Roman"/>
        </w:rPr>
        <w:t xml:space="preserve"> (Ashgate page 240</w:t>
      </w:r>
      <w:r w:rsidR="00607F92">
        <w:rPr>
          <w:rFonts w:ascii="Times New Roman" w:hAnsi="Times New Roman" w:cs="Times New Roman"/>
        </w:rPr>
        <w:t>, also Didier in Ashgate at 240</w:t>
      </w:r>
      <w:r>
        <w:rPr>
          <w:rFonts w:ascii="Times New Roman" w:hAnsi="Times New Roman" w:cs="Times New Roman"/>
        </w:rPr>
        <w:t>)</w:t>
      </w:r>
    </w:p>
    <w:p w14:paraId="3C06ACB2" w14:textId="77777777" w:rsidR="00E462F3" w:rsidRPr="00E462F3" w:rsidRDefault="00E462F3" w:rsidP="00E462F3">
      <w:pPr>
        <w:pStyle w:val="ListParagraph"/>
        <w:spacing w:line="480" w:lineRule="auto"/>
        <w:jc w:val="both"/>
        <w:rPr>
          <w:rFonts w:ascii="Times New Roman" w:hAnsi="Times New Roman" w:cs="Times New Roman"/>
        </w:rPr>
      </w:pPr>
    </w:p>
    <w:p w14:paraId="7C732FA3" w14:textId="51D39A8F" w:rsidR="00E9200B" w:rsidRPr="00E44343" w:rsidRDefault="00E9200B" w:rsidP="00E44343">
      <w:pPr>
        <w:spacing w:line="480" w:lineRule="auto"/>
        <w:jc w:val="both"/>
        <w:rPr>
          <w:rFonts w:ascii="Times New Roman" w:hAnsi="Times New Roman" w:cs="Times New Roman"/>
        </w:rPr>
      </w:pPr>
      <w:r>
        <w:rPr>
          <w:rFonts w:ascii="Times New Roman" w:hAnsi="Times New Roman" w:cs="Times New Roman"/>
        </w:rPr>
        <w:t>TODO Courts generally cannot provide advice without cause (find authority), however, UK courts have overridden this</w:t>
      </w:r>
      <w:r>
        <w:rPr>
          <w:rStyle w:val="FootnoteReference"/>
          <w:rFonts w:ascii="Times New Roman" w:hAnsi="Times New Roman" w:cs="Times New Roman"/>
        </w:rPr>
        <w:footnoteReference w:id="179"/>
      </w:r>
    </w:p>
    <w:p w14:paraId="2594ACBD" w14:textId="77777777" w:rsidR="00096FD9" w:rsidRPr="00852A53" w:rsidRDefault="00096FD9" w:rsidP="00096FD9">
      <w:pPr>
        <w:pStyle w:val="ListParagraph"/>
        <w:numPr>
          <w:ilvl w:val="0"/>
          <w:numId w:val="8"/>
        </w:numPr>
        <w:rPr>
          <w:strike/>
        </w:rPr>
      </w:pPr>
      <w:r w:rsidRPr="00852A53">
        <w:rPr>
          <w:strike/>
        </w:rPr>
        <w:t>Augustinian interpretation (Using multiple versions of the same law) is popular in multilingual interpretation, but cannot really apply to Australian rules as code.</w:t>
      </w:r>
    </w:p>
    <w:p w14:paraId="73C05D46" w14:textId="77777777" w:rsidR="00096FD9" w:rsidRDefault="00096FD9" w:rsidP="001D223E">
      <w:pPr>
        <w:spacing w:line="480" w:lineRule="auto"/>
      </w:pPr>
    </w:p>
    <w:p w14:paraId="189F48AA" w14:textId="77777777" w:rsidR="00096FD9" w:rsidRDefault="00096FD9" w:rsidP="001D223E">
      <w:pPr>
        <w:spacing w:line="480" w:lineRule="auto"/>
        <w:rPr>
          <w:rFonts w:ascii="Times New Roman" w:hAnsi="Times New Roman" w:cs="Times New Roman"/>
        </w:rPr>
      </w:pPr>
    </w:p>
    <w:p w14:paraId="29E941FD" w14:textId="3694796E" w:rsidR="00577AE0" w:rsidRDefault="00577AE0" w:rsidP="00577AE0">
      <w:pPr>
        <w:spacing w:line="480" w:lineRule="auto"/>
        <w:jc w:val="center"/>
        <w:rPr>
          <w:rFonts w:ascii="Times New Roman" w:hAnsi="Times New Roman" w:cs="Times New Roman"/>
          <w:sz w:val="24"/>
          <w:szCs w:val="24"/>
        </w:rPr>
      </w:pPr>
      <w:r>
        <w:rPr>
          <w:rFonts w:ascii="Times New Roman" w:hAnsi="Times New Roman" w:cs="Times New Roman"/>
          <w:sz w:val="28"/>
          <w:szCs w:val="28"/>
        </w:rPr>
        <w:t>V</w:t>
      </w:r>
      <w:r w:rsidR="00151CC4">
        <w:rPr>
          <w:rFonts w:ascii="Times New Roman" w:hAnsi="Times New Roman" w:cs="Times New Roman"/>
          <w:sz w:val="28"/>
          <w:szCs w:val="28"/>
        </w:rPr>
        <w:t>I</w:t>
      </w:r>
      <w:r w:rsidRPr="00B67F00">
        <w:rPr>
          <w:rFonts w:ascii="Times New Roman" w:hAnsi="Times New Roman" w:cs="Times New Roman"/>
          <w:sz w:val="28"/>
          <w:szCs w:val="28"/>
        </w:rPr>
        <w:tab/>
      </w:r>
      <w:r>
        <w:rPr>
          <w:rFonts w:ascii="Times New Roman" w:hAnsi="Times New Roman" w:cs="Times New Roman"/>
          <w:sz w:val="28"/>
          <w:szCs w:val="28"/>
        </w:rPr>
        <w:t>C</w:t>
      </w:r>
      <w:r>
        <w:rPr>
          <w:rFonts w:ascii="Times New Roman" w:hAnsi="Times New Roman" w:cs="Times New Roman"/>
          <w:sz w:val="24"/>
          <w:szCs w:val="24"/>
        </w:rPr>
        <w:t>ONCLUSIONS</w:t>
      </w:r>
    </w:p>
    <w:p w14:paraId="305EC3E7" w14:textId="0BA00602" w:rsidR="009003EA" w:rsidRDefault="009003EA" w:rsidP="009003EA">
      <w:pPr>
        <w:spacing w:line="480" w:lineRule="auto"/>
        <w:jc w:val="both"/>
        <w:rPr>
          <w:strike/>
          <w:sz w:val="24"/>
          <w:szCs w:val="24"/>
        </w:rPr>
      </w:pPr>
      <w:r w:rsidRPr="009003EA">
        <w:rPr>
          <w:rFonts w:ascii="Times New Roman" w:hAnsi="Times New Roman" w:cs="Times New Roman"/>
          <w:strike/>
          <w:sz w:val="24"/>
          <w:szCs w:val="24"/>
        </w:rPr>
        <w:t xml:space="preserve">This programming approach was consistent with the judicial decision-making process deployed in Chapter III determinations by emulating the object-oriented approach taken in </w:t>
      </w:r>
      <w:r w:rsidRPr="009003EA">
        <w:rPr>
          <w:i/>
          <w:iCs/>
          <w:strike/>
          <w:sz w:val="24"/>
          <w:szCs w:val="24"/>
        </w:rPr>
        <w:t>Australian Securities and Investments Commission v Westpac Banking Corporation,</w:t>
      </w:r>
      <w:r w:rsidRPr="009003EA">
        <w:rPr>
          <w:rStyle w:val="FootnoteReference"/>
          <w:i/>
          <w:iCs/>
          <w:strike/>
          <w:sz w:val="24"/>
          <w:szCs w:val="24"/>
        </w:rPr>
        <w:footnoteReference w:id="180"/>
      </w:r>
      <w:r w:rsidRPr="009003EA">
        <w:rPr>
          <w:strike/>
          <w:sz w:val="24"/>
          <w:szCs w:val="24"/>
        </w:rPr>
        <w:t xml:space="preserve"> in which it was held that, contrary to the primary judge’s view,</w:t>
      </w:r>
      <w:r w:rsidRPr="009003EA">
        <w:rPr>
          <w:rStyle w:val="FootnoteReference"/>
          <w:strike/>
          <w:sz w:val="24"/>
          <w:szCs w:val="24"/>
        </w:rPr>
        <w:footnoteReference w:id="181"/>
      </w:r>
      <w:r w:rsidRPr="009003EA">
        <w:rPr>
          <w:strike/>
          <w:sz w:val="24"/>
          <w:szCs w:val="24"/>
        </w:rPr>
        <w:t xml:space="preserve"> an ‘assessment’ for the </w:t>
      </w:r>
      <w:r w:rsidRPr="009003EA">
        <w:rPr>
          <w:strike/>
          <w:sz w:val="24"/>
          <w:szCs w:val="24"/>
        </w:rPr>
        <w:lastRenderedPageBreak/>
        <w:t>purposes of Division 3</w:t>
      </w:r>
      <w:r w:rsidRPr="009003EA">
        <w:rPr>
          <w:rStyle w:val="FootnoteReference"/>
          <w:strike/>
          <w:sz w:val="24"/>
          <w:szCs w:val="24"/>
        </w:rPr>
        <w:footnoteReference w:id="182"/>
      </w:r>
      <w:r w:rsidRPr="009003EA">
        <w:rPr>
          <w:strike/>
          <w:sz w:val="24"/>
          <w:szCs w:val="24"/>
        </w:rPr>
        <w:t xml:space="preserve"> was a legal construct that persisted across provisions regardless of whether it was valid</w:t>
      </w:r>
    </w:p>
    <w:p w14:paraId="1C870B10"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Australia has embraced a non-formalist legal approach by the very nature of its common law system and the modern approach to statutory interpretation, and this has extended beyond the judiciary to the legislature as well.</w:t>
      </w:r>
    </w:p>
    <w:p w14:paraId="03C0355D"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Much of the law of the Commonwealth, including the NCCP Act, is written in a way which is simply incompatible with the absolute formalist who abides by the notion that the role of the courts is simply to be the mouthpiece of the law.</w:t>
      </w:r>
    </w:p>
    <w:p w14:paraId="7FCBEE5F" w14:textId="77777777" w:rsidR="00F64D9C" w:rsidRPr="00F64D9C" w:rsidRDefault="00F64D9C" w:rsidP="00F64D9C">
      <w:pPr>
        <w:pStyle w:val="ListParagraph"/>
        <w:numPr>
          <w:ilvl w:val="0"/>
          <w:numId w:val="10"/>
        </w:numPr>
        <w:spacing w:line="480" w:lineRule="auto"/>
        <w:rPr>
          <w:rFonts w:ascii="Times New Roman" w:hAnsi="Times New Roman" w:cs="Times New Roman"/>
          <w:strike/>
          <w:sz w:val="24"/>
          <w:szCs w:val="24"/>
        </w:rPr>
      </w:pPr>
      <w:r w:rsidRPr="00F64D9C">
        <w:rPr>
          <w:rFonts w:ascii="Times New Roman" w:hAnsi="Times New Roman" w:cs="Times New Roman"/>
          <w:strike/>
          <w:sz w:val="24"/>
          <w:szCs w:val="24"/>
        </w:rPr>
        <w:t>This became apparent ear</w:t>
      </w:r>
    </w:p>
    <w:p w14:paraId="1513328D" w14:textId="77777777" w:rsidR="00F64D9C" w:rsidRPr="000E274A" w:rsidRDefault="00F64D9C" w:rsidP="009003EA">
      <w:pPr>
        <w:spacing w:line="480" w:lineRule="auto"/>
        <w:jc w:val="both"/>
        <w:rPr>
          <w:rFonts w:ascii="Times New Roman" w:hAnsi="Times New Roman" w:cs="Times New Roman"/>
          <w:sz w:val="24"/>
          <w:szCs w:val="24"/>
        </w:rPr>
      </w:pPr>
    </w:p>
    <w:p w14:paraId="3E8E39ED" w14:textId="77777777" w:rsidR="009003EA" w:rsidRDefault="009003EA" w:rsidP="009003EA">
      <w:pPr>
        <w:spacing w:line="480" w:lineRule="auto"/>
        <w:jc w:val="both"/>
        <w:rPr>
          <w:rFonts w:ascii="Times New Roman" w:hAnsi="Times New Roman" w:cs="Times New Roman"/>
          <w:sz w:val="24"/>
          <w:szCs w:val="24"/>
        </w:rPr>
      </w:pPr>
    </w:p>
    <w:p w14:paraId="6062E5CB" w14:textId="77777777" w:rsidR="001152C3" w:rsidRDefault="001152C3" w:rsidP="001D223E">
      <w:pPr>
        <w:spacing w:line="480" w:lineRule="auto"/>
        <w:rPr>
          <w:rFonts w:ascii="Times New Roman" w:hAnsi="Times New Roman" w:cs="Times New Roman"/>
        </w:rPr>
      </w:pPr>
    </w:p>
    <w:p w14:paraId="1214AF30" w14:textId="790343FA" w:rsidR="002228A5" w:rsidRDefault="002228A5" w:rsidP="009B18B4">
      <w:pPr>
        <w:spacing w:line="480" w:lineRule="auto"/>
        <w:jc w:val="center"/>
        <w:rPr>
          <w:rFonts w:ascii="Times New Roman" w:hAnsi="Times New Roman" w:cs="Times New Roman"/>
          <w:sz w:val="24"/>
          <w:szCs w:val="24"/>
        </w:rPr>
      </w:pPr>
      <w:r w:rsidRPr="00B67F00">
        <w:rPr>
          <w:rFonts w:ascii="Times New Roman" w:hAnsi="Times New Roman" w:cs="Times New Roman"/>
          <w:sz w:val="28"/>
          <w:szCs w:val="28"/>
        </w:rPr>
        <w:t>V</w:t>
      </w:r>
      <w:r w:rsidR="00577AE0">
        <w:rPr>
          <w:rFonts w:ascii="Times New Roman" w:hAnsi="Times New Roman" w:cs="Times New Roman"/>
          <w:sz w:val="28"/>
          <w:szCs w:val="28"/>
        </w:rPr>
        <w:t>I</w:t>
      </w:r>
      <w:r w:rsidR="00151CC4">
        <w:rPr>
          <w:rFonts w:ascii="Times New Roman" w:hAnsi="Times New Roman" w:cs="Times New Roman"/>
          <w:sz w:val="28"/>
          <w:szCs w:val="28"/>
        </w:rPr>
        <w:t>I</w:t>
      </w:r>
      <w:r w:rsidRPr="00B67F00">
        <w:rPr>
          <w:rFonts w:ascii="Times New Roman" w:hAnsi="Times New Roman" w:cs="Times New Roman"/>
          <w:sz w:val="28"/>
          <w:szCs w:val="28"/>
        </w:rPr>
        <w:tab/>
        <w:t>B</w:t>
      </w:r>
      <w:r w:rsidRPr="00B67F00">
        <w:rPr>
          <w:rFonts w:ascii="Times New Roman" w:hAnsi="Times New Roman" w:cs="Times New Roman"/>
          <w:sz w:val="24"/>
          <w:szCs w:val="24"/>
        </w:rPr>
        <w:t>IBLIOGRAPHY</w:t>
      </w:r>
    </w:p>
    <w:p w14:paraId="377058EB" w14:textId="3F294B70" w:rsidR="0037367B" w:rsidRPr="00157B24" w:rsidRDefault="0037367B"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 xml:space="preserve">A </w:t>
      </w:r>
      <w:r w:rsidRPr="00157B24">
        <w:rPr>
          <w:rFonts w:ascii="Times New Roman" w:hAnsi="Times New Roman" w:cs="Times New Roman"/>
          <w:i/>
          <w:iCs/>
          <w:sz w:val="24"/>
          <w:szCs w:val="24"/>
        </w:rPr>
        <w:t>Articles/Books/Reports</w:t>
      </w:r>
    </w:p>
    <w:p w14:paraId="0B3ED310" w14:textId="0433CCE1" w:rsidR="00E9200B" w:rsidRPr="00E9200B" w:rsidRDefault="00E9200B" w:rsidP="00141674">
      <w:pPr>
        <w:spacing w:line="480" w:lineRule="auto"/>
        <w:ind w:firstLine="720"/>
        <w:rPr>
          <w:rFonts w:ascii="Times New Roman" w:hAnsi="Times New Roman" w:cs="Times New Roman"/>
          <w:sz w:val="20"/>
          <w:szCs w:val="20"/>
        </w:rPr>
      </w:pPr>
      <w:r w:rsidRPr="00E9200B">
        <w:rPr>
          <w:rFonts w:ascii="Times New Roman" w:hAnsi="Times New Roman" w:cs="Times New Roman"/>
          <w:sz w:val="20"/>
          <w:szCs w:val="24"/>
        </w:rPr>
        <w:t xml:space="preserve">Administrative Review Council, </w:t>
      </w:r>
      <w:r w:rsidRPr="00E9200B">
        <w:rPr>
          <w:rFonts w:ascii="Times New Roman" w:hAnsi="Times New Roman" w:cs="Times New Roman"/>
          <w:i/>
          <w:iCs/>
          <w:sz w:val="20"/>
          <w:szCs w:val="24"/>
        </w:rPr>
        <w:t>Automated Assistance in Administrative Decision Making</w:t>
      </w:r>
      <w:r w:rsidRPr="00E9200B">
        <w:rPr>
          <w:rFonts w:ascii="Times New Roman" w:hAnsi="Times New Roman" w:cs="Times New Roman"/>
          <w:sz w:val="20"/>
          <w:szCs w:val="24"/>
        </w:rPr>
        <w:t xml:space="preserve"> (No 46) vii &lt;https://www.ag.gov.au/legal-system/publications/report-46-automated-assistance-administrative-decision-making-2004&gt;</w:t>
      </w:r>
    </w:p>
    <w:p w14:paraId="24607400" w14:textId="42928D2D" w:rsidR="001F1318" w:rsidRPr="00157B24" w:rsidRDefault="001F1318"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Ainsworth, Janet, King Kui Sin, ‘Lost in Translation? Linguistic Diversity and the Elusive Quest for Plain Meaning in the Law’ in </w:t>
      </w:r>
      <w:r w:rsidRPr="00157B24">
        <w:rPr>
          <w:rFonts w:ascii="Times New Roman" w:hAnsi="Times New Roman" w:cs="Times New Roman"/>
          <w:i/>
          <w:iCs/>
          <w:sz w:val="20"/>
          <w:szCs w:val="20"/>
        </w:rPr>
        <w:t>The Ashgate Handbook of Legal Translation</w:t>
      </w:r>
      <w:r w:rsidRPr="00157B24">
        <w:rPr>
          <w:rFonts w:ascii="Times New Roman" w:hAnsi="Times New Roman" w:cs="Times New Roman"/>
          <w:sz w:val="20"/>
          <w:szCs w:val="20"/>
        </w:rPr>
        <w:t xml:space="preserve"> (Routledge, 2016) 43 &lt;http://www.taylorfrancis.com/books/e/9781315612706&gt;</w:t>
      </w:r>
    </w:p>
    <w:p w14:paraId="2791758A" w14:textId="517F86BA"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Angwin, Julia, and Jeff Larson, ‘ProPublica Responds to Company’s Critique of Machine Bias Story’, </w:t>
      </w:r>
      <w:r w:rsidRPr="00157B24">
        <w:rPr>
          <w:rFonts w:ascii="Times New Roman" w:hAnsi="Times New Roman" w:cs="Times New Roman"/>
          <w:i/>
          <w:iCs/>
          <w:sz w:val="20"/>
          <w:szCs w:val="20"/>
        </w:rPr>
        <w:t>ProPublica</w:t>
      </w:r>
      <w:r w:rsidRPr="00157B24">
        <w:rPr>
          <w:rFonts w:ascii="Times New Roman" w:hAnsi="Times New Roman" w:cs="Times New Roman"/>
          <w:sz w:val="20"/>
          <w:szCs w:val="20"/>
        </w:rPr>
        <w:t xml:space="preserve"> (online, 29 July 2016) &lt;https://www.propublica.org/article/propublica-responds-to-companys-critique-of-machine-bias-story&gt;</w:t>
      </w:r>
    </w:p>
    <w:p w14:paraId="7B76EE8F" w14:textId="72C26B0B"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Allen, Layman, and C Engholm, ‘Normalized Legal Drafting and the Query Method’ (1978) 29 </w:t>
      </w:r>
      <w:r w:rsidRPr="00157B24">
        <w:rPr>
          <w:rFonts w:ascii="Times New Roman" w:hAnsi="Times New Roman" w:cs="Times New Roman"/>
          <w:i/>
          <w:iCs/>
          <w:sz w:val="20"/>
          <w:szCs w:val="20"/>
        </w:rPr>
        <w:t>Journal of Legal Education</w:t>
      </w:r>
      <w:r w:rsidRPr="00157B24">
        <w:rPr>
          <w:rFonts w:ascii="Times New Roman" w:hAnsi="Times New Roman" w:cs="Times New Roman"/>
          <w:sz w:val="20"/>
          <w:szCs w:val="20"/>
        </w:rPr>
        <w:t xml:space="preserve"> 380</w:t>
      </w:r>
    </w:p>
    <w:p w14:paraId="1CAAEF65"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Australian Small Business and Family Enterprise Ombudsman, Submission No 46.1 to Select Committee on Financial Technology and Regulatory Technology, Parliament of Australia, (26 June 2020)</w:t>
      </w:r>
    </w:p>
    <w:p w14:paraId="6120FB0E" w14:textId="7AD158E5"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Blackshield, A.R., </w:t>
      </w:r>
      <w:r w:rsidRPr="00157B24">
        <w:rPr>
          <w:rFonts w:ascii="Times New Roman" w:hAnsi="Times New Roman" w:cs="Times New Roman"/>
          <w:i/>
          <w:iCs/>
          <w:sz w:val="20"/>
          <w:szCs w:val="20"/>
        </w:rPr>
        <w:t>Australian Constitutional Law and Theory: Commentary and Materials</w:t>
      </w:r>
      <w:r w:rsidRPr="00157B24">
        <w:rPr>
          <w:rFonts w:ascii="Times New Roman" w:hAnsi="Times New Roman" w:cs="Times New Roman"/>
          <w:sz w:val="20"/>
          <w:szCs w:val="20"/>
        </w:rPr>
        <w:t xml:space="preserve"> (Federation Press, 5th ed. abridged., 2010) 8–12 (‘</w:t>
      </w:r>
      <w:r w:rsidRPr="00157B24">
        <w:rPr>
          <w:rFonts w:ascii="Times New Roman" w:hAnsi="Times New Roman" w:cs="Times New Roman"/>
          <w:i/>
          <w:iCs/>
          <w:sz w:val="20"/>
          <w:szCs w:val="20"/>
        </w:rPr>
        <w:t>Australian Constitutional Law and Theory</w:t>
      </w:r>
      <w:r w:rsidRPr="00157B24">
        <w:rPr>
          <w:rFonts w:ascii="Times New Roman" w:hAnsi="Times New Roman" w:cs="Times New Roman"/>
          <w:sz w:val="20"/>
          <w:szCs w:val="20"/>
        </w:rPr>
        <w:t>’)</w:t>
      </w:r>
    </w:p>
    <w:p w14:paraId="64AEAA84" w14:textId="1169B443"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Commonwealth, Royal Commission into Misconduct in the Banking, Superannuation and Financial Services Industry, </w:t>
      </w:r>
      <w:r w:rsidRPr="00157B24">
        <w:rPr>
          <w:rFonts w:ascii="Times New Roman" w:hAnsi="Times New Roman" w:cs="Times New Roman"/>
          <w:i/>
          <w:iCs/>
          <w:sz w:val="20"/>
          <w:szCs w:val="20"/>
        </w:rPr>
        <w:t>Final Report</w:t>
      </w:r>
      <w:r w:rsidRPr="00157B24">
        <w:rPr>
          <w:rFonts w:ascii="Times New Roman" w:hAnsi="Times New Roman" w:cs="Times New Roman"/>
          <w:sz w:val="20"/>
          <w:szCs w:val="20"/>
        </w:rPr>
        <w:t xml:space="preserve"> (2019)</w:t>
      </w:r>
    </w:p>
    <w:p w14:paraId="1F3520D8" w14:textId="0AFA2D8F" w:rsidR="00F95749" w:rsidRPr="00F95749" w:rsidRDefault="00F95749" w:rsidP="0037367B">
      <w:pPr>
        <w:spacing w:line="480" w:lineRule="auto"/>
        <w:ind w:firstLine="720"/>
        <w:rPr>
          <w:rFonts w:ascii="Times New Roman" w:hAnsi="Times New Roman" w:cs="Times New Roman"/>
          <w:sz w:val="20"/>
          <w:szCs w:val="20"/>
        </w:rPr>
      </w:pPr>
      <w:r w:rsidRPr="00F95749">
        <w:rPr>
          <w:rFonts w:ascii="Times New Roman" w:hAnsi="Times New Roman" w:cs="Times New Roman"/>
          <w:sz w:val="20"/>
          <w:szCs w:val="24"/>
        </w:rPr>
        <w:t>Connelly,</w:t>
      </w:r>
      <w:r>
        <w:rPr>
          <w:rFonts w:ascii="Times New Roman" w:hAnsi="Times New Roman" w:cs="Times New Roman"/>
          <w:sz w:val="20"/>
          <w:szCs w:val="24"/>
        </w:rPr>
        <w:t xml:space="preserve"> Jeff,</w:t>
      </w:r>
      <w:r w:rsidRPr="00F95749">
        <w:rPr>
          <w:rFonts w:ascii="Times New Roman" w:hAnsi="Times New Roman" w:cs="Times New Roman"/>
          <w:sz w:val="20"/>
          <w:szCs w:val="24"/>
        </w:rPr>
        <w:t xml:space="preserve"> ‘Ternary Computing Testbed 3-Trit Computer Architecture’ (2008) 8, 58–59 &lt;http://xyzzy.freeshell.org/trinary/CPE%20Report%20-%20Ternary%20Computing%20Testbed%20-%20RC6a.pdf&gt;</w:t>
      </w:r>
    </w:p>
    <w:p w14:paraId="1BD065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Deloitte Australia, ‘Get out of Your Own Way: Unleashing Productivity’ (2014) &lt;https://www2.deloitte.com/au/en/pages/building-lucky-country/articles/get-out-of-your-own-way.html&gt;</w:t>
      </w:r>
    </w:p>
    <w:p w14:paraId="618D26E0" w14:textId="6A872828"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Donaldson, Toby, ‘Python as a First Programming Language for Everyone’ (2003) &lt;http://www.cs.ubc.ca/wccce/Program03/papers/Toby.html&gt;</w:t>
      </w:r>
    </w:p>
    <w:p w14:paraId="0DF9FE72" w14:textId="11CC3154"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Green, Ben, and Salomé Viljoen, ‘Algorithmic Realism: Expanding the Boundaries of Algorithmic Thought’ in </w:t>
      </w:r>
      <w:r w:rsidRPr="00157B24">
        <w:rPr>
          <w:rFonts w:ascii="Times New Roman" w:hAnsi="Times New Roman" w:cs="Times New Roman"/>
          <w:i/>
          <w:iCs/>
          <w:sz w:val="20"/>
          <w:szCs w:val="20"/>
        </w:rPr>
        <w:t>Proceedings of the 2020 Conference on Fairness, Accountability, and Transparency</w:t>
      </w:r>
      <w:r w:rsidRPr="00157B24">
        <w:rPr>
          <w:rFonts w:ascii="Times New Roman" w:hAnsi="Times New Roman" w:cs="Times New Roman"/>
          <w:sz w:val="20"/>
          <w:szCs w:val="20"/>
        </w:rPr>
        <w:t xml:space="preserve"> (ACM, 2020) 19 &lt;http://dl.acm.org/doi/10.1145/3351095.3372840&gt;</w:t>
      </w:r>
    </w:p>
    <w:p w14:paraId="6F8EC516" w14:textId="3C2FB9D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Government Information Services, </w:t>
      </w:r>
      <w:r w:rsidRPr="00157B24">
        <w:rPr>
          <w:rFonts w:ascii="Times New Roman" w:hAnsi="Times New Roman" w:cs="Times New Roman"/>
          <w:i/>
          <w:iCs/>
          <w:sz w:val="20"/>
          <w:szCs w:val="20"/>
        </w:rPr>
        <w:t>Better Rules for Government</w:t>
      </w:r>
      <w:r w:rsidRPr="00157B24">
        <w:rPr>
          <w:rFonts w:ascii="Times New Roman" w:hAnsi="Times New Roman" w:cs="Times New Roman"/>
          <w:sz w:val="20"/>
          <w:szCs w:val="20"/>
        </w:rPr>
        <w:t xml:space="preserve"> (Discovery Report, Department of Internal Affairs, New Zealand Government, March 2018) 21–24 &lt;https://www.digital.govt.nz/dmsdocument/95-better-rules-for-government-discovery-report/html,-pseudocode-and-software-code#examples-of-legislation,-pseudocode-and-software-code&gt;</w:t>
      </w:r>
    </w:p>
    <w:p w14:paraId="2FB06107" w14:textId="0D1DB195"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Hayek, Friedrich, </w:t>
      </w:r>
      <w:r w:rsidRPr="00157B24">
        <w:rPr>
          <w:rFonts w:ascii="Times New Roman" w:hAnsi="Times New Roman" w:cs="Times New Roman"/>
          <w:i/>
          <w:iCs/>
          <w:sz w:val="20"/>
          <w:szCs w:val="20"/>
        </w:rPr>
        <w:t>Rules and Order</w:t>
      </w:r>
      <w:r w:rsidRPr="00157B24">
        <w:rPr>
          <w:rFonts w:ascii="Times New Roman" w:hAnsi="Times New Roman" w:cs="Times New Roman"/>
          <w:sz w:val="20"/>
          <w:szCs w:val="20"/>
        </w:rPr>
        <w:t xml:space="preserve">, vol 1 (University of Chicago Press, 1973) </w:t>
      </w:r>
    </w:p>
    <w:p w14:paraId="17BC232B" w14:textId="500D659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Horrigan, Bryan, ‘Australian Legal Principles in Practice – Taking Reasoning and Research Seriously’ (1993) 9 </w:t>
      </w:r>
      <w:r w:rsidRPr="00157B24">
        <w:rPr>
          <w:rFonts w:ascii="Times New Roman" w:hAnsi="Times New Roman" w:cs="Times New Roman"/>
          <w:i/>
          <w:iCs/>
          <w:sz w:val="20"/>
          <w:szCs w:val="20"/>
        </w:rPr>
        <w:t>Queensland University of Technology Law Journal</w:t>
      </w:r>
      <w:r w:rsidRPr="00157B24">
        <w:rPr>
          <w:rFonts w:ascii="Times New Roman" w:hAnsi="Times New Roman" w:cs="Times New Roman"/>
          <w:sz w:val="20"/>
          <w:szCs w:val="20"/>
        </w:rPr>
        <w:t xml:space="preserve"> 159</w:t>
      </w:r>
    </w:p>
    <w:p w14:paraId="532BDC72" w14:textId="4097B9B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Hustler, Allen, </w:t>
      </w:r>
      <w:r w:rsidRPr="00157B24">
        <w:rPr>
          <w:rFonts w:ascii="Times New Roman" w:hAnsi="Times New Roman" w:cs="Times New Roman"/>
          <w:i/>
          <w:iCs/>
          <w:sz w:val="20"/>
          <w:szCs w:val="20"/>
        </w:rPr>
        <w:t>Programming Law in Logic</w:t>
      </w:r>
      <w:r w:rsidRPr="00157B24">
        <w:rPr>
          <w:rFonts w:ascii="Times New Roman" w:hAnsi="Times New Roman" w:cs="Times New Roman"/>
          <w:sz w:val="20"/>
          <w:szCs w:val="20"/>
        </w:rPr>
        <w:t xml:space="preserve"> (Research Report No CS-82-13, May 1982) &lt;http://www.softwarepreservation.org/projects/prolog/waterloo/doc/Hustler-Programming_Law_in_Logic-CS_82_13_Waterloo-1982.pdf&gt;</w:t>
      </w:r>
    </w:p>
    <w:p w14:paraId="1591601E" w14:textId="03203FCD"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Kirby, Michael, ‘“Judicial Activism”? A Riposte to the Counter-Reformation’ 11 </w:t>
      </w:r>
      <w:r w:rsidRPr="00157B24">
        <w:rPr>
          <w:rFonts w:ascii="Times New Roman" w:hAnsi="Times New Roman" w:cs="Times New Roman"/>
          <w:i/>
          <w:iCs/>
          <w:sz w:val="20"/>
          <w:szCs w:val="20"/>
        </w:rPr>
        <w:t>Otago Law Review</w:t>
      </w:r>
      <w:r w:rsidRPr="00157B24">
        <w:rPr>
          <w:rFonts w:ascii="Times New Roman" w:hAnsi="Times New Roman" w:cs="Times New Roman"/>
          <w:sz w:val="20"/>
          <w:szCs w:val="20"/>
        </w:rPr>
        <w:t xml:space="preserve"> 1</w:t>
      </w:r>
    </w:p>
    <w:p w14:paraId="54B4DA34" w14:textId="0DE7ED90"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p>
    <w:p w14:paraId="3923E019" w14:textId="133EB2A9"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Lance A Miller, ‘Natural Language Programming: Styles, Strategies, and Contrasts’ (1981) 20(2) </w:t>
      </w:r>
      <w:r w:rsidRPr="00157B24">
        <w:rPr>
          <w:rFonts w:ascii="Times New Roman" w:hAnsi="Times New Roman" w:cs="Times New Roman"/>
          <w:i/>
          <w:iCs/>
          <w:sz w:val="20"/>
          <w:szCs w:val="20"/>
        </w:rPr>
        <w:t>IBM Systems Journal</w:t>
      </w:r>
      <w:r w:rsidRPr="00157B24">
        <w:rPr>
          <w:rFonts w:ascii="Times New Roman" w:hAnsi="Times New Roman" w:cs="Times New Roman"/>
          <w:sz w:val="20"/>
          <w:szCs w:val="20"/>
        </w:rPr>
        <w:t xml:space="preserve"> 184</w:t>
      </w:r>
    </w:p>
    <w:p w14:paraId="6758C9D2" w14:textId="5443619E"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Larson, Jeff et al, ‘How We Analyzed the COMPAS Recidivism Algorithm’, ProPublica (online, 23 May 2016) &lt;https://www.propublica.org/article/how-we-analyzed-the-compas-recidivism-algorithm&gt;</w:t>
      </w:r>
    </w:p>
    <w:p w14:paraId="237EF937" w14:textId="10004E82"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Leiter, Brian, ‘Positivism, Formalism, Realism’, ed Anthony Sebok (1999) 99(4) </w:t>
      </w:r>
      <w:r w:rsidRPr="00157B24">
        <w:rPr>
          <w:rFonts w:ascii="Times New Roman" w:hAnsi="Times New Roman" w:cs="Times New Roman"/>
          <w:i/>
          <w:iCs/>
          <w:sz w:val="20"/>
          <w:szCs w:val="20"/>
        </w:rPr>
        <w:t>Columbia Law Review</w:t>
      </w:r>
      <w:r w:rsidRPr="00157B24">
        <w:rPr>
          <w:rFonts w:ascii="Times New Roman" w:hAnsi="Times New Roman" w:cs="Times New Roman"/>
          <w:sz w:val="20"/>
          <w:szCs w:val="20"/>
        </w:rPr>
        <w:t xml:space="preserve"> 1138</w:t>
      </w:r>
    </w:p>
    <w:p w14:paraId="3058E571" w14:textId="21704FE0"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Leith, Philip, ‘The Rise and Fall of the Legal Expert System’ (2016) 30(3) </w:t>
      </w:r>
      <w:r w:rsidRPr="00157B24">
        <w:rPr>
          <w:rFonts w:ascii="Times New Roman" w:hAnsi="Times New Roman" w:cs="Times New Roman"/>
          <w:i/>
          <w:iCs/>
          <w:sz w:val="20"/>
          <w:szCs w:val="20"/>
        </w:rPr>
        <w:t>International Review of Law, Computers &amp; Technology</w:t>
      </w:r>
      <w:r w:rsidRPr="00157B24">
        <w:rPr>
          <w:rFonts w:ascii="Times New Roman" w:hAnsi="Times New Roman" w:cs="Times New Roman"/>
          <w:sz w:val="20"/>
          <w:szCs w:val="20"/>
        </w:rPr>
        <w:t xml:space="preserve"> 94</w:t>
      </w:r>
    </w:p>
    <w:p w14:paraId="6CB506FC" w14:textId="1965522B" w:rsidR="001F1318" w:rsidRPr="00157B24" w:rsidRDefault="001F1318"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Leping, Vambola, et al, ‘Python Prevails’ in </w:t>
      </w:r>
      <w:r w:rsidRPr="00157B24">
        <w:rPr>
          <w:rFonts w:ascii="Times New Roman" w:hAnsi="Times New Roman" w:cs="Times New Roman"/>
          <w:i/>
          <w:iCs/>
          <w:sz w:val="20"/>
          <w:szCs w:val="20"/>
        </w:rPr>
        <w:t>Proceedings of the International Conference on Computer Systems and Technologies and Workshop for PhD Students in Computing</w:t>
      </w:r>
      <w:r w:rsidRPr="00157B24">
        <w:rPr>
          <w:rFonts w:ascii="Times New Roman" w:hAnsi="Times New Roman" w:cs="Times New Roman"/>
          <w:sz w:val="20"/>
          <w:szCs w:val="20"/>
        </w:rPr>
        <w:t xml:space="preserve"> (Association for Computing Machinery, 2009) 1</w:t>
      </w:r>
    </w:p>
    <w:p w14:paraId="5D66E908" w14:textId="6CD39C2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Liu, Han-Wie, Ching-Fu Lin and Yu-Jie Chen, ‘Beyond State v. Loomis: Artificial Intelligence, Government Algorithmization, and Accountability’ (2019) 27(2) </w:t>
      </w:r>
      <w:r w:rsidRPr="00157B24">
        <w:rPr>
          <w:rFonts w:ascii="Times New Roman" w:hAnsi="Times New Roman" w:cs="Times New Roman"/>
          <w:i/>
          <w:iCs/>
          <w:sz w:val="20"/>
          <w:szCs w:val="20"/>
        </w:rPr>
        <w:t>International Journal of Law and Information Technology</w:t>
      </w:r>
      <w:r w:rsidRPr="00157B24">
        <w:rPr>
          <w:rFonts w:ascii="Times New Roman" w:hAnsi="Times New Roman" w:cs="Times New Roman"/>
          <w:sz w:val="20"/>
          <w:szCs w:val="20"/>
        </w:rPr>
        <w:t xml:space="preserve"> 121</w:t>
      </w:r>
    </w:p>
    <w:p w14:paraId="0D1B1390" w14:textId="32B8FBD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Locke, John, </w:t>
      </w:r>
      <w:r w:rsidRPr="00157B24">
        <w:rPr>
          <w:rFonts w:ascii="Times New Roman" w:hAnsi="Times New Roman" w:cs="Times New Roman"/>
          <w:i/>
          <w:iCs/>
          <w:sz w:val="20"/>
          <w:szCs w:val="20"/>
        </w:rPr>
        <w:t>Two Treatises</w:t>
      </w:r>
      <w:r w:rsidRPr="00157B24">
        <w:rPr>
          <w:rFonts w:ascii="Times New Roman" w:hAnsi="Times New Roman" w:cs="Times New Roman"/>
          <w:sz w:val="20"/>
          <w:szCs w:val="20"/>
        </w:rPr>
        <w:t xml:space="preserve"> (Awnsham Churchill, 1689) §137 &lt;https://oll.libertyfund.org/pages/john-locke-two-treatises-1689&gt;</w:t>
      </w:r>
    </w:p>
    <w:p w14:paraId="5006AE99" w14:textId="794D904A"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MacRae, Duncan C, ‘User Control Knowledge in a Tax Consulting System’ (1986) 19(17) </w:t>
      </w:r>
      <w:r w:rsidRPr="00157B24">
        <w:rPr>
          <w:rFonts w:ascii="Times New Roman" w:hAnsi="Times New Roman" w:cs="Times New Roman"/>
          <w:i/>
          <w:iCs/>
          <w:sz w:val="20"/>
          <w:szCs w:val="20"/>
        </w:rPr>
        <w:t>IFAC Proceedings Volumes</w:t>
      </w:r>
      <w:r w:rsidRPr="00157B24">
        <w:rPr>
          <w:rFonts w:ascii="Times New Roman" w:hAnsi="Times New Roman" w:cs="Times New Roman"/>
          <w:sz w:val="20"/>
          <w:szCs w:val="20"/>
        </w:rPr>
        <w:t xml:space="preserve"> 193</w:t>
      </w:r>
    </w:p>
    <w:p w14:paraId="2FA54CC9" w14:textId="18ADAA05"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Matczak, Marcin, ‘Why Judicial Formalism Is Incompatible with the Rule of Law’ [2016] </w:t>
      </w:r>
      <w:r w:rsidRPr="00157B24">
        <w:rPr>
          <w:rFonts w:ascii="Times New Roman" w:hAnsi="Times New Roman" w:cs="Times New Roman"/>
          <w:i/>
          <w:iCs/>
          <w:sz w:val="20"/>
          <w:szCs w:val="20"/>
        </w:rPr>
        <w:t>SSRN Electronic Journal</w:t>
      </w:r>
    </w:p>
    <w:p w14:paraId="4726614F" w14:textId="350AEB1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McIntyre, Joe, ‘CSIRO Wants Our Laws Turned into Computer Code. Here’s Why That’s a Bad Idea’, </w:t>
      </w:r>
      <w:r w:rsidRPr="00157B24">
        <w:rPr>
          <w:rFonts w:ascii="Times New Roman" w:hAnsi="Times New Roman" w:cs="Times New Roman"/>
          <w:i/>
          <w:iCs/>
          <w:sz w:val="20"/>
          <w:szCs w:val="20"/>
        </w:rPr>
        <w:t>The Conversation</w:t>
      </w:r>
      <w:r w:rsidRPr="00157B24">
        <w:rPr>
          <w:rFonts w:ascii="Times New Roman" w:hAnsi="Times New Roman" w:cs="Times New Roman"/>
          <w:sz w:val="20"/>
          <w:szCs w:val="20"/>
        </w:rPr>
        <w:t xml:space="preserve"> (20 January 2020) &lt;http://theconversation.com/csiro-wants-our-laws-turned-into-computer-code-heres-why-thats-a-bad-idea-130131&gt;</w:t>
      </w:r>
    </w:p>
    <w:p w14:paraId="643CBE76" w14:textId="6FED478E" w:rsidR="00861183" w:rsidRPr="00157B24" w:rsidRDefault="00861183"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McLeod, Ian, ‘Literal and Purposive Techniques of Legislative Interpretation:  Some European Community and English Common Law Perspective’ (2004) 29(3) </w:t>
      </w:r>
      <w:r w:rsidRPr="00157B24">
        <w:rPr>
          <w:rFonts w:ascii="Times New Roman" w:hAnsi="Times New Roman" w:cs="Times New Roman"/>
          <w:i/>
          <w:iCs/>
          <w:sz w:val="20"/>
          <w:szCs w:val="20"/>
        </w:rPr>
        <w:t>Brooklyn Journal of International Law</w:t>
      </w:r>
      <w:r w:rsidRPr="00157B24">
        <w:rPr>
          <w:rFonts w:ascii="Times New Roman" w:hAnsi="Times New Roman" w:cs="Times New Roman"/>
          <w:sz w:val="20"/>
          <w:szCs w:val="20"/>
        </w:rPr>
        <w:t xml:space="preserve"> 1119</w:t>
      </w:r>
    </w:p>
    <w:p w14:paraId="2B65037E" w14:textId="704D6586"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Michael Genesereth, ‘Computational Law: The Cop in the Backseat’ (CodeX: The Center for Legal Informatics, Stanford University, 2015) 205, 4–5 &lt;http://portal.acm.org/citation.cfm?doid=1165485.1165517&gt;</w:t>
      </w:r>
    </w:p>
    <w:p w14:paraId="5D43BF6E" w14:textId="4ECB8115" w:rsidR="005822EE"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Mohun, James, and Alex Roberts, ‘Cracking the Code: Rulemaking for Humans and Machines’ (Observatory of Public Sector Innovation, Organsation for Economic Co-operation and Development, 27 May 2020)</w:t>
      </w:r>
    </w:p>
    <w:p w14:paraId="2AB0FA8F" w14:textId="6174EB48" w:rsidR="00CD4D47" w:rsidRPr="00CD4D47" w:rsidRDefault="00CD4D47" w:rsidP="00CD4D47">
      <w:pPr>
        <w:spacing w:line="480" w:lineRule="auto"/>
        <w:ind w:firstLine="720"/>
        <w:rPr>
          <w:rFonts w:ascii="Times New Roman" w:hAnsi="Times New Roman" w:cs="Times New Roman"/>
          <w:sz w:val="20"/>
          <w:szCs w:val="20"/>
        </w:rPr>
      </w:pPr>
      <w:r w:rsidRPr="00CD4D47">
        <w:rPr>
          <w:rFonts w:ascii="Times New Roman" w:hAnsi="Times New Roman" w:cs="Times New Roman"/>
          <w:sz w:val="20"/>
          <w:szCs w:val="24"/>
        </w:rPr>
        <w:t>Morris, Stephen</w:t>
      </w:r>
      <w:r>
        <w:rPr>
          <w:rFonts w:ascii="Times New Roman" w:hAnsi="Times New Roman" w:cs="Times New Roman"/>
          <w:sz w:val="20"/>
          <w:szCs w:val="24"/>
        </w:rPr>
        <w:t>,</w:t>
      </w:r>
      <w:r w:rsidRPr="00CD4D47">
        <w:rPr>
          <w:rFonts w:ascii="Times New Roman" w:hAnsi="Times New Roman" w:cs="Times New Roman"/>
          <w:sz w:val="20"/>
          <w:szCs w:val="24"/>
        </w:rPr>
        <w:t xml:space="preserve"> </w:t>
      </w:r>
      <w:r w:rsidRPr="00CD4D47">
        <w:rPr>
          <w:rFonts w:ascii="Times New Roman" w:hAnsi="Times New Roman" w:cs="Times New Roman"/>
          <w:i/>
          <w:iCs/>
          <w:sz w:val="20"/>
          <w:szCs w:val="24"/>
        </w:rPr>
        <w:t>Object-Oriented Programming under Windows</w:t>
      </w:r>
      <w:r w:rsidRPr="00CD4D47">
        <w:rPr>
          <w:rFonts w:ascii="Times New Roman" w:hAnsi="Times New Roman" w:cs="Times New Roman"/>
          <w:sz w:val="20"/>
          <w:szCs w:val="24"/>
        </w:rPr>
        <w:t xml:space="preserve"> (Elsevier Science &amp; Technology, 1994)</w:t>
      </w:r>
    </w:p>
    <w:p w14:paraId="7023DBB7" w14:textId="77777777" w:rsidR="00CD4D47" w:rsidRPr="00157B24" w:rsidRDefault="00CD4D47" w:rsidP="0037367B">
      <w:pPr>
        <w:spacing w:line="480" w:lineRule="auto"/>
        <w:ind w:firstLine="720"/>
        <w:rPr>
          <w:rFonts w:ascii="Times New Roman" w:hAnsi="Times New Roman" w:cs="Times New Roman"/>
          <w:sz w:val="20"/>
          <w:szCs w:val="20"/>
        </w:rPr>
      </w:pPr>
    </w:p>
    <w:p w14:paraId="319D1FC2" w14:textId="08740CFB"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Northpointe, ‘Practitioner’s Guide to COMPAS Core’ (Guidance, Northpointe, 19 March 2015)</w:t>
      </w:r>
    </w:p>
    <w:p w14:paraId="6722A8FC" w14:textId="6D239DEC" w:rsidR="005822EE" w:rsidRPr="00157B24" w:rsidRDefault="005822EE" w:rsidP="005822EE">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Posner, Richard A., ‘Nine Theories of Judicial Behavior’ in </w:t>
      </w:r>
      <w:r w:rsidRPr="00157B24">
        <w:rPr>
          <w:rFonts w:ascii="Times New Roman" w:hAnsi="Times New Roman" w:cs="Times New Roman"/>
          <w:i/>
          <w:iCs/>
          <w:sz w:val="20"/>
          <w:szCs w:val="20"/>
        </w:rPr>
        <w:t>How Judges Think</w:t>
      </w:r>
      <w:r w:rsidRPr="00157B24">
        <w:rPr>
          <w:rFonts w:ascii="Times New Roman" w:hAnsi="Times New Roman" w:cs="Times New Roman"/>
          <w:sz w:val="20"/>
          <w:szCs w:val="20"/>
        </w:rPr>
        <w:t xml:space="preserve"> (Harvard University Press, 2008) 19, 42 &lt;https://www.jstor.org/stable/j.ctvjk2w91.4&gt;</w:t>
      </w:r>
    </w:p>
    <w:p w14:paraId="2FF27F4D" w14:textId="5B1A4A6C"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ProPublica, </w:t>
      </w:r>
      <w:r w:rsidRPr="00157B24">
        <w:rPr>
          <w:rFonts w:ascii="Times New Roman" w:hAnsi="Times New Roman" w:cs="Times New Roman"/>
          <w:i/>
          <w:iCs/>
          <w:sz w:val="20"/>
          <w:szCs w:val="20"/>
        </w:rPr>
        <w:t>COMPAS Recidivism Risk Score Data and Analysis</w:t>
      </w:r>
      <w:r w:rsidRPr="00157B24">
        <w:rPr>
          <w:rFonts w:ascii="Times New Roman" w:hAnsi="Times New Roman" w:cs="Times New Roman"/>
          <w:sz w:val="20"/>
          <w:szCs w:val="20"/>
        </w:rPr>
        <w:t xml:space="preserve"> (Dataset, March 2020) &lt;https://propublica.org/datastore/dataset/compas-recidivism-risk-score-data-and-analysis&gt;</w:t>
      </w:r>
    </w:p>
    <w:p w14:paraId="0B13C3D1"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Roth, Martha T, and Harry A Hoffner, </w:t>
      </w:r>
      <w:r w:rsidRPr="00157B24">
        <w:rPr>
          <w:rFonts w:ascii="Times New Roman" w:hAnsi="Times New Roman" w:cs="Times New Roman"/>
          <w:i/>
          <w:iCs/>
          <w:sz w:val="20"/>
          <w:szCs w:val="20"/>
        </w:rPr>
        <w:t>Law Collections from Mesopotamia and Asia Minor</w:t>
      </w:r>
      <w:r w:rsidRPr="00157B24">
        <w:rPr>
          <w:rFonts w:ascii="Times New Roman" w:hAnsi="Times New Roman" w:cs="Times New Roman"/>
          <w:sz w:val="20"/>
          <w:szCs w:val="20"/>
        </w:rPr>
        <w:t xml:space="preserve"> (Society of Biblical Literature, 2nd ed, 1997)</w:t>
      </w:r>
    </w:p>
    <w:p w14:paraId="104BEF23"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Sam Smith, ‘Regtech Spending to Reach $127 Billion by 2024, as AI Drives Cost Savings’, </w:t>
      </w:r>
      <w:r w:rsidRPr="00157B24">
        <w:rPr>
          <w:rFonts w:ascii="Times New Roman" w:hAnsi="Times New Roman" w:cs="Times New Roman"/>
          <w:i/>
          <w:iCs/>
          <w:sz w:val="20"/>
          <w:szCs w:val="20"/>
        </w:rPr>
        <w:t>Juniper Research</w:t>
      </w:r>
      <w:r w:rsidRPr="00157B24">
        <w:rPr>
          <w:rFonts w:ascii="Times New Roman" w:hAnsi="Times New Roman" w:cs="Times New Roman"/>
          <w:sz w:val="20"/>
          <w:szCs w:val="20"/>
        </w:rPr>
        <w:t xml:space="preserve"> (24 September 2019) &lt;https://www.juniperresearch.com/press/press-releases/regtech-spending-to-reach-$127-billion-by-2024&gt;</w:t>
      </w:r>
    </w:p>
    <w:p w14:paraId="0B99D5B3" w14:textId="721AF27F" w:rsidR="001F1318" w:rsidRPr="00157B24" w:rsidRDefault="001F1318" w:rsidP="001F131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Schizas, Emmanuel et al, </w:t>
      </w:r>
      <w:r w:rsidRPr="00157B24">
        <w:rPr>
          <w:rFonts w:ascii="Times New Roman" w:hAnsi="Times New Roman" w:cs="Times New Roman"/>
          <w:i/>
          <w:iCs/>
          <w:sz w:val="20"/>
          <w:szCs w:val="20"/>
        </w:rPr>
        <w:t>The Global RegTech Industry Benchmark Report</w:t>
      </w:r>
      <w:r w:rsidRPr="00157B24">
        <w:rPr>
          <w:rFonts w:ascii="Times New Roman" w:hAnsi="Times New Roman" w:cs="Times New Roman"/>
          <w:sz w:val="20"/>
          <w:szCs w:val="20"/>
        </w:rPr>
        <w:t xml:space="preserve"> (SSRN Scholarly Paper No ID 3560811, Social Science Research Network, 30 June 2019) &lt;https://papers.ssrn.com/abstract=3560811&gt;</w:t>
      </w:r>
    </w:p>
    <w:p w14:paraId="4C21CCC2" w14:textId="72ADAB84" w:rsidR="005822EE" w:rsidRPr="00157B24" w:rsidRDefault="005822EE" w:rsidP="00141674">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Sergot, Marek, et al, ‘The British Nationality Act as a Logic Program’ (1986) 29 </w:t>
      </w:r>
      <w:r w:rsidRPr="00157B24">
        <w:rPr>
          <w:rFonts w:ascii="Times New Roman" w:hAnsi="Times New Roman" w:cs="Times New Roman"/>
          <w:i/>
          <w:iCs/>
          <w:sz w:val="20"/>
          <w:szCs w:val="20"/>
        </w:rPr>
        <w:t>Communications of the ACM</w:t>
      </w:r>
      <w:r w:rsidRPr="00157B24">
        <w:rPr>
          <w:rFonts w:ascii="Times New Roman" w:hAnsi="Times New Roman" w:cs="Times New Roman"/>
          <w:sz w:val="20"/>
          <w:szCs w:val="20"/>
        </w:rPr>
        <w:t xml:space="preserve"> 370</w:t>
      </w:r>
    </w:p>
    <w:p w14:paraId="47B90D69"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Sonja Starr, ‘Evidence-Based Sentencing and the Scientific Rationalization of Discrimination’ (2014) 66(4) </w:t>
      </w:r>
      <w:r w:rsidRPr="00157B24">
        <w:rPr>
          <w:rFonts w:ascii="Times New Roman" w:hAnsi="Times New Roman" w:cs="Times New Roman"/>
          <w:i/>
          <w:iCs/>
          <w:sz w:val="20"/>
          <w:szCs w:val="20"/>
        </w:rPr>
        <w:t>Stanford Law Review</w:t>
      </w:r>
      <w:r w:rsidRPr="00157B24">
        <w:rPr>
          <w:rFonts w:ascii="Times New Roman" w:hAnsi="Times New Roman" w:cs="Times New Roman"/>
          <w:sz w:val="20"/>
          <w:szCs w:val="20"/>
        </w:rPr>
        <w:t xml:space="preserve"> 803</w:t>
      </w:r>
    </w:p>
    <w:p w14:paraId="2144544E"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Susannah Hampton, ‘Opportunities for AI in Regtech’ (Juniper Research, September 2019) 1 &lt;https://www.juniperresearch.com/document-library/white-papers/opportunities-for-ai-in-regtech-whitepaper&gt;</w:t>
      </w:r>
    </w:p>
    <w:p w14:paraId="378FFAEB" w14:textId="26F3561A" w:rsidR="005822EE" w:rsidRPr="00157B24" w:rsidRDefault="005822EE" w:rsidP="0037367B">
      <w:pPr>
        <w:spacing w:line="480" w:lineRule="auto"/>
        <w:ind w:firstLine="720"/>
        <w:rPr>
          <w:rFonts w:ascii="Times New Roman" w:hAnsi="Times New Roman" w:cs="Times New Roman"/>
          <w:i/>
          <w:iCs/>
          <w:sz w:val="20"/>
          <w:szCs w:val="20"/>
        </w:rPr>
      </w:pPr>
      <w:r w:rsidRPr="00157B24">
        <w:rPr>
          <w:rFonts w:ascii="Times New Roman" w:hAnsi="Times New Roman" w:cs="Times New Roman"/>
          <w:sz w:val="20"/>
          <w:szCs w:val="20"/>
        </w:rPr>
        <w:t xml:space="preserve">Tamanaha, Brian Z., ‘INTRODUCTION’ in </w:t>
      </w:r>
      <w:r w:rsidRPr="00157B24">
        <w:rPr>
          <w:rFonts w:ascii="Times New Roman" w:hAnsi="Times New Roman" w:cs="Times New Roman"/>
          <w:i/>
          <w:iCs/>
          <w:sz w:val="20"/>
          <w:szCs w:val="20"/>
        </w:rPr>
        <w:t>Beyond the Formalist-Realist Divide</w:t>
      </w:r>
      <w:r w:rsidRPr="00157B24">
        <w:rPr>
          <w:rFonts w:ascii="Times New Roman" w:hAnsi="Times New Roman" w:cs="Times New Roman"/>
          <w:sz w:val="20"/>
          <w:szCs w:val="20"/>
        </w:rPr>
        <w:t xml:space="preserve"> (Princeton University Press, 2010) 1 &lt;https://www.jstor.org/stable/j.ctt7rm95.4&gt;</w:t>
      </w:r>
    </w:p>
    <w:p w14:paraId="5DFBAB07" w14:textId="43B22ED1" w:rsidR="001F1318" w:rsidRPr="00157B24" w:rsidRDefault="001F1318" w:rsidP="0037367B">
      <w:pPr>
        <w:spacing w:line="480" w:lineRule="auto"/>
        <w:ind w:firstLine="720"/>
        <w:rPr>
          <w:rFonts w:ascii="Times New Roman" w:hAnsi="Times New Roman" w:cs="Times New Roman"/>
          <w:i/>
          <w:iCs/>
          <w:sz w:val="20"/>
          <w:szCs w:val="20"/>
        </w:rPr>
      </w:pPr>
      <w:r w:rsidRPr="00157B24">
        <w:rPr>
          <w:rFonts w:ascii="Times New Roman" w:hAnsi="Times New Roman" w:cs="Times New Roman"/>
          <w:sz w:val="20"/>
          <w:szCs w:val="20"/>
        </w:rPr>
        <w:t xml:space="preserve">Waldron, Jeremy, ‘The Rule of Law’ in Edward N Zalta (ed), </w:t>
      </w:r>
      <w:r w:rsidRPr="00157B24">
        <w:rPr>
          <w:rFonts w:ascii="Times New Roman" w:hAnsi="Times New Roman" w:cs="Times New Roman"/>
          <w:i/>
          <w:iCs/>
          <w:sz w:val="20"/>
          <w:szCs w:val="20"/>
        </w:rPr>
        <w:t>The Stanford Encyclopedia of Philosophy</w:t>
      </w:r>
      <w:r w:rsidRPr="00157B24">
        <w:rPr>
          <w:rFonts w:ascii="Times New Roman" w:hAnsi="Times New Roman" w:cs="Times New Roman"/>
          <w:sz w:val="20"/>
          <w:szCs w:val="20"/>
        </w:rPr>
        <w:t xml:space="preserve"> (Metaphysics Research Lab, Stanford University, 2020) &lt;https://plato.stanford.edu/archives/sum2020/entries/rule-of-law/&gt;</w:t>
      </w:r>
    </w:p>
    <w:p w14:paraId="529DA844" w14:textId="1D3038B1"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West’s Encyclopedia of American Law</w:t>
      </w:r>
      <w:r w:rsidRPr="00157B24">
        <w:rPr>
          <w:rFonts w:ascii="Times New Roman" w:hAnsi="Times New Roman" w:cs="Times New Roman"/>
          <w:sz w:val="20"/>
          <w:szCs w:val="20"/>
        </w:rPr>
        <w:t xml:space="preserve"> (online at 25 August 2020) ‘formalism’</w:t>
      </w:r>
    </w:p>
    <w:p w14:paraId="55630209" w14:textId="1E08CC98"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Westpac Banking Corporation, ‘Westpac Releases Findings into Austrac Statement of Claim’ (4 June 2020)</w:t>
      </w:r>
    </w:p>
    <w:p w14:paraId="5251FAF8" w14:textId="77777777" w:rsidR="005822EE" w:rsidRPr="00157B24" w:rsidRDefault="005822EE" w:rsidP="0037367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Wolfram, Stephen, ‘Computational Law, Symbolic Discourse, and the AI Constitution’ in </w:t>
      </w:r>
      <w:r w:rsidRPr="00157B24">
        <w:rPr>
          <w:rFonts w:ascii="Times New Roman" w:hAnsi="Times New Roman" w:cs="Times New Roman"/>
          <w:i/>
          <w:iCs/>
          <w:sz w:val="20"/>
          <w:szCs w:val="20"/>
        </w:rPr>
        <w:t>Ethics of Artificial Intelligence</w:t>
      </w:r>
      <w:r w:rsidRPr="00157B24">
        <w:rPr>
          <w:rFonts w:ascii="Times New Roman" w:hAnsi="Times New Roman" w:cs="Times New Roman"/>
          <w:sz w:val="20"/>
          <w:szCs w:val="20"/>
        </w:rPr>
        <w:t xml:space="preserve"> (Oxford University Press, 2020) 155</w:t>
      </w:r>
    </w:p>
    <w:p w14:paraId="1DD06151" w14:textId="77777777" w:rsidR="00157B24" w:rsidRPr="00157B24" w:rsidRDefault="00157B24" w:rsidP="0037367B">
      <w:pPr>
        <w:spacing w:line="480" w:lineRule="auto"/>
        <w:jc w:val="center"/>
        <w:rPr>
          <w:rFonts w:ascii="Times New Roman" w:hAnsi="Times New Roman" w:cs="Times New Roman"/>
          <w:sz w:val="20"/>
          <w:szCs w:val="20"/>
        </w:rPr>
      </w:pPr>
    </w:p>
    <w:p w14:paraId="6C0FF8B9" w14:textId="7DC8DCED" w:rsidR="0037367B" w:rsidRPr="00157B24" w:rsidRDefault="0037367B"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B </w:t>
      </w:r>
      <w:r w:rsidRPr="00157B24">
        <w:rPr>
          <w:rFonts w:ascii="Times New Roman" w:hAnsi="Times New Roman" w:cs="Times New Roman"/>
          <w:i/>
          <w:iCs/>
          <w:sz w:val="24"/>
          <w:szCs w:val="24"/>
        </w:rPr>
        <w:t>Cases</w:t>
      </w:r>
    </w:p>
    <w:p w14:paraId="6C2D1830" w14:textId="69D45B46"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Australian National Airways Pty Ltd v Commonwealth (No 1) (‘Airlines Nationalisation case’)</w:t>
      </w:r>
      <w:r w:rsidRPr="00157B24">
        <w:rPr>
          <w:rFonts w:ascii="Times New Roman" w:hAnsi="Times New Roman" w:cs="Times New Roman"/>
          <w:sz w:val="20"/>
          <w:szCs w:val="20"/>
        </w:rPr>
        <w:t xml:space="preserve"> (1945) 71 CLR 29</w:t>
      </w:r>
    </w:p>
    <w:p w14:paraId="0037C339" w14:textId="76490778"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 Commission v Channic Pty Ltd (No 4) </w:t>
      </w:r>
      <w:r w:rsidRPr="00157B24">
        <w:rPr>
          <w:rFonts w:ascii="Times New Roman" w:hAnsi="Times New Roman" w:cs="Times New Roman"/>
          <w:sz w:val="20"/>
          <w:szCs w:val="20"/>
        </w:rPr>
        <w:t>[2016] FCA 1174</w:t>
      </w:r>
    </w:p>
    <w:p w14:paraId="4CFEECC1" w14:textId="7A40130E" w:rsidR="00AB3E6B"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lastRenderedPageBreak/>
        <w:t>Australian Securities and Investments Commission v The Cas</w:t>
      </w:r>
      <w:r w:rsidR="00702FCF">
        <w:rPr>
          <w:rFonts w:ascii="Times New Roman" w:hAnsi="Times New Roman" w:cs="Times New Roman"/>
          <w:i/>
          <w:iCs/>
          <w:sz w:val="20"/>
          <w:szCs w:val="20"/>
        </w:rPr>
        <w:t>h</w:t>
      </w:r>
      <w:r w:rsidRPr="00157B24">
        <w:rPr>
          <w:rFonts w:ascii="Times New Roman" w:hAnsi="Times New Roman" w:cs="Times New Roman"/>
          <w:i/>
          <w:iCs/>
          <w:sz w:val="20"/>
          <w:szCs w:val="20"/>
        </w:rPr>
        <w:t xml:space="preserve"> Store</w:t>
      </w:r>
      <w:r w:rsidR="00702FCF">
        <w:rPr>
          <w:rFonts w:ascii="Times New Roman" w:hAnsi="Times New Roman" w:cs="Times New Roman"/>
          <w:i/>
          <w:iCs/>
          <w:sz w:val="20"/>
          <w:szCs w:val="20"/>
        </w:rPr>
        <w:t xml:space="preserve"> Pty Ltd</w:t>
      </w:r>
      <w:r w:rsidRPr="00157B24">
        <w:rPr>
          <w:rFonts w:ascii="Times New Roman" w:hAnsi="Times New Roman" w:cs="Times New Roman"/>
          <w:i/>
          <w:iCs/>
          <w:sz w:val="20"/>
          <w:szCs w:val="20"/>
        </w:rPr>
        <w:t xml:space="preserve"> (in liquidation) </w:t>
      </w:r>
      <w:r w:rsidRPr="00157B24">
        <w:rPr>
          <w:rFonts w:ascii="Times New Roman" w:hAnsi="Times New Roman" w:cs="Times New Roman"/>
          <w:sz w:val="20"/>
          <w:szCs w:val="20"/>
        </w:rPr>
        <w:t>[2014] FCA 926</w:t>
      </w:r>
    </w:p>
    <w:p w14:paraId="302857C9" w14:textId="1BAA5E4B" w:rsidR="002020DF" w:rsidRPr="002020DF" w:rsidRDefault="002020DF" w:rsidP="00AB3E6B">
      <w:pPr>
        <w:spacing w:line="480" w:lineRule="auto"/>
        <w:ind w:firstLine="720"/>
        <w:rPr>
          <w:rFonts w:ascii="Times New Roman" w:hAnsi="Times New Roman" w:cs="Times New Roman"/>
          <w:sz w:val="20"/>
          <w:szCs w:val="20"/>
        </w:rPr>
      </w:pPr>
      <w:r>
        <w:rPr>
          <w:rFonts w:ascii="Times New Roman" w:hAnsi="Times New Roman" w:cs="Times New Roman"/>
          <w:i/>
          <w:iCs/>
          <w:sz w:val="20"/>
          <w:szCs w:val="20"/>
        </w:rPr>
        <w:t xml:space="preserve">Australian Securities and Investments Commission v Westpac Banking Corporation </w:t>
      </w:r>
      <w:r>
        <w:rPr>
          <w:rFonts w:ascii="Times New Roman" w:hAnsi="Times New Roman" w:cs="Times New Roman"/>
          <w:sz w:val="20"/>
          <w:szCs w:val="20"/>
        </w:rPr>
        <w:t>(2020) 380 ALR 262</w:t>
      </w:r>
    </w:p>
    <w:p w14:paraId="5658F5C7" w14:textId="2DD9BF4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Australian Securities and Investments Commission v Westpac Banking Corporation (Liability Trial) </w:t>
      </w:r>
      <w:r w:rsidRPr="00157B24">
        <w:rPr>
          <w:rFonts w:ascii="Times New Roman" w:hAnsi="Times New Roman" w:cs="Times New Roman"/>
          <w:sz w:val="20"/>
          <w:szCs w:val="20"/>
        </w:rPr>
        <w:t>[2019] FCA 1244</w:t>
      </w:r>
    </w:p>
    <w:p w14:paraId="616C6770" w14:textId="6453112C"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fldChar w:fldCharType="begin"/>
      </w:r>
      <w:r w:rsidR="001152C3">
        <w:rPr>
          <w:rFonts w:ascii="Times New Roman" w:hAnsi="Times New Roman" w:cs="Times New Roman"/>
          <w:sz w:val="20"/>
          <w:szCs w:val="20"/>
        </w:rPr>
        <w:instrText xml:space="preserve"> ADDIN ZOTERO_ITEM CSL_CITATION {"citationID":"ce2mQjjR","properties":{"formattedCitation":"{\\i{}Case of Prohibitions EWHC KB J23} (1607) 77 ER 1342.","plainCitation":"Case of Prohibitions EWHC KB J23 (1607) 77 ER 1342.","dontUpdate":true,"noteIndex":0},"citationItems":[{"id":94,"uris":["http://zotero.org/users/6782581/items/S73MG3IE"],"uri":["http://zotero.org/users/6782581/items/S73MG3IE"],"itemData":{"id":94,"type":"legal_case","authority":"EWHC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Case of Prohibitions EWHC KB J23</w:t>
      </w:r>
      <w:r w:rsidRPr="00157B24">
        <w:rPr>
          <w:rFonts w:ascii="Times New Roman" w:hAnsi="Times New Roman" w:cs="Times New Roman"/>
          <w:sz w:val="20"/>
          <w:szCs w:val="20"/>
        </w:rPr>
        <w:t xml:space="preserve"> (1607) 77 ER 1342</w:t>
      </w:r>
      <w:r w:rsidRPr="00157B24">
        <w:rPr>
          <w:rFonts w:ascii="Times New Roman" w:hAnsi="Times New Roman" w:cs="Times New Roman"/>
          <w:sz w:val="20"/>
          <w:szCs w:val="20"/>
        </w:rPr>
        <w:fldChar w:fldCharType="end"/>
      </w:r>
    </w:p>
    <w:p w14:paraId="033D49A4" w14:textId="5A533399"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Commission of the European Union v United Kingdom of Great Britain and Northern </w:t>
      </w:r>
      <w:r w:rsidRPr="00157B24">
        <w:rPr>
          <w:rFonts w:ascii="Times New Roman" w:hAnsi="Times New Roman" w:cs="Times New Roman"/>
          <w:sz w:val="20"/>
          <w:szCs w:val="20"/>
        </w:rPr>
        <w:t>(C-416/85) [1988] ECR 3127</w:t>
      </w:r>
    </w:p>
    <w:p w14:paraId="44EF5BAF" w14:textId="2D9D200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Elefanten Schuh GmbH v Pierre Jacqmain </w:t>
      </w:r>
      <w:r w:rsidRPr="00157B24">
        <w:rPr>
          <w:rFonts w:ascii="Times New Roman" w:hAnsi="Times New Roman" w:cs="Times New Roman"/>
          <w:sz w:val="20"/>
          <w:szCs w:val="20"/>
        </w:rPr>
        <w:t>(C-150/80) [1981] ECR 1671</w:t>
      </w:r>
    </w:p>
    <w:p w14:paraId="11DE5236" w14:textId="1904AE59"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eastAsia="Microsoft JhengHei" w:hAnsi="Times New Roman" w:cs="Times New Roman"/>
          <w:sz w:val="20"/>
          <w:szCs w:val="20"/>
        </w:rPr>
        <w:t>自由位移整装公司与常州市英才金属制品有限公司、上海健达健身器材有限公司其他发明权与发现权纠纷申请再审民事裁定书</w:t>
      </w:r>
      <w:r w:rsidRPr="00157B24">
        <w:rPr>
          <w:rFonts w:ascii="Times New Roman" w:eastAsia="Microsoft JhengHei" w:hAnsi="Times New Roman" w:cs="Times New Roman"/>
          <w:sz w:val="20"/>
          <w:szCs w:val="20"/>
        </w:rPr>
        <w:t xml:space="preserve"> [Free Displacement Co. Ltd. v Changzhou Yingcai Metal Products Co. Ltd., Shanghai Jianda Fitness Equipment Co. Ltd. – Invention Rights and Discovery Rights Dispute Civil Retrial] [2014], </w:t>
      </w:r>
      <w:r w:rsidRPr="00157B24">
        <w:rPr>
          <w:rFonts w:ascii="Times New Roman" w:eastAsia="Microsoft JhengHei" w:hAnsi="Times New Roman" w:cs="Times New Roman"/>
          <w:sz w:val="20"/>
          <w:szCs w:val="20"/>
        </w:rPr>
        <w:t>最高人民法院</w:t>
      </w:r>
      <w:r w:rsidRPr="00157B24">
        <w:rPr>
          <w:rFonts w:ascii="Times New Roman" w:eastAsia="Microsoft JhengHei" w:hAnsi="Times New Roman" w:cs="Times New Roman"/>
          <w:sz w:val="20"/>
          <w:szCs w:val="20"/>
        </w:rPr>
        <w:t xml:space="preserve"> [Supreme People’s Court, People’s Republic of China], Civil Retrial No. 497, 4 January 2015</w:t>
      </w:r>
    </w:p>
    <w:p w14:paraId="4607B770" w14:textId="31152FA9" w:rsidR="00AB3E6B" w:rsidRPr="00157B24" w:rsidRDefault="00AB3E6B" w:rsidP="00AB3E6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Free Motion Fitness Inc v Cybex International Inc, </w:t>
      </w:r>
      <w:r w:rsidRPr="00157B24">
        <w:rPr>
          <w:rFonts w:ascii="Times New Roman" w:hAnsi="Times New Roman" w:cs="Times New Roman"/>
          <w:sz w:val="20"/>
          <w:szCs w:val="20"/>
        </w:rPr>
        <w:t>423 F 3d 1343 (Fed Cir, 2005)</w:t>
      </w:r>
    </w:p>
    <w:p w14:paraId="33A3C892" w14:textId="765313D7"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Lochner v New York</w:t>
      </w:r>
      <w:r w:rsidR="00AB3E6B" w:rsidRPr="00157B24">
        <w:rPr>
          <w:rFonts w:ascii="Times New Roman" w:hAnsi="Times New Roman" w:cs="Times New Roman"/>
          <w:i/>
          <w:iCs/>
          <w:sz w:val="20"/>
          <w:szCs w:val="20"/>
        </w:rPr>
        <w:t xml:space="preserve"> </w:t>
      </w:r>
      <w:r w:rsidR="00AB3E6B" w:rsidRPr="00157B24">
        <w:rPr>
          <w:rFonts w:ascii="Times New Roman" w:hAnsi="Times New Roman" w:cs="Times New Roman"/>
          <w:sz w:val="20"/>
          <w:szCs w:val="20"/>
        </w:rPr>
        <w:t>198 US 45 (1905)</w:t>
      </w:r>
    </w:p>
    <w:p w14:paraId="57FBA7B3" w14:textId="497EE1E0" w:rsidR="001A2F99" w:rsidRPr="00157B24" w:rsidRDefault="001A2F99"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Loomis v Wisconsin </w:t>
      </w:r>
      <w:r w:rsidRPr="00157B24">
        <w:rPr>
          <w:rFonts w:ascii="Times New Roman" w:hAnsi="Times New Roman" w:cs="Times New Roman"/>
          <w:sz w:val="20"/>
          <w:szCs w:val="20"/>
        </w:rPr>
        <w:t>881 NW 2d 749 (Wis, 2016)</w:t>
      </w:r>
    </w:p>
    <w:p w14:paraId="23AC1915" w14:textId="1C4AF1C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New South Wales v Commonwealth</w:t>
      </w:r>
      <w:r w:rsidRPr="00157B24">
        <w:rPr>
          <w:rFonts w:ascii="Times New Roman" w:hAnsi="Times New Roman" w:cs="Times New Roman"/>
          <w:sz w:val="20"/>
          <w:szCs w:val="20"/>
        </w:rPr>
        <w:t xml:space="preserve"> (1915) 20 CLR 54</w:t>
      </w:r>
    </w:p>
    <w:p w14:paraId="3E49D538" w14:textId="575B4A76"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Nix v Hedden </w:t>
      </w:r>
      <w:r w:rsidRPr="00157B24">
        <w:rPr>
          <w:rFonts w:ascii="Times New Roman" w:hAnsi="Times New Roman" w:cs="Times New Roman"/>
          <w:sz w:val="20"/>
          <w:szCs w:val="20"/>
        </w:rPr>
        <w:t>149 US 304 (1893)</w:t>
      </w:r>
    </w:p>
    <w:p w14:paraId="64446D7A" w14:textId="3028CEA4"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Roudolff</w:t>
      </w:r>
      <w:r w:rsidRPr="00157B24">
        <w:rPr>
          <w:rFonts w:ascii="Times New Roman" w:hAnsi="Times New Roman" w:cs="Times New Roman"/>
          <w:sz w:val="20"/>
          <w:szCs w:val="20"/>
        </w:rPr>
        <w:t xml:space="preserve"> </w:t>
      </w:r>
      <w:r w:rsidRPr="00157B24">
        <w:rPr>
          <w:rFonts w:ascii="Times New Roman" w:hAnsi="Times New Roman" w:cs="Times New Roman"/>
          <w:i/>
          <w:iCs/>
          <w:sz w:val="20"/>
          <w:szCs w:val="20"/>
        </w:rPr>
        <w:t xml:space="preserve"> </w:t>
      </w:r>
      <w:r w:rsidRPr="00157B24">
        <w:rPr>
          <w:rFonts w:ascii="Times New Roman" w:hAnsi="Times New Roman" w:cs="Times New Roman"/>
          <w:sz w:val="20"/>
          <w:szCs w:val="20"/>
        </w:rPr>
        <w:t>(C-803/79 ) [1980] ECR 2015</w:t>
      </w:r>
    </w:p>
    <w:p w14:paraId="04CA9FEB" w14:textId="41FC7967"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R v Kirby; Ex parte Boilermakers’ Society of Australia</w:t>
      </w:r>
      <w:r w:rsidRPr="00157B24">
        <w:rPr>
          <w:rFonts w:ascii="Times New Roman" w:hAnsi="Times New Roman" w:cs="Times New Roman"/>
          <w:sz w:val="20"/>
          <w:szCs w:val="20"/>
        </w:rPr>
        <w:t xml:space="preserve"> (1956) 94 CLR 254</w:t>
      </w:r>
    </w:p>
    <w:p w14:paraId="0DCA32A6" w14:textId="68F5B141"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Schulte v Deutsche Bausparkasse Badenia </w:t>
      </w:r>
      <w:r w:rsidRPr="00157B24">
        <w:rPr>
          <w:rFonts w:ascii="Times New Roman" w:hAnsi="Times New Roman" w:cs="Times New Roman"/>
          <w:sz w:val="20"/>
          <w:szCs w:val="20"/>
        </w:rPr>
        <w:t>(C-350/03) [2005] ECR I-9215</w:t>
      </w:r>
    </w:p>
    <w:p w14:paraId="349E014D" w14:textId="2CA4B606"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Skatteministeriet v Aktieselskabet Forsikrinsselskabet Codan</w:t>
      </w:r>
      <w:r w:rsidRPr="00157B24">
        <w:rPr>
          <w:rFonts w:ascii="Times New Roman" w:hAnsi="Times New Roman" w:cs="Times New Roman"/>
          <w:sz w:val="20"/>
          <w:szCs w:val="20"/>
        </w:rPr>
        <w:t xml:space="preserve"> (C-236/97) [1998] ECR I-8679</w:t>
      </w:r>
    </w:p>
    <w:p w14:paraId="78A6E26A" w14:textId="1413E122" w:rsidR="00AB3E6B"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fldChar w:fldCharType="begin"/>
      </w:r>
      <w:r w:rsidR="001152C3">
        <w:rPr>
          <w:rFonts w:ascii="Times New Roman" w:hAnsi="Times New Roman" w:cs="Times New Roman"/>
          <w:sz w:val="20"/>
          <w:szCs w:val="20"/>
        </w:rPr>
        <w:instrText xml:space="preserve"> ADDIN ZOTERO_ITEM CSL_CITATION {"citationID":"xYBJkHUY","properties":{"formattedCitation":"{\\i{}Smith v United States} (1993) 508 U.S. 223.","plainCitation":"Smith v United States (1993) 508 U.S. 223.","dontUpdate":true,"noteIndex":0},"citationItems":[{"id":127,"uris":["http://zotero.org/users/6782581/items/Y59582P8"],"uri":["http://zotero.org/users/6782581/items/Y59582P8"],"itemData":{"id":127,"type":"legal_case","authority":"United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157B24">
        <w:rPr>
          <w:rFonts w:ascii="Times New Roman" w:hAnsi="Times New Roman" w:cs="Times New Roman"/>
          <w:sz w:val="20"/>
          <w:szCs w:val="20"/>
        </w:rPr>
        <w:fldChar w:fldCharType="separate"/>
      </w:r>
      <w:r w:rsidRPr="00157B24">
        <w:rPr>
          <w:rFonts w:ascii="Times New Roman" w:hAnsi="Times New Roman" w:cs="Times New Roman"/>
          <w:i/>
          <w:iCs/>
          <w:sz w:val="20"/>
          <w:szCs w:val="20"/>
        </w:rPr>
        <w:t>Smith v United States</w:t>
      </w:r>
      <w:r w:rsidRPr="00157B24">
        <w:rPr>
          <w:rFonts w:ascii="Times New Roman" w:hAnsi="Times New Roman" w:cs="Times New Roman"/>
          <w:sz w:val="20"/>
          <w:szCs w:val="20"/>
        </w:rPr>
        <w:t xml:space="preserve"> 508 US 223</w:t>
      </w:r>
      <w:r w:rsidRPr="00157B24">
        <w:rPr>
          <w:rFonts w:ascii="Times New Roman" w:hAnsi="Times New Roman" w:cs="Times New Roman"/>
          <w:sz w:val="20"/>
          <w:szCs w:val="20"/>
        </w:rPr>
        <w:fldChar w:fldCharType="end"/>
      </w:r>
      <w:r w:rsidRPr="00157B24">
        <w:rPr>
          <w:rFonts w:ascii="Times New Roman" w:hAnsi="Times New Roman" w:cs="Times New Roman"/>
          <w:sz w:val="20"/>
          <w:szCs w:val="20"/>
        </w:rPr>
        <w:t xml:space="preserve"> (1993)</w:t>
      </w:r>
    </w:p>
    <w:p w14:paraId="6C5601BF" w14:textId="1AF3B8C6" w:rsidR="001A2F99" w:rsidRPr="00157B24" w:rsidRDefault="00AB3E6B" w:rsidP="00AB3E6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Waterside Workers’ Federation of Australia v J W Alexander Ltd</w:t>
      </w:r>
      <w:r w:rsidRPr="00157B24">
        <w:rPr>
          <w:rFonts w:ascii="Times New Roman" w:hAnsi="Times New Roman" w:cs="Times New Roman"/>
          <w:sz w:val="20"/>
          <w:szCs w:val="20"/>
        </w:rPr>
        <w:t xml:space="preserve"> (1918) 25 CLR 434</w:t>
      </w:r>
    </w:p>
    <w:p w14:paraId="44D8B812" w14:textId="77777777" w:rsidR="00157B24" w:rsidRPr="00157B24" w:rsidRDefault="00157B24" w:rsidP="0037367B">
      <w:pPr>
        <w:spacing w:line="480" w:lineRule="auto"/>
        <w:jc w:val="center"/>
        <w:rPr>
          <w:rFonts w:ascii="Times New Roman" w:hAnsi="Times New Roman" w:cs="Times New Roman"/>
          <w:sz w:val="20"/>
          <w:szCs w:val="20"/>
        </w:rPr>
      </w:pPr>
    </w:p>
    <w:p w14:paraId="62D4D18C" w14:textId="6A3658F8" w:rsidR="00B83B65" w:rsidRPr="00B83B65" w:rsidRDefault="0037367B" w:rsidP="00B83B65">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 xml:space="preserve">C </w:t>
      </w:r>
      <w:r w:rsidRPr="00157B24">
        <w:rPr>
          <w:rFonts w:ascii="Times New Roman" w:hAnsi="Times New Roman" w:cs="Times New Roman"/>
          <w:i/>
          <w:iCs/>
          <w:sz w:val="24"/>
          <w:szCs w:val="24"/>
        </w:rPr>
        <w:t>Legislation</w:t>
      </w:r>
    </w:p>
    <w:p w14:paraId="799B9BBE" w14:textId="409D04FA" w:rsidR="00161898" w:rsidRPr="00157B24" w:rsidRDefault="00161898"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British Nationality Act 1981 </w:t>
      </w:r>
      <w:r w:rsidRPr="00157B24">
        <w:rPr>
          <w:rFonts w:ascii="Times New Roman" w:hAnsi="Times New Roman" w:cs="Times New Roman"/>
          <w:sz w:val="20"/>
          <w:szCs w:val="20"/>
        </w:rPr>
        <w:t>(UK)</w:t>
      </w:r>
    </w:p>
    <w:p w14:paraId="57054C17" w14:textId="18AF0AF9"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 xml:space="preserve">Code civil des français </w:t>
      </w:r>
      <w:r w:rsidRPr="00157B24">
        <w:rPr>
          <w:rFonts w:ascii="Times New Roman" w:hAnsi="Times New Roman" w:cs="Times New Roman"/>
          <w:sz w:val="20"/>
          <w:szCs w:val="20"/>
        </w:rPr>
        <w:t>[Civil code of the French] (France)</w:t>
      </w:r>
    </w:p>
    <w:p w14:paraId="0E44C182" w14:textId="5A74CE32" w:rsidR="000E269B"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Commonwealth of Australia Constitution</w:t>
      </w:r>
    </w:p>
    <w:p w14:paraId="4E1733B2" w14:textId="6D92D3C5" w:rsidR="00B83B65" w:rsidRPr="00B83B65" w:rsidRDefault="00B83B65" w:rsidP="000E269B">
      <w:pPr>
        <w:spacing w:line="480" w:lineRule="auto"/>
        <w:ind w:firstLine="720"/>
        <w:rPr>
          <w:rFonts w:ascii="Times New Roman" w:hAnsi="Times New Roman" w:cs="Times New Roman"/>
          <w:sz w:val="20"/>
          <w:szCs w:val="20"/>
        </w:rPr>
      </w:pPr>
      <w:r w:rsidRPr="00B83B65">
        <w:rPr>
          <w:rFonts w:ascii="Times New Roman" w:hAnsi="Times New Roman" w:cs="Times New Roman"/>
          <w:i/>
          <w:iCs/>
          <w:sz w:val="20"/>
          <w:szCs w:val="20"/>
        </w:rPr>
        <w:t>Crimes Act 1914</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3747D70B" w14:textId="459206D7" w:rsidR="00B83B65" w:rsidRDefault="00161898" w:rsidP="00B83B65">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National Consumer Credit Protection Act 2009</w:t>
      </w:r>
      <w:r w:rsidRPr="00157B24">
        <w:rPr>
          <w:rFonts w:ascii="Times New Roman" w:hAnsi="Times New Roman" w:cs="Times New Roman"/>
          <w:sz w:val="20"/>
          <w:szCs w:val="20"/>
        </w:rPr>
        <w:t xml:space="preserve"> (Cth)</w:t>
      </w:r>
    </w:p>
    <w:p w14:paraId="0E1D5048" w14:textId="386FCDB4" w:rsidR="002020DF" w:rsidRPr="002020DF" w:rsidRDefault="002020DF" w:rsidP="00B83B65">
      <w:pPr>
        <w:spacing w:line="480" w:lineRule="auto"/>
        <w:ind w:firstLine="720"/>
        <w:rPr>
          <w:rFonts w:ascii="Times New Roman" w:hAnsi="Times New Roman" w:cs="Times New Roman"/>
          <w:sz w:val="20"/>
          <w:szCs w:val="20"/>
        </w:rPr>
      </w:pPr>
      <w:r w:rsidRPr="002020DF">
        <w:rPr>
          <w:rFonts w:ascii="Times New Roman" w:hAnsi="Times New Roman" w:cs="Times New Roman"/>
          <w:i/>
          <w:iCs/>
          <w:sz w:val="20"/>
          <w:szCs w:val="20"/>
        </w:rPr>
        <w:t>National Consumer Credit Protection Regulations 2010</w:t>
      </w:r>
      <w:r>
        <w:rPr>
          <w:rFonts w:ascii="Times New Roman" w:hAnsi="Times New Roman" w:cs="Times New Roman"/>
          <w:i/>
          <w:iCs/>
          <w:sz w:val="20"/>
          <w:szCs w:val="20"/>
        </w:rPr>
        <w:t xml:space="preserve"> </w:t>
      </w:r>
      <w:r>
        <w:rPr>
          <w:rFonts w:ascii="Times New Roman" w:hAnsi="Times New Roman" w:cs="Times New Roman"/>
          <w:sz w:val="20"/>
          <w:szCs w:val="20"/>
        </w:rPr>
        <w:t>(Cth)</w:t>
      </w:r>
    </w:p>
    <w:p w14:paraId="127306F8" w14:textId="77777777" w:rsidR="00157B24" w:rsidRPr="00157B24" w:rsidRDefault="00157B24" w:rsidP="0037367B">
      <w:pPr>
        <w:spacing w:line="480" w:lineRule="auto"/>
        <w:jc w:val="center"/>
        <w:rPr>
          <w:rFonts w:ascii="Times New Roman" w:hAnsi="Times New Roman" w:cs="Times New Roman"/>
          <w:sz w:val="20"/>
          <w:szCs w:val="20"/>
        </w:rPr>
      </w:pPr>
    </w:p>
    <w:p w14:paraId="2DFFA67A" w14:textId="491A5671" w:rsidR="0037367B" w:rsidRPr="00157B24" w:rsidRDefault="001A2F99" w:rsidP="0037367B">
      <w:pPr>
        <w:spacing w:line="480" w:lineRule="auto"/>
        <w:jc w:val="center"/>
        <w:rPr>
          <w:rFonts w:ascii="Times New Roman" w:hAnsi="Times New Roman" w:cs="Times New Roman"/>
          <w:i/>
          <w:iCs/>
          <w:sz w:val="24"/>
          <w:szCs w:val="24"/>
        </w:rPr>
      </w:pPr>
      <w:r w:rsidRPr="00157B24">
        <w:rPr>
          <w:rFonts w:ascii="Times New Roman" w:hAnsi="Times New Roman" w:cs="Times New Roman"/>
          <w:sz w:val="24"/>
          <w:szCs w:val="24"/>
        </w:rPr>
        <w:t>D</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Treaties</w:t>
      </w:r>
    </w:p>
    <w:p w14:paraId="6F1D56EC" w14:textId="539C8229"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 xml:space="preserve">Regulation (EEC) No 1 determining the languages to be used by the European Economic Community </w:t>
      </w:r>
      <w:r w:rsidRPr="00157B24">
        <w:rPr>
          <w:rFonts w:ascii="Times New Roman" w:hAnsi="Times New Roman" w:cs="Times New Roman"/>
          <w:sz w:val="20"/>
          <w:szCs w:val="20"/>
        </w:rPr>
        <w:t>(1958) OJ 17</w:t>
      </w:r>
    </w:p>
    <w:p w14:paraId="58F3E058" w14:textId="7A9988AD" w:rsidR="000E269B" w:rsidRPr="00157B24" w:rsidRDefault="000E269B" w:rsidP="000E269B">
      <w:pPr>
        <w:spacing w:line="480" w:lineRule="auto"/>
        <w:ind w:firstLine="720"/>
        <w:rPr>
          <w:rFonts w:ascii="Times New Roman" w:hAnsi="Times New Roman" w:cs="Times New Roman"/>
          <w:i/>
          <w:iCs/>
          <w:sz w:val="20"/>
          <w:szCs w:val="20"/>
        </w:rPr>
      </w:pPr>
      <w:r w:rsidRPr="00157B24">
        <w:rPr>
          <w:rFonts w:ascii="Times New Roman" w:hAnsi="Times New Roman" w:cs="Times New Roman"/>
          <w:i/>
          <w:iCs/>
          <w:sz w:val="20"/>
          <w:szCs w:val="20"/>
        </w:rPr>
        <w:t>Treaty on European Union</w:t>
      </w:r>
      <w:r w:rsidRPr="00157B24">
        <w:rPr>
          <w:rFonts w:ascii="Times New Roman" w:hAnsi="Times New Roman" w:cs="Times New Roman"/>
          <w:sz w:val="20"/>
          <w:szCs w:val="20"/>
        </w:rPr>
        <w:t>, opened for signature 7 February 1992, [2009] OJ C 115/13 (entered into force 1 November 1993)</w:t>
      </w:r>
    </w:p>
    <w:p w14:paraId="757DAEB9" w14:textId="1748A523" w:rsidR="000E269B" w:rsidRPr="00157B24" w:rsidRDefault="000E269B" w:rsidP="000E269B">
      <w:pPr>
        <w:spacing w:line="480" w:lineRule="auto"/>
        <w:ind w:firstLine="720"/>
        <w:rPr>
          <w:rFonts w:ascii="Times New Roman" w:hAnsi="Times New Roman" w:cs="Times New Roman"/>
          <w:sz w:val="20"/>
          <w:szCs w:val="20"/>
        </w:rPr>
      </w:pPr>
      <w:r w:rsidRPr="00157B24">
        <w:rPr>
          <w:rFonts w:ascii="Times New Roman" w:hAnsi="Times New Roman" w:cs="Times New Roman"/>
          <w:i/>
          <w:iCs/>
          <w:sz w:val="20"/>
          <w:szCs w:val="20"/>
        </w:rPr>
        <w:t>Treaty on the Functioning of the European Union</w:t>
      </w:r>
      <w:r w:rsidRPr="00157B24">
        <w:rPr>
          <w:rFonts w:ascii="Times New Roman" w:hAnsi="Times New Roman" w:cs="Times New Roman"/>
          <w:sz w:val="20"/>
          <w:szCs w:val="20"/>
        </w:rPr>
        <w:t>, opened for signature 7 February 1992, [2009] OJ C 115/199 (entered into force 1 November 1993)</w:t>
      </w:r>
    </w:p>
    <w:p w14:paraId="449DB3C8" w14:textId="77777777" w:rsidR="00157B24" w:rsidRPr="00157B24" w:rsidRDefault="00157B24" w:rsidP="0037367B">
      <w:pPr>
        <w:spacing w:line="480" w:lineRule="auto"/>
        <w:jc w:val="center"/>
        <w:rPr>
          <w:rFonts w:ascii="Times New Roman" w:hAnsi="Times New Roman" w:cs="Times New Roman"/>
          <w:sz w:val="20"/>
          <w:szCs w:val="20"/>
        </w:rPr>
      </w:pPr>
    </w:p>
    <w:p w14:paraId="017DD5E7" w14:textId="61DF0A5E" w:rsidR="0037367B" w:rsidRPr="00157B24" w:rsidRDefault="001A2F99" w:rsidP="0037367B">
      <w:pPr>
        <w:spacing w:line="480" w:lineRule="auto"/>
        <w:jc w:val="center"/>
        <w:rPr>
          <w:rFonts w:ascii="Times New Roman" w:hAnsi="Times New Roman" w:cs="Times New Roman"/>
          <w:sz w:val="24"/>
          <w:szCs w:val="24"/>
        </w:rPr>
      </w:pPr>
      <w:r w:rsidRPr="00157B24">
        <w:rPr>
          <w:rFonts w:ascii="Times New Roman" w:hAnsi="Times New Roman" w:cs="Times New Roman"/>
          <w:sz w:val="24"/>
          <w:szCs w:val="24"/>
        </w:rPr>
        <w:t>E</w:t>
      </w:r>
      <w:r w:rsidR="0037367B" w:rsidRPr="00157B24">
        <w:rPr>
          <w:rFonts w:ascii="Times New Roman" w:hAnsi="Times New Roman" w:cs="Times New Roman"/>
          <w:sz w:val="24"/>
          <w:szCs w:val="24"/>
        </w:rPr>
        <w:t xml:space="preserve"> </w:t>
      </w:r>
      <w:r w:rsidR="0037367B" w:rsidRPr="00157B24">
        <w:rPr>
          <w:rFonts w:ascii="Times New Roman" w:hAnsi="Times New Roman" w:cs="Times New Roman"/>
          <w:i/>
          <w:iCs/>
          <w:sz w:val="24"/>
          <w:szCs w:val="24"/>
        </w:rPr>
        <w:t>Other</w:t>
      </w:r>
    </w:p>
    <w:p w14:paraId="09D15BAF" w14:textId="456C545B" w:rsidR="00B83B65" w:rsidRPr="00B83B65" w:rsidRDefault="00506773" w:rsidP="00161898">
      <w:pPr>
        <w:spacing w:line="480" w:lineRule="auto"/>
        <w:ind w:firstLine="720"/>
        <w:rPr>
          <w:rFonts w:ascii="Times New Roman" w:hAnsi="Times New Roman" w:cs="Times New Roman"/>
          <w:i/>
          <w:iCs/>
          <w:sz w:val="20"/>
          <w:szCs w:val="20"/>
        </w:rPr>
      </w:pPr>
      <w:r w:rsidRPr="00506773">
        <w:rPr>
          <w:rFonts w:ascii="Times New Roman" w:hAnsi="Times New Roman" w:cs="Times New Roman"/>
          <w:i/>
          <w:iCs/>
          <w:sz w:val="20"/>
          <w:szCs w:val="20"/>
        </w:rPr>
        <w:t>Australian Securities &amp; Investments Commission</w:t>
      </w:r>
      <w:r w:rsidRPr="00B83B65">
        <w:rPr>
          <w:rFonts w:ascii="Times New Roman" w:hAnsi="Times New Roman" w:cs="Times New Roman"/>
          <w:i/>
          <w:iCs/>
          <w:sz w:val="20"/>
          <w:szCs w:val="20"/>
        </w:rPr>
        <w:t xml:space="preserve"> </w:t>
      </w:r>
      <w:r w:rsidR="00B83B65" w:rsidRPr="00B83B65">
        <w:rPr>
          <w:rFonts w:ascii="Times New Roman" w:hAnsi="Times New Roman" w:cs="Times New Roman"/>
          <w:i/>
          <w:iCs/>
          <w:sz w:val="20"/>
          <w:szCs w:val="20"/>
        </w:rPr>
        <w:t>Credit (Unsuitability—Credit Cards) Instrument 2018/753</w:t>
      </w:r>
    </w:p>
    <w:p w14:paraId="595A3830" w14:textId="1640C3AA" w:rsidR="00BA7082" w:rsidRDefault="001F1318" w:rsidP="00BA7082">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Australian Securities &amp; Investments Commission, Regulatory Guide 209: Credit Licensing: Responsible Lending Conduct</w:t>
      </w:r>
    </w:p>
    <w:p w14:paraId="3DE392D3" w14:textId="5E847920" w:rsidR="00506773" w:rsidRPr="00506773" w:rsidRDefault="00506773" w:rsidP="00161898">
      <w:pPr>
        <w:spacing w:line="480" w:lineRule="auto"/>
        <w:ind w:firstLine="720"/>
        <w:rPr>
          <w:rFonts w:ascii="Times New Roman" w:hAnsi="Times New Roman" w:cs="Times New Roman"/>
          <w:sz w:val="20"/>
          <w:szCs w:val="20"/>
        </w:rPr>
      </w:pPr>
      <w:r w:rsidRPr="00506773">
        <w:rPr>
          <w:rFonts w:ascii="Times New Roman" w:hAnsi="Times New Roman" w:cs="Times New Roman"/>
          <w:sz w:val="20"/>
          <w:szCs w:val="20"/>
        </w:rPr>
        <w:t xml:space="preserve">Australian Taxation Office, </w:t>
      </w:r>
      <w:r w:rsidRPr="00506773">
        <w:rPr>
          <w:rFonts w:ascii="Times New Roman" w:hAnsi="Times New Roman" w:cs="Times New Roman"/>
          <w:i/>
          <w:iCs/>
          <w:sz w:val="20"/>
          <w:szCs w:val="20"/>
        </w:rPr>
        <w:t xml:space="preserve">Decision Impact Statement on Pintarich v Deputy Commission of Taxation [2018] FCAFC 79 </w:t>
      </w:r>
      <w:r w:rsidRPr="00506773">
        <w:rPr>
          <w:rFonts w:ascii="Times New Roman" w:hAnsi="Times New Roman" w:cs="Times New Roman"/>
          <w:sz w:val="20"/>
          <w:szCs w:val="20"/>
        </w:rPr>
        <w:t>(4 April 2019).</w:t>
      </w:r>
    </w:p>
    <w:p w14:paraId="6935E7D2" w14:textId="54766ED0" w:rsidR="00C972AD" w:rsidRPr="00C972AD" w:rsidRDefault="00C972AD" w:rsidP="00C972AD">
      <w:pPr>
        <w:spacing w:line="480" w:lineRule="auto"/>
        <w:ind w:firstLine="720"/>
        <w:rPr>
          <w:rFonts w:ascii="Times New Roman" w:hAnsi="Times New Roman" w:cs="Times New Roman"/>
          <w:sz w:val="20"/>
          <w:szCs w:val="20"/>
        </w:rPr>
      </w:pPr>
      <w:r w:rsidRPr="00C972AD">
        <w:rPr>
          <w:rFonts w:ascii="Times New Roman" w:hAnsi="Times New Roman" w:cs="Times New Roman"/>
          <w:sz w:val="20"/>
          <w:szCs w:val="24"/>
        </w:rPr>
        <w:t xml:space="preserve">‘Datetime — Basic Date and Time Types’, </w:t>
      </w:r>
      <w:r w:rsidRPr="00C972AD">
        <w:rPr>
          <w:rFonts w:ascii="Times New Roman" w:hAnsi="Times New Roman" w:cs="Times New Roman"/>
          <w:i/>
          <w:iCs/>
          <w:sz w:val="20"/>
          <w:szCs w:val="24"/>
        </w:rPr>
        <w:t>Python 3.8.6 documentation</w:t>
      </w:r>
      <w:r w:rsidRPr="00C972AD">
        <w:rPr>
          <w:rFonts w:ascii="Times New Roman" w:hAnsi="Times New Roman" w:cs="Times New Roman"/>
          <w:sz w:val="20"/>
          <w:szCs w:val="24"/>
        </w:rPr>
        <w:t xml:space="preserve"> (Documentation, 29 September 2020) &lt;https://docs.python.org/3/library/datetime.html&gt;</w:t>
      </w:r>
    </w:p>
    <w:p w14:paraId="756520E8" w14:textId="2118C6ED" w:rsidR="001152C3" w:rsidRPr="001152C3" w:rsidRDefault="001152C3" w:rsidP="00161898">
      <w:pPr>
        <w:spacing w:line="480" w:lineRule="auto"/>
        <w:ind w:firstLine="720"/>
        <w:rPr>
          <w:rFonts w:ascii="Times New Roman" w:hAnsi="Times New Roman" w:cs="Times New Roman"/>
          <w:sz w:val="20"/>
          <w:szCs w:val="20"/>
        </w:rPr>
      </w:pPr>
      <w:r w:rsidRPr="001152C3">
        <w:rPr>
          <w:rFonts w:ascii="Times New Roman" w:hAnsi="Times New Roman" w:cs="Times New Roman"/>
          <w:sz w:val="20"/>
          <w:szCs w:val="24"/>
        </w:rPr>
        <w:t xml:space="preserve">Directorate-General for Communication, ‘Translation’, </w:t>
      </w:r>
      <w:r w:rsidRPr="001152C3">
        <w:rPr>
          <w:rFonts w:ascii="Times New Roman" w:hAnsi="Times New Roman" w:cs="Times New Roman"/>
          <w:i/>
          <w:iCs/>
          <w:sz w:val="20"/>
          <w:szCs w:val="24"/>
        </w:rPr>
        <w:t>European Commission</w:t>
      </w:r>
      <w:r w:rsidR="009470A6">
        <w:rPr>
          <w:rFonts w:ascii="Times New Roman" w:hAnsi="Times New Roman" w:cs="Times New Roman"/>
          <w:sz w:val="20"/>
          <w:szCs w:val="24"/>
        </w:rPr>
        <w:t xml:space="preserve"> </w:t>
      </w:r>
      <w:r w:rsidRPr="001152C3">
        <w:rPr>
          <w:rFonts w:ascii="Times New Roman" w:hAnsi="Times New Roman" w:cs="Times New Roman"/>
          <w:sz w:val="20"/>
          <w:szCs w:val="24"/>
        </w:rPr>
        <w:t>&lt;https://ec.europa.eu/info/departments/translation_en&gt;</w:t>
      </w:r>
    </w:p>
    <w:p w14:paraId="50BCEC36" w14:textId="06262CB3" w:rsidR="005822EE" w:rsidRPr="00157B24" w:rsidRDefault="005822EE"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Dixon J, “Concerning Judicial Method” (1956) 29 ALJ 468, 472</w:t>
      </w:r>
    </w:p>
    <w:p w14:paraId="018D77DE" w14:textId="2B3C32E7"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New Zealand Law Foundation, ‘Projects Funded | The Law Foundation’ &lt;https://www.lawfoundation.org.nz/?page_id=6882&gt;</w:t>
      </w:r>
    </w:p>
    <w:p w14:paraId="22136E37" w14:textId="4D8230D7" w:rsidR="00B83B65" w:rsidRDefault="00B83B65" w:rsidP="00161898">
      <w:pPr>
        <w:spacing w:line="480" w:lineRule="auto"/>
        <w:ind w:firstLine="720"/>
        <w:rPr>
          <w:rFonts w:ascii="Times New Roman" w:hAnsi="Times New Roman" w:cs="Times New Roman"/>
          <w:sz w:val="20"/>
          <w:szCs w:val="20"/>
        </w:rPr>
      </w:pPr>
      <w:r w:rsidRPr="00B83B65">
        <w:rPr>
          <w:rFonts w:ascii="Times New Roman" w:hAnsi="Times New Roman" w:cs="Times New Roman"/>
          <w:sz w:val="20"/>
          <w:szCs w:val="20"/>
        </w:rPr>
        <w:t xml:space="preserve">Explanatory Memorandum, </w:t>
      </w:r>
      <w:r w:rsidRPr="00392B16">
        <w:rPr>
          <w:rFonts w:ascii="Times New Roman" w:hAnsi="Times New Roman" w:cs="Times New Roman"/>
          <w:sz w:val="20"/>
          <w:szCs w:val="20"/>
        </w:rPr>
        <w:t>Crimes Legislation Amendment Bill 1987</w:t>
      </w:r>
      <w:r w:rsidRPr="00B83B65">
        <w:rPr>
          <w:rFonts w:ascii="Times New Roman" w:hAnsi="Times New Roman" w:cs="Times New Roman"/>
          <w:sz w:val="20"/>
          <w:szCs w:val="20"/>
        </w:rPr>
        <w:t xml:space="preserve"> (Cth)</w:t>
      </w:r>
    </w:p>
    <w:p w14:paraId="16987F40" w14:textId="4D9EFEEA" w:rsidR="004B7FAB" w:rsidRDefault="004B7FAB" w:rsidP="00161898">
      <w:pPr>
        <w:spacing w:line="480" w:lineRule="auto"/>
        <w:ind w:firstLine="720"/>
        <w:rPr>
          <w:rFonts w:ascii="Times New Roman" w:hAnsi="Times New Roman" w:cs="Times New Roman"/>
          <w:sz w:val="20"/>
          <w:szCs w:val="20"/>
        </w:rPr>
      </w:pPr>
      <w:r w:rsidRPr="004B7FAB">
        <w:rPr>
          <w:rFonts w:ascii="Times New Roman" w:hAnsi="Times New Roman" w:cs="Times New Roman"/>
          <w:sz w:val="20"/>
          <w:szCs w:val="20"/>
        </w:rPr>
        <w:t>Explanatory Memorandum, National Consumer Credit Protection Bill 2009 (Cth)</w:t>
      </w:r>
    </w:p>
    <w:p w14:paraId="67A62CA6" w14:textId="7B2976DF" w:rsidR="00BA7082" w:rsidRPr="00BA7082" w:rsidRDefault="00BA7082" w:rsidP="00161898">
      <w:pPr>
        <w:spacing w:line="480" w:lineRule="auto"/>
        <w:ind w:firstLine="720"/>
        <w:rPr>
          <w:rFonts w:ascii="Times New Roman" w:hAnsi="Times New Roman" w:cs="Times New Roman"/>
          <w:sz w:val="20"/>
          <w:szCs w:val="20"/>
        </w:rPr>
      </w:pPr>
      <w:r w:rsidRPr="00BA7082">
        <w:rPr>
          <w:rFonts w:ascii="Times New Roman" w:hAnsi="Times New Roman" w:cs="Times New Roman"/>
          <w:sz w:val="20"/>
          <w:szCs w:val="24"/>
        </w:rPr>
        <w:t>Godfrey,</w:t>
      </w:r>
      <w:r w:rsidR="00DA6A3D">
        <w:rPr>
          <w:rFonts w:ascii="Times New Roman" w:hAnsi="Times New Roman" w:cs="Times New Roman"/>
          <w:sz w:val="20"/>
          <w:szCs w:val="24"/>
        </w:rPr>
        <w:t xml:space="preserve"> Nicholas,</w:t>
      </w:r>
      <w:r w:rsidRPr="00BA7082">
        <w:rPr>
          <w:rFonts w:ascii="Times New Roman" w:hAnsi="Times New Roman" w:cs="Times New Roman"/>
          <w:sz w:val="20"/>
          <w:szCs w:val="24"/>
        </w:rPr>
        <w:t xml:space="preserve"> </w:t>
      </w:r>
      <w:r w:rsidRPr="00BA7082">
        <w:rPr>
          <w:rFonts w:ascii="Times New Roman" w:hAnsi="Times New Roman" w:cs="Times New Roman"/>
          <w:i/>
          <w:iCs/>
          <w:sz w:val="20"/>
          <w:szCs w:val="24"/>
        </w:rPr>
        <w:t>Rules as Code - Banking Compliance</w:t>
      </w:r>
      <w:r w:rsidRPr="00BA7082">
        <w:rPr>
          <w:rFonts w:ascii="Times New Roman" w:hAnsi="Times New Roman" w:cs="Times New Roman"/>
          <w:sz w:val="20"/>
          <w:szCs w:val="24"/>
        </w:rPr>
        <w:t xml:space="preserve"> (2020) &lt;https://github.com/NicGodfrey/Rules-As-Code_Banking-Compliance&gt;</w:t>
      </w:r>
    </w:p>
    <w:p w14:paraId="4CD73A15" w14:textId="6D1792B7" w:rsidR="004430AA" w:rsidRPr="004430AA" w:rsidRDefault="004430AA" w:rsidP="00161898">
      <w:pPr>
        <w:spacing w:line="480" w:lineRule="auto"/>
        <w:ind w:firstLine="720"/>
        <w:rPr>
          <w:rFonts w:ascii="Times New Roman" w:hAnsi="Times New Roman" w:cs="Times New Roman"/>
          <w:sz w:val="20"/>
          <w:szCs w:val="20"/>
        </w:rPr>
      </w:pPr>
      <w:r w:rsidRPr="004430AA">
        <w:rPr>
          <w:rFonts w:ascii="Times New Roman" w:hAnsi="Times New Roman" w:cs="Times New Roman"/>
          <w:sz w:val="20"/>
          <w:szCs w:val="24"/>
        </w:rPr>
        <w:t>Jenks,</w:t>
      </w:r>
      <w:r w:rsidR="00F95749">
        <w:rPr>
          <w:rFonts w:ascii="Times New Roman" w:hAnsi="Times New Roman" w:cs="Times New Roman"/>
          <w:sz w:val="20"/>
          <w:szCs w:val="24"/>
        </w:rPr>
        <w:t xml:space="preserve"> Grant,</w:t>
      </w:r>
      <w:r w:rsidRPr="004430AA">
        <w:rPr>
          <w:rFonts w:ascii="Times New Roman" w:hAnsi="Times New Roman" w:cs="Times New Roman"/>
          <w:sz w:val="20"/>
          <w:szCs w:val="24"/>
        </w:rPr>
        <w:t xml:space="preserve"> </w:t>
      </w:r>
      <w:r w:rsidRPr="004430AA">
        <w:rPr>
          <w:rFonts w:ascii="Times New Roman" w:hAnsi="Times New Roman" w:cs="Times New Roman"/>
          <w:i/>
          <w:iCs/>
          <w:sz w:val="20"/>
          <w:szCs w:val="24"/>
        </w:rPr>
        <w:t>Tribool: Three-Valued Logic Data Type.</w:t>
      </w:r>
      <w:r w:rsidRPr="004430AA">
        <w:rPr>
          <w:rFonts w:ascii="Times New Roman" w:hAnsi="Times New Roman" w:cs="Times New Roman"/>
          <w:sz w:val="20"/>
          <w:szCs w:val="24"/>
        </w:rPr>
        <w:t xml:space="preserve"> (online at 29 September 2020) &lt;http://www.grantjenks.com/docs/tribool/&gt; (‘</w:t>
      </w:r>
      <w:r w:rsidRPr="004430AA">
        <w:rPr>
          <w:rFonts w:ascii="Times New Roman" w:hAnsi="Times New Roman" w:cs="Times New Roman"/>
          <w:i/>
          <w:iCs/>
          <w:sz w:val="20"/>
          <w:szCs w:val="24"/>
        </w:rPr>
        <w:t>Tribool</w:t>
      </w:r>
      <w:r w:rsidRPr="004430AA">
        <w:rPr>
          <w:rFonts w:ascii="Times New Roman" w:hAnsi="Times New Roman" w:cs="Times New Roman"/>
          <w:sz w:val="20"/>
          <w:szCs w:val="24"/>
        </w:rPr>
        <w:t>’)</w:t>
      </w:r>
    </w:p>
    <w:p w14:paraId="17011AB2" w14:textId="34D31D2F" w:rsidR="0037367B"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Fisca, ‘From Law to Code — OpenFisca Documentation’, </w:t>
      </w:r>
      <w:r w:rsidRPr="00157B24">
        <w:rPr>
          <w:rFonts w:ascii="Times New Roman" w:hAnsi="Times New Roman" w:cs="Times New Roman"/>
          <w:i/>
          <w:iCs/>
          <w:sz w:val="20"/>
          <w:szCs w:val="20"/>
        </w:rPr>
        <w:t>Open Fisca</w:t>
      </w:r>
      <w:r w:rsidRPr="00157B24">
        <w:rPr>
          <w:rFonts w:ascii="Times New Roman" w:hAnsi="Times New Roman" w:cs="Times New Roman"/>
          <w:sz w:val="20"/>
          <w:szCs w:val="20"/>
        </w:rPr>
        <w:t xml:space="preserve"> (Wiki) &lt;https://openfisca.org/doc/coding-the-legislation/index.html&gt;</w:t>
      </w:r>
    </w:p>
    <w:p w14:paraId="23A9954A" w14:textId="630F13C0"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Open Fisca, ‘OpenFisca’, </w:t>
      </w:r>
      <w:r w:rsidRPr="00157B24">
        <w:rPr>
          <w:rFonts w:ascii="Times New Roman" w:hAnsi="Times New Roman" w:cs="Times New Roman"/>
          <w:i/>
          <w:iCs/>
          <w:sz w:val="20"/>
          <w:szCs w:val="20"/>
        </w:rPr>
        <w:t>Open Fisca</w:t>
      </w:r>
      <w:r w:rsidRPr="00157B24">
        <w:rPr>
          <w:rFonts w:ascii="Times New Roman" w:hAnsi="Times New Roman" w:cs="Times New Roman"/>
          <w:sz w:val="20"/>
          <w:szCs w:val="20"/>
        </w:rPr>
        <w:t xml:space="preserve"> (Wiki) &lt;https://openfisca.org/&gt;</w:t>
      </w:r>
    </w:p>
    <w:p w14:paraId="6D968608" w14:textId="7AEE7D55" w:rsidR="001F1318" w:rsidRPr="00157B24" w:rsidRDefault="001F1318"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‘Rules as Code – Test, Learn, Repeat’, </w:t>
      </w:r>
      <w:r w:rsidRPr="00157B24">
        <w:rPr>
          <w:rFonts w:ascii="Times New Roman" w:hAnsi="Times New Roman" w:cs="Times New Roman"/>
          <w:i/>
          <w:iCs/>
          <w:sz w:val="20"/>
          <w:szCs w:val="20"/>
        </w:rPr>
        <w:t>Digital.NSW</w:t>
      </w:r>
      <w:r w:rsidRPr="00157B24">
        <w:rPr>
          <w:rFonts w:ascii="Times New Roman" w:hAnsi="Times New Roman" w:cs="Times New Roman"/>
          <w:sz w:val="20"/>
          <w:szCs w:val="20"/>
        </w:rPr>
        <w:t xml:space="preserve"> &lt;https://www.digital.nsw.gov.au/article/rules-code-test-learn-repeat&gt;</w:t>
      </w:r>
    </w:p>
    <w:p w14:paraId="1064B45B" w14:textId="1DF22588"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 xml:space="preserve">Stanford Law School, ‘Hammurabi’, </w:t>
      </w:r>
      <w:r w:rsidRPr="00157B24">
        <w:rPr>
          <w:rFonts w:ascii="Times New Roman" w:hAnsi="Times New Roman" w:cs="Times New Roman"/>
          <w:i/>
          <w:iCs/>
          <w:sz w:val="20"/>
          <w:szCs w:val="20"/>
        </w:rPr>
        <w:t>Stanford Law School</w:t>
      </w:r>
      <w:r w:rsidRPr="00157B24">
        <w:rPr>
          <w:rFonts w:ascii="Times New Roman" w:hAnsi="Times New Roman" w:cs="Times New Roman"/>
          <w:sz w:val="20"/>
          <w:szCs w:val="20"/>
        </w:rPr>
        <w:t xml:space="preserve"> &lt;https://law.stanford.edu/projects/hammurabi/&gt;</w:t>
      </w:r>
    </w:p>
    <w:p w14:paraId="50E412C6" w14:textId="573FEB87" w:rsidR="00141674" w:rsidRPr="00157B24" w:rsidRDefault="00141674" w:rsidP="00161898">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lastRenderedPageBreak/>
        <w:t xml:space="preserve">‘Statement of Claim’, </w:t>
      </w:r>
      <w:r w:rsidRPr="00157B24">
        <w:rPr>
          <w:rFonts w:ascii="Times New Roman" w:hAnsi="Times New Roman" w:cs="Times New Roman"/>
          <w:i/>
          <w:iCs/>
          <w:sz w:val="20"/>
          <w:szCs w:val="20"/>
        </w:rPr>
        <w:t>Chief Executive Officer of the Australian Transaction Reports and Analysis Centre v Westpac Banking Corporation</w:t>
      </w:r>
      <w:r w:rsidRPr="00157B24">
        <w:rPr>
          <w:rFonts w:ascii="Times New Roman" w:hAnsi="Times New Roman" w:cs="Times New Roman"/>
          <w:sz w:val="20"/>
          <w:szCs w:val="20"/>
        </w:rPr>
        <w:t xml:space="preserve"> (Federal Court of Australia, 20 November 2019)</w:t>
      </w:r>
    </w:p>
    <w:p w14:paraId="4AD9C1F6" w14:textId="4E81E248" w:rsidR="00141674" w:rsidRDefault="005822EE" w:rsidP="00AB3E6B">
      <w:pPr>
        <w:spacing w:line="480" w:lineRule="auto"/>
        <w:ind w:firstLine="720"/>
        <w:rPr>
          <w:rFonts w:ascii="Times New Roman" w:hAnsi="Times New Roman" w:cs="Times New Roman"/>
          <w:sz w:val="20"/>
          <w:szCs w:val="20"/>
        </w:rPr>
      </w:pPr>
      <w:r w:rsidRPr="00157B24">
        <w:rPr>
          <w:rFonts w:ascii="Times New Roman" w:hAnsi="Times New Roman" w:cs="Times New Roman"/>
          <w:sz w:val="20"/>
          <w:szCs w:val="20"/>
        </w:rPr>
        <w:t>“Swearing in of Sir Own Dixon as Chief Justice” (1952) 85 CLR xi, xiv</w:t>
      </w:r>
    </w:p>
    <w:p w14:paraId="0BF58965" w14:textId="77777777" w:rsidR="007F30E7" w:rsidRPr="00157B24" w:rsidRDefault="007F30E7" w:rsidP="00AB3E6B">
      <w:pPr>
        <w:spacing w:line="480" w:lineRule="auto"/>
        <w:ind w:firstLine="720"/>
        <w:rPr>
          <w:rFonts w:ascii="Times New Roman" w:hAnsi="Times New Roman" w:cs="Times New Roman"/>
          <w:sz w:val="20"/>
          <w:szCs w:val="20"/>
        </w:rPr>
      </w:pPr>
    </w:p>
    <w:sectPr w:rsidR="007F30E7" w:rsidRPr="00157B2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9BF44" w14:textId="77777777" w:rsidR="00425DAD" w:rsidRDefault="00425DAD" w:rsidP="00A106C8">
      <w:pPr>
        <w:spacing w:after="0" w:line="240" w:lineRule="auto"/>
      </w:pPr>
      <w:r>
        <w:separator/>
      </w:r>
    </w:p>
  </w:endnote>
  <w:endnote w:type="continuationSeparator" w:id="0">
    <w:p w14:paraId="5C4ADAA4" w14:textId="77777777" w:rsidR="00425DAD" w:rsidRDefault="00425DAD" w:rsidP="00A10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9273046"/>
      <w:docPartObj>
        <w:docPartGallery w:val="Page Numbers (Bottom of Page)"/>
        <w:docPartUnique/>
      </w:docPartObj>
    </w:sdtPr>
    <w:sdtEndPr>
      <w:rPr>
        <w:noProof/>
      </w:rPr>
    </w:sdtEndPr>
    <w:sdtContent>
      <w:p w14:paraId="5774FCAF" w14:textId="55287319" w:rsidR="006F7A8D" w:rsidRDefault="006F7A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2FEF96" w14:textId="77777777" w:rsidR="006F7A8D" w:rsidRDefault="006F7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692B4C" w14:textId="77777777" w:rsidR="00425DAD" w:rsidRDefault="00425DAD" w:rsidP="00A106C8">
      <w:pPr>
        <w:spacing w:after="0" w:line="240" w:lineRule="auto"/>
      </w:pPr>
      <w:r>
        <w:separator/>
      </w:r>
    </w:p>
  </w:footnote>
  <w:footnote w:type="continuationSeparator" w:id="0">
    <w:p w14:paraId="6DBA0E15" w14:textId="77777777" w:rsidR="00425DAD" w:rsidRDefault="00425DAD" w:rsidP="00A106C8">
      <w:pPr>
        <w:spacing w:after="0" w:line="240" w:lineRule="auto"/>
      </w:pPr>
      <w:r>
        <w:continuationSeparator/>
      </w:r>
    </w:p>
  </w:footnote>
  <w:footnote w:id="1">
    <w:p w14:paraId="2C85C447" w14:textId="11B2452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{"citationID":"H6oUQxaC","properties":{"formattedCitation":"See James Mohun and Alex Roberts, \\uc0\\u8216{}Cracking the Code: Rulemaking for Humans and Machines\\uc0\\u8217{} (Observatory of Public Sector Innovation, Organsation for Economic Co-operation and Development, 27 May 2020) 58\\uc0\\u8211{}59.","plainCitation":"See James Mohun and Alex Roberts, ‘Cracking the Code: Rulemaking for Humans and Machines’ (Observatory of Public Sector Innovation, Organsation for Economic Co-operation and Development, 27 May 2020) 58–59.","noteIndex":1},"citationItems":[{"id":19,"uris":["http://zotero.org/users/6782581/items/HWX5UKVU"],"uri":["http://zotero.org/users/6782581/items/HWX5UKVU"],"itemData":{"id":19,"type":"article","publisher":"Observatory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machines","author":[{"family":"Mohun","given":"James"},{"family":"Roberts","given":"Alex"}],"issued":{"date-parts":[["2020",5,27]]}},"locator":"58-59","prefix":"See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See James Mohun and Alex Roberts, ‘Cracking the Code: Rulemaking for Humans and Machines’ (Observatory of Public Sector Innovation, Organsation for Economic Co-operation and Development, 27 May 2020) 58–59.</w:t>
      </w:r>
      <w:r w:rsidRPr="006F7A8D">
        <w:rPr>
          <w:rFonts w:ascii="Times New Roman" w:hAnsi="Times New Roman" w:cs="Times New Roman"/>
        </w:rPr>
        <w:fldChar w:fldCharType="end"/>
      </w:r>
    </w:p>
  </w:footnote>
  <w:footnote w:id="2">
    <w:p w14:paraId="07EF7C00" w14:textId="19A4774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2009</w:t>
      </w:r>
      <w:r w:rsidRPr="006F7A8D">
        <w:rPr>
          <w:rFonts w:ascii="Times New Roman" w:hAnsi="Times New Roman" w:cs="Times New Roman"/>
        </w:rPr>
        <w:t xml:space="preserve"> (Cth).</w:t>
      </w:r>
    </w:p>
  </w:footnote>
  <w:footnote w:id="3">
    <w:p w14:paraId="090ED469" w14:textId="015CF75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{"citationID":"QJ5dLzcU","properties":{"formattedCitation":"Accessible at Nicholas Godfrey, {\\i{}Rules as Code - Banking Compliance} (2020) &lt;https://github.com/NicGodfrey/Rules-As-Code_Banking-Compliance&gt;.","plainCitation":"Accessible at Nicholas Godfrey, Rules as Code - Banking Compliance (2020) &lt;https://github.com/NicGodfrey/Rules-As-Code_Banking-Compliance&gt;.","noteIndex":3},"citationItems":[{"id":344,"uris":["http://zotero.org/users/6782581/items/ZB4I4JSX"],"uri":["http://zotero.org/users/6782581/items/ZB4I4JSX"],"itemData":{"id":344,"type":"book","title":"Rules as Code - Banking Compliance","URL":"https://github.com/NicGodfrey/Rules-As-Code_Banking-Compliance","author":[{"family":"Godfrey","given":"Nicholas"}],"accessed":{"date-parts":[["2020",10,2]]},"issued":{"date-parts":[["2020",10,2]]}},"prefix":"Accessible at"}],"schema":"https://github.com/citation-style-language/schema/raw/master/csl-citation.json"}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Accessible at Nicholas Godfrey, </w:t>
      </w:r>
      <w:r w:rsidRPr="006F7A8D">
        <w:rPr>
          <w:rFonts w:ascii="Times New Roman" w:hAnsi="Times New Roman" w:cs="Times New Roman"/>
          <w:i/>
          <w:iCs/>
          <w:szCs w:val="24"/>
        </w:rPr>
        <w:t>Rules as Code - Banking Compliance</w:t>
      </w:r>
      <w:r w:rsidRPr="006F7A8D">
        <w:rPr>
          <w:rFonts w:ascii="Times New Roman" w:hAnsi="Times New Roman" w:cs="Times New Roman"/>
          <w:szCs w:val="24"/>
        </w:rPr>
        <w:t xml:space="preserve"> (2020) &lt;https://github.com/NicGodfrey/Rules-As-Code_Banking-Compliance&gt;.</w:t>
      </w:r>
      <w:r w:rsidRPr="006F7A8D">
        <w:rPr>
          <w:rFonts w:ascii="Times New Roman" w:hAnsi="Times New Roman" w:cs="Times New Roman"/>
        </w:rPr>
        <w:fldChar w:fldCharType="end"/>
      </w:r>
    </w:p>
  </w:footnote>
  <w:footnote w:id="4">
    <w:p w14:paraId="5DE75FF2" w14:textId="357744B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{"citationID":"pgYQnJho","properties":{"formattedCitation":"Martha T Roth and Harry A Hoffner, {\\i{}Law Collections from Mesopotamia and Asia Minor} (Society of Biblical Literature, 2nd ed, 1997) 13\\uc0\\u8211{}22.","plainCitation":"Martha T Roth and Harry A Hoffner, Law Collections from Mesopotamia and Asia Minor (Society of Biblical Literature, 2nd ed, 1997) 13–22.","noteIndex":4},"citationItems":[{"id":73,"uris":["http://zotero.org/users/6782581/items/J8UBSSBN"],"uri":["http://zotero.org/users/6782581/items/J8UBSSBN"],"itemData":{"id":73,"type":"book","edition":"2nd","publisher":"Society of Biblical Literature","title":"Law collections from Mesopotamia and Asia Minor","author":[{"family":"Roth","given":"Martha T."},{"family":"Hoffner","given":"Harry A."}],"issued":{"date-parts":[["1997"]]}},"locator":"13-22"}],"schema":"https://github.com/citation-style-language/schema/raw/master/csl-citation.json"}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Martha T Roth and Harry A Hoffner, </w:t>
      </w:r>
      <w:r w:rsidRPr="006F7A8D">
        <w:rPr>
          <w:rFonts w:ascii="Times New Roman" w:hAnsi="Times New Roman" w:cs="Times New Roman"/>
          <w:i/>
          <w:iCs/>
        </w:rPr>
        <w:t>Law Collections from Mesopotamia and Asia Minor</w:t>
      </w:r>
      <w:r w:rsidRPr="006F7A8D">
        <w:rPr>
          <w:rFonts w:ascii="Times New Roman" w:hAnsi="Times New Roman" w:cs="Times New Roman"/>
        </w:rPr>
        <w:t xml:space="preserve"> (Society of Biblical Literature, 2nd ed, 1997) 13–22.</w:t>
      </w:r>
      <w:r w:rsidRPr="006F7A8D">
        <w:rPr>
          <w:rFonts w:ascii="Times New Roman" w:hAnsi="Times New Roman" w:cs="Times New Roman"/>
        </w:rPr>
        <w:fldChar w:fldCharType="end"/>
      </w:r>
    </w:p>
  </w:footnote>
  <w:footnote w:id="5">
    <w:p w14:paraId="4EB26EC7" w14:textId="2D2B70E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{"citationID":"4658iEd0","properties":{"formattedCitation":"Stephen Wolfram, \\uc0\\u8216{}Computational Law, Symbolic Discourse, and the AI Constitution\\uc0\\u8217{} in {\\i{}Ethics of Artificial Intelligence} (Oxford University Press, 2020) 155, 155.","plainCitation":"Stephen Wolfram, ‘Computational Law, Symbolic Discourse, and the AI Constitution’ in Ethics of Artificial Intelligence (Oxford University Press, 2020) 155, 155.","noteIndex":5},"citationItems":[{"id":104,"uris":["http://zotero.org/users/6782581/items/28QHAVCI"],"uri":["http://zotero.org/users/6782581/items/28QHAVCI"],"itemData":{"id":104,"type":"chapter","container-title":"Ethics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Stephen Wolfram, ‘Computational Law, Symbolic Discourse, and the AI Constitution’ in </w:t>
      </w:r>
      <w:r w:rsidRPr="006F7A8D">
        <w:rPr>
          <w:rFonts w:ascii="Times New Roman" w:hAnsi="Times New Roman" w:cs="Times New Roman"/>
          <w:i/>
          <w:iCs/>
        </w:rPr>
        <w:t>Ethics of Artificial Intelligence</w:t>
      </w:r>
      <w:r w:rsidRPr="006F7A8D">
        <w:rPr>
          <w:rFonts w:ascii="Times New Roman" w:hAnsi="Times New Roman" w:cs="Times New Roman"/>
        </w:rPr>
        <w:t xml:space="preserve"> (Oxford University Press, 2020) 155, 155.</w:t>
      </w:r>
      <w:r w:rsidRPr="006F7A8D">
        <w:rPr>
          <w:rFonts w:ascii="Times New Roman" w:hAnsi="Times New Roman" w:cs="Times New Roman"/>
        </w:rPr>
        <w:fldChar w:fldCharType="end"/>
      </w:r>
    </w:p>
  </w:footnote>
  <w:footnote w:id="6">
    <w:p w14:paraId="22FF920B" w14:textId="4C6EBD49" w:rsidR="006F7A8D" w:rsidRPr="006F7A8D" w:rsidRDefault="006F7A8D" w:rsidP="00F70A88">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{"citationID":"qAqcYknH","properties":{"formattedCitation":"Layman Allen and C Engholm, \\uc0\\u8216{}Normalized Legal Drafting and the Query Method\\uc0\\u8217{} (1978) 29 {\\i{}Journal of Legal Education} 380.","plainCitation":"Layman Allen and C Engholm, ‘Normalized Legal Drafting and the Query Method’ (1978) 29 Journal of Legal Education 380.","noteIndex":6},"citationItems":[{"id":44,"uris":["http://zotero.org/users/6782581/items/UJXJJU2E"],"uri":["http://zotero.org/users/6782581/items/UJXJJU2E"],"itemData":{"id":44,"type":"article-journal","container-title":"Journal of Legal Education","page":"380-412","title":"Normalized Legal Drafting and the Query Method","volume":"29","author":[{"family":"Allen","given":"Layman"},{"family":"Engholm","given":"C."}],"issued":{"date-parts":[["1978"]]}}}],"schema":"https://github.com/citation-style-language/schema/raw/master/csl-citation.json"}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Layman Allen and C Engholm, ‘Normalized Legal Drafting and the Query Method’ (1978) 29 </w:t>
      </w:r>
      <w:r w:rsidRPr="006F7A8D">
        <w:rPr>
          <w:rFonts w:ascii="Times New Roman" w:hAnsi="Times New Roman" w:cs="Times New Roman"/>
          <w:i/>
          <w:iCs/>
        </w:rPr>
        <w:t>Journal of Legal Education</w:t>
      </w:r>
      <w:r w:rsidRPr="006F7A8D">
        <w:rPr>
          <w:rFonts w:ascii="Times New Roman" w:hAnsi="Times New Roman" w:cs="Times New Roman"/>
        </w:rPr>
        <w:t xml:space="preserve"> 380.</w:t>
      </w:r>
      <w:r w:rsidRPr="006F7A8D">
        <w:rPr>
          <w:rFonts w:ascii="Times New Roman" w:hAnsi="Times New Roman" w:cs="Times New Roman"/>
        </w:rPr>
        <w:fldChar w:fldCharType="end"/>
      </w:r>
    </w:p>
  </w:footnote>
  <w:footnote w:id="7">
    <w:p w14:paraId="3EE98533" w14:textId="36BDC2C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 – Who links them?</w:t>
      </w:r>
    </w:p>
  </w:footnote>
  <w:footnote w:id="8">
    <w:p w14:paraId="7EAA2E5E" w14:textId="15D4DC9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{"citationID":"5tNxCQtc","properties":{"formattedCitation":"Marek Sergot et al, \\uc0\\u8216{}The British Nationality Act as a Logic Program\\uc0\\u8217{} (1986) 29 {\\i{}Communications of the ACM} 370; See also Allen Hustler, {\\i{}Programming Law in Logic} (Research Report No CS-82-13, May 1982) &lt;http://www.softwarepreservation.org/projects/prolog/waterloo/doc/Hustler-Programming_Law_in_Logic-CS_82_13_Waterloo-1982.pdf&gt;; Duncan C MacRae, \\uc0\\u8216{}User Control Knowledge in a Tax Consulting System\\uc0\\u8217{} (1986) 19(17) {\\i{}IFAC Proceedings Volumes} 193.","plainCitation":"Marek Sergot et al, ‘The British Nationality Act as a Logic Program’ (1986) 29 Communications of the ACM 370; See also Allen Hustler, Programming Law in Logic (Research Report No CS-82-13, May 1982) &lt;http://www.softwarepreservation.org/projects/prolog/waterloo/doc/Hustler-Programming_Law_in_Logic-CS_82_13_Waterloo-1982.pdf&gt;; Duncan C MacRae, ‘User Control Knowledge in a Tax Consulting System’ (1986) 19(17) IFAC Proceedings Volumes 193.","noteIndex":8},"citationItems":[{"id":46,"uris":["http://zotero.org/users/6782581/items/WIX843XU"],"uri":["http://zotero.org/users/6782581/items/WIX843XU"],"itemData":{"id":46,"type":"article-journal","container-title":"Communications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id":175,"uris":["http://zotero.org/users/6782581/items/HH6DBWIK"],"uri":["http://zotero.org/users/6782581/items/HH6DBWIK"],"itemData":{"id":175,"type":"report","genre":"Research Report","number":"CS-82-13","title":"Programming Law in Logic","URL":"http://www.softwarepreservation.org/projects/prolog/waterloo/doc/Hustler-Programming_Law_in_Logic-CS_82_13_Waterloo-1982.pdf","author":[{"family":"Hustler","given":"Allen"}],"accessed":{"date-parts":[["2020",8,28]]},"issued":{"date-parts":[["1982",5]]}},"prefix":"See also"},{"id":176,"uris":["http://zotero.org/users/6782581/items/XFG8G4S8"],"uri":["http://zotero.org/users/6782581/items/XFG8G4S8"],"itemData":{"id":176,"type":"article-journal","abstract":"The purpose of this paper is to demonstrate the utility of including knowledge possessed by the user in developing a control strategy for an expert consulting system. Acquiring declarative knowledge imposes a burden on the user in terms of responding to the queries for facts as the system uses its control knowledge in an attempt to apply its procedural knowledge. Allowing the user to participate in the control strategy reduces this burden by reducing the nunber of unnecessary queries for facts. In this paper the input of control knowledge possessed by the user is illustrated in the context of a consulting system for problem solving in the domain of the Federal income tax law. This system is intended to be used by an accountant or lawyer who formulates a question of tax research and provides facts regarding a specific taxpayer to answer the question. The system is inplemented in the logic programning language Prolog.","collection-title":"IFAC Workshop on Artificial Intelligence in Economics and Management, Zurich, Switzerland, 12-14 March, 1985","container-title":"IFAC Proceedings Volumes","DOI":"10.1016/S1474-6670(17)69404-7","ISSN":"1474-6670","issue":"17","journalAbbreviation":"IFAC Proceedings Volumes","language":"en","page":"193-203","source":"ScienceDirect","title":"User control knowledge in a tax consulting system","volume":"19","author":[{"family":"MacRae","given":"Duncan C."}],"issued":{"date-parts":[["1986",3,1]]}}}],"schema":"https://github.com/citation-style-language/schema/raw/master/csl-citation.json"}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Marek Sergot et al, ‘The British Nationality Act as a Logic Program’ (1986) 29 </w:t>
      </w:r>
      <w:r w:rsidRPr="006F7A8D">
        <w:rPr>
          <w:rFonts w:ascii="Times New Roman" w:hAnsi="Times New Roman" w:cs="Times New Roman"/>
          <w:i/>
          <w:iCs/>
        </w:rPr>
        <w:t>Communications of the ACM</w:t>
      </w:r>
      <w:r w:rsidRPr="006F7A8D">
        <w:rPr>
          <w:rFonts w:ascii="Times New Roman" w:hAnsi="Times New Roman" w:cs="Times New Roman"/>
        </w:rPr>
        <w:t xml:space="preserve"> 370; See also Allen Hustler, </w:t>
      </w:r>
      <w:r w:rsidRPr="006F7A8D">
        <w:rPr>
          <w:rFonts w:ascii="Times New Roman" w:hAnsi="Times New Roman" w:cs="Times New Roman"/>
          <w:i/>
          <w:iCs/>
        </w:rPr>
        <w:t>Programming Law in Logic</w:t>
      </w:r>
      <w:r w:rsidRPr="006F7A8D">
        <w:rPr>
          <w:rFonts w:ascii="Times New Roman" w:hAnsi="Times New Roman" w:cs="Times New Roman"/>
        </w:rPr>
        <w:t xml:space="preserve"> (Research Report No CS-82-13, May 1982) &lt;http://www.softwarepreservation.org/projects/prolog/waterloo/doc/Hustler-Programming_Law_in_Logic-CS_82_13_Waterloo-1982.pdf&gt;; Duncan C MacRae, ‘User Control Knowledge in a Tax Consulting System’ (1986) 19(17) </w:t>
      </w:r>
      <w:r w:rsidRPr="006F7A8D">
        <w:rPr>
          <w:rFonts w:ascii="Times New Roman" w:hAnsi="Times New Roman" w:cs="Times New Roman"/>
          <w:i/>
          <w:iCs/>
        </w:rPr>
        <w:t>IFAC Proceedings Volumes</w:t>
      </w:r>
      <w:r w:rsidRPr="006F7A8D">
        <w:rPr>
          <w:rFonts w:ascii="Times New Roman" w:hAnsi="Times New Roman" w:cs="Times New Roman"/>
        </w:rPr>
        <w:t xml:space="preserve"> 193.</w:t>
      </w:r>
      <w:r w:rsidRPr="006F7A8D">
        <w:rPr>
          <w:rFonts w:ascii="Times New Roman" w:hAnsi="Times New Roman" w:cs="Times New Roman"/>
        </w:rPr>
        <w:fldChar w:fldCharType="end"/>
      </w:r>
    </w:p>
  </w:footnote>
  <w:footnote w:id="9">
    <w:p w14:paraId="15EAB0C3" w14:textId="5224F12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1981 </w:t>
      </w:r>
      <w:r w:rsidRPr="006F7A8D">
        <w:rPr>
          <w:rFonts w:ascii="Times New Roman" w:hAnsi="Times New Roman" w:cs="Times New Roman"/>
        </w:rPr>
        <w:t>(UK).</w:t>
      </w:r>
    </w:p>
  </w:footnote>
  <w:footnote w:id="10">
    <w:p w14:paraId="2E2FA8A3" w14:textId="6987E2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{"citationID":"8GIQqmTC","properties":{"formattedCitation":"Sergot et al (n 8) 379\\uc0\\u8211{}380.","plainCitation":"Sergot et al (n 8) 379–380.","noteIndex":10},"citationItems":[{"id":46,"uris":["http://zotero.org/users/6782581/items/WIX843XU"],"uri":["http://zotero.org/users/6782581/items/WIX843XU"],"itemData":{"id":46,"type":"article-journal","container-title":"Communications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Sergot et al (n 8) 379–380.</w:t>
      </w:r>
      <w:r w:rsidRPr="006F7A8D">
        <w:rPr>
          <w:rFonts w:ascii="Times New Roman" w:hAnsi="Times New Roman" w:cs="Times New Roman"/>
        </w:rPr>
        <w:fldChar w:fldCharType="end"/>
      </w:r>
    </w:p>
  </w:footnote>
  <w:footnote w:id="11">
    <w:p w14:paraId="6FDEBD46" w14:textId="03114E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{"citationID":"BcVekekn","properties":{"formattedCitation":"Philip Leith, \\uc0\\u8216{}The Rise and Fall of the Legal Expert System\\uc0\\u8217{} (2016) 30(3) {\\i{}International Review of Law, Computers &amp; Technology} 94, 100\\uc0\\u8211{}101.","plainCitation":"Philip Leith, ‘The Rise and Fall of the Legal Expert System’ (2016) 30(3) International Review of Law, Computers &amp; Technology 94, 100–101.","noteIndex":11},"citationItems":[{"id":178,"uris":["http://zotero.org/users/6782581/items/B5KX5Y77"],"uri":["http://zotero.org/users/6782581/items/B5KX5Y77"],"itemData":{"id":178,"type":"article-journal","container-title":"International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system","volume":"30","author":[{"family":"Leith","given":"Philip"}],"issued":{"date-parts":[["2016",9,1]]}},"locator":"100-101"}],"schema":"https://github.com/citation-style-language/schema/raw/master/csl-citation.json"}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Philip Leith, ‘The Rise and Fall of the Legal Expert System’ (2016) 30(3) </w:t>
      </w:r>
      <w:r w:rsidRPr="006F7A8D">
        <w:rPr>
          <w:rFonts w:ascii="Times New Roman" w:hAnsi="Times New Roman" w:cs="Times New Roman"/>
          <w:i/>
          <w:iCs/>
        </w:rPr>
        <w:t>International Review of Law, Computers &amp; Technology</w:t>
      </w:r>
      <w:r w:rsidRPr="006F7A8D">
        <w:rPr>
          <w:rFonts w:ascii="Times New Roman" w:hAnsi="Times New Roman" w:cs="Times New Roman"/>
        </w:rPr>
        <w:t xml:space="preserve"> 94, 100–101.</w:t>
      </w:r>
      <w:r w:rsidRPr="006F7A8D">
        <w:rPr>
          <w:rFonts w:ascii="Times New Roman" w:hAnsi="Times New Roman" w:cs="Times New Roman"/>
        </w:rPr>
        <w:fldChar w:fldCharType="end"/>
      </w:r>
    </w:p>
  </w:footnote>
  <w:footnote w:id="12">
    <w:p w14:paraId="72386B5F" w14:textId="22E4931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{"citationID":"F3peXTeB","properties":{"formattedCitation":"Ibid 100.","plainCitation":"Ibid 100.","noteIndex":12},"citationItems":[{"id":178,"uris":["http://zotero.org/users/6782581/items/B5KX5Y77"],"uri":["http://zotero.org/users/6782581/items/B5KX5Y77"],"itemData":{"id":178,"type":"article-journal","container-title":"International Review of Law, Computers &amp; Technology","DOI":"10.1080/13600869.2016.1232465","issue":"3","journalAbbreviation":"International Review of Law, Computers &amp; Technology","page":"94-106","title":"The rise and fall of the legal expert system","volume":"30","author":[{"family":"Leith","given":"Philip"}],"issued":{"date-parts":[["2016",9,1]]}},"locator":"100"}],"schema":"https://github.com/citation-style-language/schema/raw/master/csl-citation.json"}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100.</w:t>
      </w:r>
      <w:r w:rsidRPr="006F7A8D">
        <w:rPr>
          <w:rFonts w:ascii="Times New Roman" w:hAnsi="Times New Roman" w:cs="Times New Roman"/>
        </w:rPr>
        <w:fldChar w:fldCharType="end"/>
      </w:r>
    </w:p>
  </w:footnote>
  <w:footnote w:id="13">
    <w:p w14:paraId="656519FF" w14:textId="28403E2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{"citationID":"awomDONx","properties":{"formattedCitation":"Robert French, \\uc0\\u8216{}Statutory Interpretation and Rationality in Administrative Law\\uc0\\u8217{} (2015) 6\\uc0\\u8211{}7 &lt;http://www.austlii.edu.au/au/journals/AIAdminLawF/2015/20.pdf&gt;.","plainCitation":"Robert French, ‘Statutory Interpretation and Rationality in Administrative Law’ (2015) 6–7 &lt;http://www.austlii.edu.au/au/journals/AIAdminLawF/2015/20.pdf&gt;.","noteIndex":13},"citationItems":[{"id":334,"uris":["http://zotero.org/users/6782581/items/P77X2FDS"],"uri":["http://zotero.org/users/6782581/items/P77X2FDS"],"itemData":{"id":334,"type":"paper-conference","event":"National Administrative Law Conference","event-place":"Canberra, Australia","publisher-place":"Canberra, Australia","title":"Statutory Interpretation and Rationality in Administrative Law","URL":"http://www.austlii.edu.au/au/journals/AIAdminLawF/2015/20.pdf","author":[{"family":"French","given":"Robert"}],"accessed":{"date-parts":[["2020",9,29]]},"issued":{"date-parts":[["2015",7,23]]}},"locator":"6-7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Robert French, ‘Statutory Interpretation and Rationality in Administrative Law’ (2015) 6–7 &lt;http://www.austlii.edu.au/au/journals/AIAdminLawF/2015/20.pdf&gt;.</w:t>
      </w:r>
      <w:r w:rsidRPr="006F7A8D">
        <w:rPr>
          <w:rFonts w:ascii="Times New Roman" w:hAnsi="Times New Roman" w:cs="Times New Roman"/>
        </w:rPr>
        <w:fldChar w:fldCharType="end"/>
      </w:r>
    </w:p>
  </w:footnote>
  <w:footnote w:id="14">
    <w:p w14:paraId="78258910" w14:textId="1A93FFB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{"citationID":"9zLRUtCp","properties":{"formattedCitation":"Sergot et al (n 8) 385.","plainCitation":"Sergot et al (n 8) 385.","noteIndex":14},"citationItems":[{"id":46,"uris":["http://zotero.org/users/6782581/items/WIX843XU"],"uri":["http://zotero.org/users/6782581/items/WIX843XU"],"itemData":{"id":46,"type":"article-journal","container-title":"Communications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385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Sergot et al (n 8) 385.</w:t>
      </w:r>
      <w:r w:rsidRPr="006F7A8D">
        <w:rPr>
          <w:rFonts w:ascii="Times New Roman" w:hAnsi="Times New Roman" w:cs="Times New Roman"/>
        </w:rPr>
        <w:fldChar w:fldCharType="end"/>
      </w:r>
    </w:p>
  </w:footnote>
  <w:footnote w:id="15">
    <w:p w14:paraId="5B6AAA68" w14:textId="221CD619" w:rsidR="006F7A8D" w:rsidRPr="006F7A8D" w:rsidRDefault="006F7A8D" w:rsidP="00DF2A0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{"citationID":"jkG0jxCP","properties":{"formattedCitation":"Michael Genesereth, \\uc0\\u8216{}Computational Law: The Cop in the Backseat\\uc0\\u8217{} (CodeX: The Center for Legal Informatics, Stanford University, 2015) 205, 4\\uc0\\u8211{}5 &lt;http://portal.acm.org/citation.cfm?doid=1165485.1165517&gt;.","plainCitation":"Michael Genesereth, ‘Computational Law: The Cop in the Backseat’ (CodeX: The Center for Legal Informatics, Stanford University, 2015) 205, 4–5 &lt;http://portal.acm.org/citation.cfm?doid=1165485.1165517&gt;.","noteIndex":15},"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4-5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Michael Genesereth, ‘Computational Law: The Cop in the Backseat’ (CodeX: The Center for Legal Informatics, Stanford University, 2015) 205, 4–5 &lt;http://portal.acm.org/citation.cfm?doid=1165485.1165517&gt;.</w:t>
      </w:r>
      <w:r w:rsidRPr="006F7A8D">
        <w:rPr>
          <w:rFonts w:ascii="Times New Roman" w:hAnsi="Times New Roman" w:cs="Times New Roman"/>
        </w:rPr>
        <w:fldChar w:fldCharType="end"/>
      </w:r>
    </w:p>
  </w:footnote>
  <w:footnote w:id="16">
    <w:p w14:paraId="5C96E3B5" w14:textId="3552FEC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{"citationID":"hbeTWT0C","properties":{"formattedCitation":"Ibid 6.","plainCitation":"Ibid 6.","noteIndex":16},"citationItems":[{"id":26,"uris":["http://zotero.org/users/6782581/items/5C598D4E"],"uri":["http://zotero.org/users/6782581/items/5C598D4E"],"itemData":{"id":26,"type":"paper-conference","DOI":"10.1145/1165485.1165517","event-place":"Stanford,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6.</w:t>
      </w:r>
      <w:r w:rsidRPr="006F7A8D">
        <w:rPr>
          <w:rFonts w:ascii="Times New Roman" w:hAnsi="Times New Roman" w:cs="Times New Roman"/>
        </w:rPr>
        <w:fldChar w:fldCharType="end"/>
      </w:r>
    </w:p>
  </w:footnote>
  <w:footnote w:id="17">
    <w:p w14:paraId="6B0D3908" w14:textId="47F5442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{"citationID":"XkxOri0V","properties":{"formattedCitation":"Ibid 5\\uc0\\u8211{}6.","plainCitation":"Ibid 5–6.","noteIndex":17},"citationItems":[{"id":26,"uris":["http://zotero.org/users/6782581/items/5C598D4E"],"uri":["http://zotero.org/users/6782581/items/5C598D4E"],"itemData":{"id":26,"type":"paper-conference","DOI":"10.1145/1165485.1165517","event-place":"Stanford,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5–6.</w:t>
      </w:r>
      <w:r w:rsidRPr="006F7A8D">
        <w:rPr>
          <w:rFonts w:ascii="Times New Roman" w:hAnsi="Times New Roman" w:cs="Times New Roman"/>
        </w:rPr>
        <w:fldChar w:fldCharType="end"/>
      </w:r>
    </w:p>
  </w:footnote>
  <w:footnote w:id="18">
    <w:p w14:paraId="5E879571" w14:textId="789CF79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{"citationID":"GQdenm0k","properties":{"formattedCitation":"Wolfram (n 5).","plainCitation":"Wolfram (n 5).","noteIndex":18},"citationItems":[{"id":104,"uris":["http://zotero.org/users/6782581/items/28QHAVCI"],"uri":["http://zotero.org/users/6782581/items/28QHAVCI"],"itemData":{"id":104,"type":"chapter","container-title":"Ethics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Wolfram (n 5).</w:t>
      </w:r>
      <w:r w:rsidRPr="006F7A8D">
        <w:rPr>
          <w:rFonts w:ascii="Times New Roman" w:hAnsi="Times New Roman" w:cs="Times New Roman"/>
        </w:rPr>
        <w:fldChar w:fldCharType="end"/>
      </w:r>
    </w:p>
  </w:footnote>
  <w:footnote w:id="19">
    <w:p w14:paraId="517D404A" w14:textId="295D12E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{"citationID":"705eqiyh","properties":{"formattedCitation":"Ibid 156\\uc0\\u8211{}158; See also Lance A Miller, \\uc0\\u8216{}Natural Language Programming: Styles, Strategies, and Contrasts\\uc0\\u8217{} (1981) 20(2) {\\i{}IBM Systems Journal} 184 (\\uc0\\u8216{}Natural Language Programming\\uc0\\u8217{}) for early explorations into Natural Language Programming.","plainCitation":"Ibid 156–158; See also Lance A Miller, ‘Natural Language Programming: Styles, Strategies, and Contrasts’ (1981) 20(2) IBM Systems Journal 184 (‘Natural Language Programming’) for early explorations into Natural Language Programming.","noteIndex":19},"citationItems":[{"id":104,"uris":["http://zotero.org/users/6782581/items/28QHAVCI"],"uri":["http://zotero.org/users/6782581/items/28QHAVCI"],"itemData":{"id":104,"type":"chapter","container-title":"Ethics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-158"},{"id":172,"uris":["http://zotero.org/users/6782581/items/TQUPXF3K"],"uri":["http://zotero.org/users/6782581/items/TQUPXF3K"],"itemData":{"id":172,"type":"article-journal","abstract":"Our objective in this study was to obtain detailed empirical information about the nature of natural language “programming” to bring to bear on the issueosf increasing the usability of computer language interfaces. Although we expected numerous difficulties to be detected concerning the potentioalf actually implementing a system to interpret natural language programs, we were not prepared for the magnitude of what we see as being the three major obstacles: style, semantics, and world knowledge. Concerning the first, there is little way in which the vast differences in styles could be increased: programming-language style is simply alien to natural specification. With respect to semantics, we also were unprepared to find out the extent to which the selection of the appropriate “meaning” (to a word, phrase, or sentence) is dependent upon the immediate and prior context. And as for world nowledge, we suspect that the extent to which shared experiences and knowledge are critical to procedural communication and understanding among people has barely been hintaetd by our present data.","container-title":"IBM Systems Journal","DOI":"10.1147/sj.202.0184","ISSN":"0018-8670","issue":"2","note":"event: IBM Systems Journal","page":"184-215","source":"IEEE Xplore","title":"Natural language programming: Styles, strategies, and contrasts","title-short":"Natural language programming","volume":"20","author":[{"family":"Miller","given":"Lance A."}],"issued":{"date-parts":[["1981"]]}},"prefix":"See also","suffix":"for early explorations into Natural Language Programming"}],"schema":"https://github.com/citation-style-language/schema/raw/master/csl-citation.json"}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156–158; See also Lance A Miller, ‘Natural Language Programming: Styles, Strategies, and Contrasts’ (1981) 20(2) </w:t>
      </w:r>
      <w:r w:rsidRPr="006F7A8D">
        <w:rPr>
          <w:rFonts w:ascii="Times New Roman" w:hAnsi="Times New Roman" w:cs="Times New Roman"/>
          <w:i/>
          <w:iCs/>
          <w:szCs w:val="24"/>
        </w:rPr>
        <w:t>IBM Systems Journal</w:t>
      </w:r>
      <w:r w:rsidRPr="006F7A8D">
        <w:rPr>
          <w:rFonts w:ascii="Times New Roman" w:hAnsi="Times New Roman" w:cs="Times New Roman"/>
          <w:szCs w:val="24"/>
        </w:rPr>
        <w:t xml:space="preserve"> 184 (‘Natural Language Programming’) for early explorations into Natural Language Programming.</w:t>
      </w:r>
      <w:r w:rsidRPr="006F7A8D">
        <w:rPr>
          <w:rFonts w:ascii="Times New Roman" w:hAnsi="Times New Roman" w:cs="Times New Roman"/>
        </w:rPr>
        <w:fldChar w:fldCharType="end"/>
      </w:r>
    </w:p>
  </w:footnote>
  <w:footnote w:id="20">
    <w:p w14:paraId="4C3ADC65" w14:textId="32FF12F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the use of the COMPAS algorithm in </w:t>
      </w:r>
      <w:r w:rsidRPr="006F7A8D">
        <w:rPr>
          <w:rFonts w:ascii="Times New Roman" w:hAnsi="Times New Roman" w:cs="Times New Roman"/>
          <w:i/>
          <w:iCs/>
        </w:rPr>
        <w:t xml:space="preserve">Loomis v Wisconsin </w:t>
      </w:r>
      <w:r w:rsidRPr="006F7A8D">
        <w:rPr>
          <w:rFonts w:ascii="Times New Roman" w:hAnsi="Times New Roman" w:cs="Times New Roman"/>
        </w:rPr>
        <w:t xml:space="preserve">881 NW 2d 749 (Wis, 2016). See also Liu, Han-Wie, Ching-Fu Lin and Yu-Jie Chen, ‘Beyond State v. Loomis: Artificial Intelligence, Government Algorithmization, and Accountability’ (2019) 27(2) </w:t>
      </w:r>
      <w:r w:rsidRPr="006F7A8D">
        <w:rPr>
          <w:rFonts w:ascii="Times New Roman" w:hAnsi="Times New Roman" w:cs="Times New Roman"/>
          <w:i/>
          <w:iCs/>
        </w:rPr>
        <w:t>International Journal of Law and Information Technology</w:t>
      </w:r>
      <w:r w:rsidRPr="006F7A8D">
        <w:rPr>
          <w:rFonts w:ascii="Times New Roman" w:hAnsi="Times New Roman" w:cs="Times New Roman"/>
        </w:rPr>
        <w:t xml:space="preserve"> 121. </w:t>
      </w:r>
    </w:p>
  </w:footnote>
  <w:footnote w:id="21">
    <w:p w14:paraId="4E1F530F" w14:textId="63D4A3C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{"citationID":"MpOdfVhF","properties":{"formattedCitation":"See, eg, Government Information Services, {\\i{}Better Rules for Government} (Discovery Report, Department of Internal Affairs, New Zealand Government, March 2018) 21\\uc0\\u8211{}24 &lt;https://www.digital.govt.nz/dmsdocument/95-better-rules-for-government-discovery-report/html,-pseudocode-and-software-code#examples-of-legislation,-pseudocode-and-software-code&gt;; Open Fisca, \\uc0\\u8216{}From Law to Code \\uc0\\u8212{} OpenFisca Documentation\\uc0\\u8217{}, {\\i{}Open Fisca} (Wiki) &lt;https://openfisca.org/doc/coding-the-legislation/index.html&gt;; Stanford Law School, \\uc0\\u8216{}Hammurabi\\uc0\\u8217{}, {\\i{}Stanford Law School} &lt;https://law.stanford.edu/projects/hammurabi/&gt;.","plainCitation":"See, eg, Government Information Services, Better Rules for Government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Open Fisca (Wiki) &lt;https://openfisca.org/doc/coding-the-legislation/index.html&gt;; Stanford Law School, ‘Hammurabi’, Stanford Law School &lt;https://law.stanford.edu/projects/hammurabi/&gt;.","noteIndex":21},"citationItems":[{"id":1,"uris":["http://zotero.org/users/6782581/items/CE9X6PPW"],"uri":["http://zotero.org/users/6782581/items/CE9X6PPW"],"itemData":{"id":1,"type":"report","genre":"Discovery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Fisca"}],"accessed":{"date-parts":[["2020",8,23]]}}},{"id":169,"uris":["http://zotero.org/users/6782581/items/P7GHC3TW"],"uri":["http://zotero.org/users/6782581/items/P7GHC3TW"],"itemData":{"id":169,"type":"webpage","abstract":"The Hammurabi Project is an experiment in converting legal source material to the C# programming language. It’s an open source library with two comp","container-title":"Stanford Law School","language":"en","title":"Hammurabi","URL":"https://law.stanford.edu/projects/hammurabi/","author":[{"family":"School","given":"Stanford Law"}],"accessed":{"date-parts":[["2020",8,27]]}}}],"schema":"https://github.com/citation-style-language/schema/raw/master/csl-citation.json"}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Government Information Services, </w:t>
      </w:r>
      <w:r w:rsidRPr="006F7A8D">
        <w:rPr>
          <w:rFonts w:ascii="Times New Roman" w:hAnsi="Times New Roman" w:cs="Times New Roman"/>
          <w:i/>
          <w:iCs/>
        </w:rPr>
        <w:t>Better Rules for Government</w:t>
      </w:r>
      <w:r w:rsidRPr="006F7A8D">
        <w:rPr>
          <w:rFonts w:ascii="Times New Roman" w:hAnsi="Times New Roman" w:cs="Times New Roman"/>
        </w:rPr>
        <w:t xml:space="preserve"> (Discovery Report, Department of Internal Affairs, New Zealand Government, March 2018) 21–24 &lt;https://www.digital.govt.nz/dmsdocument/95-better-rules-for-government-discovery-report/html,-pseudocode-and-software-code#examples-of-legislation,-pseudocode-and-software-code&gt;; Open Fisca, ‘From Law to Code — OpenFisca Documentation’, </w:t>
      </w:r>
      <w:r w:rsidRPr="006F7A8D">
        <w:rPr>
          <w:rFonts w:ascii="Times New Roman" w:hAnsi="Times New Roman" w:cs="Times New Roman"/>
          <w:i/>
          <w:iCs/>
        </w:rPr>
        <w:t>Open Fisca</w:t>
      </w:r>
      <w:r w:rsidRPr="006F7A8D">
        <w:rPr>
          <w:rFonts w:ascii="Times New Roman" w:hAnsi="Times New Roman" w:cs="Times New Roman"/>
        </w:rPr>
        <w:t xml:space="preserve"> (Wiki) &lt;https://openfisca.org/doc/coding-the-legislation/index.html&gt;; Stanford Law School, ‘Hammurabi’, </w:t>
      </w:r>
      <w:r w:rsidRPr="006F7A8D">
        <w:rPr>
          <w:rFonts w:ascii="Times New Roman" w:hAnsi="Times New Roman" w:cs="Times New Roman"/>
          <w:i/>
          <w:iCs/>
        </w:rPr>
        <w:t>Stanford Law School</w:t>
      </w:r>
      <w:r w:rsidRPr="006F7A8D">
        <w:rPr>
          <w:rFonts w:ascii="Times New Roman" w:hAnsi="Times New Roman" w:cs="Times New Roman"/>
        </w:rPr>
        <w:t xml:space="preserve"> &lt;https://law.stanford.edu/projects/hammurabi/&gt;.</w:t>
      </w:r>
      <w:r w:rsidRPr="006F7A8D">
        <w:rPr>
          <w:rFonts w:ascii="Times New Roman" w:hAnsi="Times New Roman" w:cs="Times New Roman"/>
        </w:rPr>
        <w:fldChar w:fldCharType="end"/>
      </w:r>
    </w:p>
  </w:footnote>
  <w:footnote w:id="22">
    <w:p w14:paraId="64DDFF6A" w14:textId="3CE8AB4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{"citationID":"pyNIhBL3","properties":{"formattedCitation":"Susannah Hampton, \\uc0\\u8216{}Opportunities for AI in Regtech\\uc0\\u8217{} (Juniper Research, September 2019) 1 &lt;https://www.juniperresearch.com/document-library/white-papers/opportunities-for-ai-in-regtech-whitepaper&gt;; Sam Smith, \\uc0\\u8216{}Regtech Spending to Reach $127 Billion by 2024, as AI Drives Cost Savings\\uc0\\u8217{}, {\\i{}Juniper Research} (24 September 2019) &lt;https://www.juniperresearch.com/press/press-releases/regtech-spending-to-reach-$127-billion-by-2024&gt;. See also Emmanuel Schizas et al, {\\i{}The Global RegTech Industry Benchmark Report} (SSRN Scholarly Paper No ID 3560811, Social Science Research Network, 30 June 2019) &lt;https://papers.ssrn.com/abstract=3560811&gt;; Mohun and Roberts (n 1) 39; Deloitte Australia, \\uc0\\u8216{}Get out of Your Own Way: Unleashing Productivity\\uc0\\u8217{} (2014) &lt;https://www2.deloitte.com/au/en/pages/building-lucky-country/articles/get-out-of-your-own-way.html&gt; (\\uc0\\u8216{}Get out of Your Own Way\\uc0\\u8217{}).","plainCitation":"Susannah Hampton, ‘Opportunities for AI in Regtech’ (Juniper Research, September 2019) 1 &lt;https://www.juniperresearch.com/document-library/white-papers/opportunities-for-ai-in-regtech-whitepaper&gt;; Sam Smith, ‘Regtech Spending to Reach $127 Billion by 2024, as AI Drives Cost Savings’, Juniper Research (24 September 2019) &lt;https://www.juniperresearch.com/press/press-releases/regtech-spending-to-reach-$127-billion-by-2024&gt;. See also Emmanuel Schizas et al, The Global RegTech Industry Benchmark Report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Way’).","noteIndex":22},"citationItems":[{"id":108,"uris":["http://zotero.org/users/6782581/items/LPANZMLD"],"uri":["http://zotero.org/users/6782581/items/LPANZMLD"],"itemData":{"id":108,"type":"article","abstract":"Opportunities for AI in Regtech provides an analysis of key regtech trends.","publisher":"Juniper Research","title":"Opportunities for AI in Regtech","URL":"https://www.juniperresearch.com/document-library/white-papers/opportunities-for-ai-in-regtech-whitepaper","author":[{"family":"Hampton","given":"Susannah"}],"accessed":{"date-parts":[["2020",8,21]]},"issued":{"date-parts":[["2019",9]]}},"locator":"1"},{"id":109,"uris":["http://zotero.org/users/6782581/items/WHTLE6RL"],"uri":["http://zotero.org/users/6782581/items/WHTLE6RL"],"itemData":{"id":109,"type":"webpage","abstract":"View Juniper Research’s latest Press Release information for the media.","container-title":"Juniper Research","title":"Regtech Spending to Reach $127 Billion by 2024, as AI Drives Cost Savings","URL":"https://www.juniperresearch.com/press/press-releases/regtech-spending-to-reach-$127-billion-by-2024","author":[{"literal":"Sam Smith"}],"accessed":{"date-parts":[["2020",8,21]]},"issued":{"date-parts":[["2019",9,24]]}},"suffix":"."},{"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prefix":"See also"},{"id":19,"uris":["http://zotero.org/users/6782581/items/HWX5UKVU"],"uri":["http://zotero.org/users/6782581/items/HWX5UKVU"],"itemData":{"id":19,"type":"article","publisher":"Observatory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39"},{"id":114,"uris":["http://zotero.org/users/6782581/items/JCG34HIV"],"uri":["http://zotero.org/users/6782581/items/JCG34HIV"],"itemData":{"id":114,"type":"article","abstract":"Australia is a lucky country, with a bright future. But we have a problem – and its colour is red. Red tape, that is. There’s too much of it…and we need to address the grip it has on our economy.","language":"en","title":"Get out of your own way: Unleashing productivity","title-short":"Get out of your own way","URL":"https://www2.deloitte.com/au/en/pages/building-lucky-country/articles/get-out-of-your-own-way.html","author":[{"literal":"Deloitte Australia"}],"accessed":{"date-parts":[["2020",8,21]]},"issued":{"date-parts":[["2014"]]}}}],"schema":"https://github.com/citation-style-language/schema/raw/master/csl-citation.json"}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Susannah Hampton, ‘Opportunities for AI in Regtech’ (Juniper Research, September 2019) 1 &lt;https://www.juniperresearch.com/document-library/white-papers/opportunities-for-ai-in-regtech-whitepaper&gt;; Sam Smith, ‘Regtech Spending to Reach $127 Billion by 2024, as AI Drives Cost Savings’, </w:t>
      </w:r>
      <w:r w:rsidRPr="006F7A8D">
        <w:rPr>
          <w:rFonts w:ascii="Times New Roman" w:hAnsi="Times New Roman" w:cs="Times New Roman"/>
          <w:i/>
          <w:iCs/>
        </w:rPr>
        <w:t>Juniper Research</w:t>
      </w:r>
      <w:r w:rsidRPr="006F7A8D">
        <w:rPr>
          <w:rFonts w:ascii="Times New Roman" w:hAnsi="Times New Roman" w:cs="Times New Roman"/>
        </w:rPr>
        <w:t xml:space="preserve"> (24 September 2019) &lt;https://www.juniperresearch.com/press/press-releases/regtech-spending-to-reach-$127-billion-by-2024&gt;. See also Emmanuel Schizas et al, </w:t>
      </w:r>
      <w:r w:rsidRPr="006F7A8D">
        <w:rPr>
          <w:rFonts w:ascii="Times New Roman" w:hAnsi="Times New Roman" w:cs="Times New Roman"/>
          <w:i/>
          <w:iCs/>
        </w:rPr>
        <w:t>The Global RegTech Industry Benchmark Report</w:t>
      </w:r>
      <w:r w:rsidRPr="006F7A8D">
        <w:rPr>
          <w:rFonts w:ascii="Times New Roman" w:hAnsi="Times New Roman" w:cs="Times New Roman"/>
        </w:rPr>
        <w:t xml:space="preserve"> (SSRN Scholarly Paper No ID 3560811, Social Science Research Network, 30 June 2019) &lt;https://papers.ssrn.com/abstract=3560811&gt;; Mohun and Roberts (n 1) 39; Deloitte Australia, ‘Get out of Your Own Way: Unleashing Productivity’ (2014) &lt;https://www2.deloitte.com/au/en/pages/building-lucky-country/articles/get-out-of-your-own-way.html&gt; (‘Get out of Your Own Way’).</w:t>
      </w:r>
      <w:r w:rsidRPr="006F7A8D">
        <w:rPr>
          <w:rFonts w:ascii="Times New Roman" w:hAnsi="Times New Roman" w:cs="Times New Roman"/>
        </w:rPr>
        <w:fldChar w:fldCharType="end"/>
      </w:r>
    </w:p>
  </w:footnote>
  <w:footnote w:id="23">
    <w:p w14:paraId="05B80447" w14:textId="7E86CE0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Commonwealth, Royal Commission into Misconduct in the Banking, Superannuation and Financial Services Industry, </w:t>
      </w:r>
      <w:r w:rsidRPr="006F7A8D">
        <w:rPr>
          <w:rFonts w:ascii="Times New Roman" w:hAnsi="Times New Roman" w:cs="Times New Roman"/>
          <w:i/>
          <w:iCs/>
        </w:rPr>
        <w:t>Final Report</w:t>
      </w:r>
      <w:r w:rsidRPr="006F7A8D">
        <w:rPr>
          <w:rFonts w:ascii="Times New Roman" w:hAnsi="Times New Roman" w:cs="Times New Roman"/>
        </w:rPr>
        <w:t xml:space="preserve"> (2019). </w:t>
      </w:r>
    </w:p>
  </w:footnote>
  <w:footnote w:id="24">
    <w:p w14:paraId="7D029E35" w14:textId="54176D2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‘Statement of Claim’, </w:t>
      </w:r>
      <w:r w:rsidRPr="006F7A8D">
        <w:rPr>
          <w:rFonts w:ascii="Times New Roman" w:hAnsi="Times New Roman" w:cs="Times New Roman"/>
          <w:i/>
          <w:iCs/>
        </w:rPr>
        <w:t>Chief Executive Officer of the Australian Transaction Reports and Analysis Centre v Westpac Banking Corporation</w:t>
      </w:r>
      <w:r w:rsidRPr="006F7A8D">
        <w:rPr>
          <w:rFonts w:ascii="Times New Roman" w:hAnsi="Times New Roman" w:cs="Times New Roman"/>
        </w:rPr>
        <w:t xml:space="preserve"> (Federal Court of Australia, 20 November 2019). See also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{"citationID":"pLUWUgDI","properties":{"formattedCitation":"Westpac Banking Corporation, \\uc0\\u8216{}Westpac Releases Findings into Austrac Statement of Claim\\uc0\\u8217{} (4 June 2020) for Westpac\\uc0\\u8217{}s acknowledgement of compliance failures.","plainCitation":"Westpac Banking Corporation, ‘Westpac Releases Findings into Austrac Statement of Claim’ (4 June 2020) for Westpac’s acknowledgement of compliance failures.","noteIndex":24},"citationItems":[{"id":180,"uris":["http://zotero.org/users/6782581/items/PMCA8XAW"],"uri":["http://zotero.org/users/6782581/items/PMCA8XAW"],"itemData":{"id":180,"type":"article","language":"en","source":"Zotero","title":"Westpac Releases Findings into Austrac Statement of Claim","author":[{"literal":"Westpac Banking Corporation"}],"issued":{"date-parts":[["2020",6,4]]}},"suffix":"for Westpac's acknowledgement of compliance failures."}],"schema":"https://github.com/citation-style-language/schema/raw/master/csl-citation.json"}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Westpac Banking Corporation, ‘Westpac Releases Findings into Austrac Statement of Claim’ (4 June 2020) for Westpac’s acknowledgement of compliance failures.</w:t>
      </w:r>
      <w:r w:rsidRPr="006F7A8D">
        <w:rPr>
          <w:rFonts w:ascii="Times New Roman" w:hAnsi="Times New Roman" w:cs="Times New Roman"/>
        </w:rPr>
        <w:fldChar w:fldCharType="end"/>
      </w:r>
    </w:p>
  </w:footnote>
  <w:footnote w:id="25">
    <w:p w14:paraId="66770FD7" w14:textId="4165B64E" w:rsidR="006F7A8D" w:rsidRPr="006F7A8D" w:rsidRDefault="006F7A8D" w:rsidP="005B5B9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Australian Small Business and Family Enterprise Ombudsman, Submission No 46.1 to Select Committee on Financial Technology and Regulatory Technology, Parliament of Australia, (26 June 2020) 4, 7, 10, 17.</w:t>
      </w:r>
    </w:p>
  </w:footnote>
  <w:footnote w:id="26">
    <w:p w14:paraId="0093AA1E" w14:textId="56D94FB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EXPAND ON THIS BY UNPACKING LOOMIS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{"citationID":"ycmw5MCv","properties":{"formattedCitation":"Mohun and Roberts (n 1) 21.","plainCitation":"Mohun and Roberts (n 1) 21.","noteIndex":26},"citationItems":[{"id":19,"uris":["http://zotero.org/users/6782581/items/HWX5UKVU"],"uri":["http://zotero.org/users/6782581/items/HWX5UKVU"],"itemData":{"id":19,"type":"article","publisher":"Observatory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21.</w:t>
      </w:r>
      <w:r w:rsidRPr="006F7A8D">
        <w:rPr>
          <w:rFonts w:ascii="Times New Roman" w:hAnsi="Times New Roman" w:cs="Times New Roman"/>
        </w:rPr>
        <w:fldChar w:fldCharType="end"/>
      </w:r>
      <w:r w:rsidRPr="006F7A8D">
        <w:rPr>
          <w:rFonts w:ascii="Times New Roman" w:hAnsi="Times New Roman" w:cs="Times New Roman"/>
        </w:rPr>
        <w:t xml:space="preserve"> Though not a ‘Rules as Code’ solution, such concerns over proprietarily ‘opaque’ software being relied upon for legal decision-making were realised in </w:t>
      </w:r>
      <w:r w:rsidRPr="006F7A8D">
        <w:rPr>
          <w:rFonts w:ascii="Times New Roman" w:hAnsi="Times New Roman" w:cs="Times New Roman"/>
          <w:i/>
          <w:iCs/>
        </w:rPr>
        <w:t xml:space="preserve">Loomis v Wisconsin </w:t>
      </w:r>
      <w:r w:rsidRPr="006F7A8D">
        <w:rPr>
          <w:rFonts w:ascii="Times New Roman" w:hAnsi="Times New Roman" w:cs="Times New Roman"/>
        </w:rPr>
        <w:t>881 NW 2d 749 (Wis, 2016).</w:t>
      </w:r>
    </w:p>
  </w:footnote>
  <w:footnote w:id="27">
    <w:p w14:paraId="6EB1D80C" w14:textId="0AFF387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{"citationID":"HmsSCMtt","properties":{"formattedCitation":"Ibid 68\\uc0\\u8211{}69. See also Government Information Services (n 21); Open Fisca, \\uc0\\u8216{}OpenFisca\\uc0\\u8217{}, {\\i{}Open Fisca} (Wiki) &lt;https://openfisca.org/&gt;; Kompetenzzentrum \\uc0\\u214{}ffentliche IT [Competence Center Public IT], \\uc0\\u8216{}Recht Digital - Maschinenverst\\uc0\\u228{}ndlich Und Automatisierbar [Digital Law - Machine-Consumable and Automatable]\\uc0\\u8217{} &lt;https://www.oeffentliche-it.de/publikationen?doc=104099&amp;title=Recht+Digital+-+Maschinenverst%C3%A4ndlich+und+automatisierbar&gt;.","plainCitation":"Ibid 68–69. See also Government Information Services (n 21); Open Fisca, ‘OpenFisca’, Open Fisca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noteIndex":27},"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68-69","suffix":"."},{"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Services"}],"accessed":{"date-parts":[["2020",8,4]]},"issued":{"date-parts":[["2018",3]]}},"prefix":"See also "},{"id":136,"uris":["http://zotero.org/users/6782581/items/2M9VD42S"],"uri":["http://zotero.org/users/6782581/items/2M9VD42S"],"itemData":{"id":136,"type":"webpage","container-title":"Open Fisca","genre":"Wiki","title":"OpenFisca","URL":"https://openfisca.org/","author":[{"literal":"Open Fisca"}],"accessed":{"date-parts":[["2020",8,23]]}}},{"id":134,"uris":["http://zotero.org/users/6782581/items/K554JQ52"],"uri":["http://zotero.org/users/6782581/items/K554JQ52"],"itemData":{"id":134,"type":"article","abstract":"Eindeutige Begriffsdefinitionen, Standardisierung von Rechtsbegriffen, Visualisierung von Entscheidungsregeln und Vollzugsprozessen – das sind einige der Voraussetzungen, die bereits bei der Entstehung von Rechtsvorschriften berücksichtigt werden sollten, um die Rechtsanwendung digital möglich zu machen. Denn: Das von der Verwaltung zu vollziehende Recht ist häufig genug nicht „digitaltauglich“ – es beinhaltet also Hürden für durchgehend digitale Verwaltungsprozesse oder automatisierte Prüfungen. Der vorliegende Impuls zeigt auf, welche sozio-technischen Aspekte in der Entstehung des Rechts zu berücksichtigen sind und wie der Rechtsetzungsprozess adaptiert werden kann, um eine Grundlage für die (Teil-)Automatisierung der Rechtsanwendung zu legen. Dabei identifizieren wir die Maschinenverständlichkeit des Rechts als zentralen Hebel, der bereits in der Entwurfsphase von Gesetzen anzusetzen ist.","language":"en","note":"section: Science","title":"Recht Digital - Maschinenverständlich und automatisierbar [Digital Law - Machine-Consumable and Automatable]","URL":"https://www.oeffentliche-it.de/publikationen?doc=104099&amp;title=Recht+Digital+-+Maschinenverst%C3%A4ndlich+und+automatisierbar","author":[{"literal":"Kompetenzzentrum Öffentliche IT [Competence Center Public IT]"}],"accessed":{"date-parts":[["2020",8,23]]}}}],"schema":"https://github.com/citation-style-language/schema/raw/master/csl-citation.json"}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68–69. See also Government Information Services (n 21); Open Fisca, ‘OpenFisca’, </w:t>
      </w:r>
      <w:r w:rsidRPr="006F7A8D">
        <w:rPr>
          <w:rFonts w:ascii="Times New Roman" w:hAnsi="Times New Roman" w:cs="Times New Roman"/>
          <w:i/>
          <w:iCs/>
          <w:szCs w:val="24"/>
        </w:rPr>
        <w:t>Open Fisca</w:t>
      </w:r>
      <w:r w:rsidRPr="006F7A8D">
        <w:rPr>
          <w:rFonts w:ascii="Times New Roman" w:hAnsi="Times New Roman" w:cs="Times New Roman"/>
          <w:szCs w:val="24"/>
        </w:rPr>
        <w:t xml:space="preserve"> (Wiki) &lt;https://openfisca.org/&gt;; Kompetenzzentrum Öffentliche IT [Competence Center Public IT], ‘Recht Digital - Maschinenverständlich Und Automatisierbar [Digital Law - Machine-Consumable and Automatable]’ &lt;https://www.oeffentliche-it.de/publikationen?doc=104099&amp;title=Recht+Digital+-+Maschinenverst%C3%A4ndlich+und+automatisierbar&gt;.</w:t>
      </w:r>
      <w:r w:rsidRPr="006F7A8D">
        <w:rPr>
          <w:rFonts w:ascii="Times New Roman" w:hAnsi="Times New Roman" w:cs="Times New Roman"/>
        </w:rPr>
        <w:fldChar w:fldCharType="end"/>
      </w:r>
    </w:p>
  </w:footnote>
  <w:footnote w:id="28">
    <w:p w14:paraId="08E9829C" w14:textId="61B6C3E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{"citationID":"Ky8MYLeS","properties":{"formattedCitation":"Sonja Starr, \\uc0\\u8216{}Evidence-Based Sentencing and the Scientific Rationalization of Discrimination\\uc0\\u8217{} (2014) 66(4) {\\i{}Stanford Law Review} 803.","plainCitation":"Sonja Starr, ‘Evidence-Based Sentencing and the Scientific Rationalization of Discrimination’ (2014) 66(4) Stanford Law Review 803.","noteIndex":28},"citationItems":[{"id":34,"uris":["http://zotero.org/users/6782581/items/2ZVZMK7S"],"uri":["http://zotero.org/users/6782581/items/2ZVZMK7S"],"itemData":{"id":34,"type":"article-journal","container-title":"Stanford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Sonja Starr, ‘Evidence-Based Sentencing and the Scientific Rationalization of Discrimination’ (2014) 66(4) </w:t>
      </w:r>
      <w:r w:rsidRPr="006F7A8D">
        <w:rPr>
          <w:rFonts w:ascii="Times New Roman" w:hAnsi="Times New Roman" w:cs="Times New Roman"/>
          <w:i/>
          <w:iCs/>
        </w:rPr>
        <w:t>Stanford Law Review</w:t>
      </w:r>
      <w:r w:rsidRPr="006F7A8D">
        <w:rPr>
          <w:rFonts w:ascii="Times New Roman" w:hAnsi="Times New Roman" w:cs="Times New Roman"/>
        </w:rPr>
        <w:t xml:space="preserve"> 803.</w:t>
      </w:r>
      <w:r w:rsidRPr="006F7A8D">
        <w:rPr>
          <w:rFonts w:ascii="Times New Roman" w:hAnsi="Times New Roman" w:cs="Times New Roman"/>
        </w:rPr>
        <w:fldChar w:fldCharType="end"/>
      </w:r>
    </w:p>
  </w:footnote>
  <w:footnote w:id="29">
    <w:p w14:paraId="1574C1D7" w14:textId="3F6ADD0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Liu, Han-Wie, Ching-Fu Lin and Yu-Jie Chen (n 17).</w:t>
      </w:r>
    </w:p>
  </w:footnote>
  <w:footnote w:id="30">
    <w:p w14:paraId="3B432EB6" w14:textId="05B34D4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Jeff Larson et al, ‘How We Analyzed the COMPAS Recidivism Algorithm’, ProPublica (online, 23 May 2016) &lt;https://www.propublica.org/article/how-we-analyzed-the-compas-recidivism-algorithm&gt;; ProPublica, </w:t>
      </w:r>
      <w:r w:rsidRPr="006F7A8D">
        <w:rPr>
          <w:rFonts w:ascii="Times New Roman" w:hAnsi="Times New Roman" w:cs="Times New Roman"/>
          <w:i/>
          <w:iCs/>
        </w:rPr>
        <w:t>COMPAS Recidivism Risk Score Data and Analysis</w:t>
      </w:r>
      <w:r w:rsidRPr="006F7A8D">
        <w:rPr>
          <w:rFonts w:ascii="Times New Roman" w:hAnsi="Times New Roman" w:cs="Times New Roman"/>
        </w:rPr>
        <w:t xml:space="preserve"> (Dataset, March 2020) &lt;https://propublica.org/datastore/dataset/compas-recidivism-risk-score-data-and-analysis&gt;; Julia Angwin and Jeff Larson, ‘ProPublica Responds to Company’s Critique of Machine Bias Story’, </w:t>
      </w:r>
      <w:r w:rsidRPr="006F7A8D">
        <w:rPr>
          <w:rFonts w:ascii="Times New Roman" w:hAnsi="Times New Roman" w:cs="Times New Roman"/>
          <w:i/>
          <w:iCs/>
        </w:rPr>
        <w:t>ProPublica</w:t>
      </w:r>
      <w:r w:rsidRPr="006F7A8D">
        <w:rPr>
          <w:rFonts w:ascii="Times New Roman" w:hAnsi="Times New Roman" w:cs="Times New Roman"/>
        </w:rPr>
        <w:t xml:space="preserve"> (online, 29 July 2016) &lt;https://www.propublica.org/article/propublica-responds-to-companys-critique-of-machine-bias-story&gt;. </w:t>
      </w:r>
    </w:p>
  </w:footnote>
  <w:footnote w:id="31">
    <w:p w14:paraId="2081A2F7" w14:textId="0A3F447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{"citationID":"EJoC2k8c","properties":{"formattedCitation":"Starr (n 28) 836\\uc0\\u8211{}837.","plainCitation":"Starr (n 28) 836–837.","noteIndex":31},"citationItems":[{"id":34,"uris":["http://zotero.org/users/6782581/items/2ZVZMK7S"],"uri":["http://zotero.org/users/6782581/items/2ZVZMK7S"],"itemData":{"id":34,"type":"article-journal","container-title":"Stanford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Discrimination","volume":"66","author":[{"family":"Starr","given":"Sonja"}],"issued":{"date-parts":[["2014"]]}},"locator":"836-837"}],"schema":"https://github.com/citation-style-language/schema/raw/master/csl-citation.json"}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Starr (n 28) 836–837.</w:t>
      </w:r>
      <w:r w:rsidRPr="006F7A8D">
        <w:rPr>
          <w:rFonts w:ascii="Times New Roman" w:hAnsi="Times New Roman" w:cs="Times New Roman"/>
        </w:rPr>
        <w:fldChar w:fldCharType="end"/>
      </w:r>
    </w:p>
  </w:footnote>
  <w:footnote w:id="32">
    <w:p w14:paraId="1C721112" w14:textId="2269BC0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33">
    <w:p w14:paraId="45E11357" w14:textId="51FDFB1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Jeff Larson et al, (n 27); Angwin, Julia and Jeff Larson (n 27). </w:t>
      </w:r>
    </w:p>
  </w:footnote>
  <w:footnote w:id="34">
    <w:p w14:paraId="09F93F03" w14:textId="6BE46F8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Northpointe, ‘Practitioner’s Guide to COMPAS Core’ (Guidance, Northpointe, 19 March 2015) 29. </w:t>
      </w:r>
    </w:p>
  </w:footnote>
  <w:footnote w:id="35">
    <w:p w14:paraId="02798E03" w14:textId="5EF21CC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{"citationID":"g2b0CbVi","properties":{"formattedCitation":"Starr (n 28) 837\\uc0\\u8211{}838.","plainCitation":"Starr (n 28) 837–838.","noteIndex":35},"citationItems":[{"id":34,"uris":["http://zotero.org/users/6782581/items/2ZVZMK7S"],"uri":["http://zotero.org/users/6782581/items/2ZVZMK7S"],"itemData":{"id":34,"type":"article-journal","container-title":"Stanford Law Review","issue":"4","page":"803","title":"Evidence-Based Sentencing and the Scientific Rationalization of Discrimination","volume":"66","author":[{"family":"Starr","given":"Sonja"}],"issued":{"date-parts":[["2014"]]}},"locator":"837-838"}],"schema":"https://github.com/citation-style-language/schema/raw/master/csl-citation.json"}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Starr (n 28) 837–838.</w:t>
      </w:r>
      <w:r w:rsidRPr="006F7A8D">
        <w:rPr>
          <w:rFonts w:ascii="Times New Roman" w:hAnsi="Times New Roman" w:cs="Times New Roman"/>
        </w:rPr>
        <w:fldChar w:fldCharType="end"/>
      </w:r>
    </w:p>
  </w:footnote>
  <w:footnote w:id="36">
    <w:p w14:paraId="0EFDFE21" w14:textId="4DCC27F7" w:rsidR="006F7A8D" w:rsidRPr="006F7A8D" w:rsidRDefault="006F7A8D" w:rsidP="0020319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{"citationID":"0RlL0EnK","properties":{"formattedCitation":"Genesereth (n 15) 5.","plainCitation":"Genesereth (n 15) 5.","noteIndex":36},"citationItems":[{"id":26,"uris":["http://zotero.org/users/6782581/items/5C598D4E"],"uri":["http://zotero.org/users/6782581/items/5C598D4E"],"itemData":{"id":26,"type":"paper-conference","DOI":"10.1145/1165485.1165517","event-place":"Stanford,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locator":"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Genesereth (n 15) 5.</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37">
    <w:p w14:paraId="3C6EEF4A" w14:textId="5D5D0B4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{"citationID":"iorUKKDm","properties":{"formattedCitation":"{\\i{}West\\uc0\\u8217{}s Encyclopedia of American Law} (online at 25 August 2020) \\uc0\\u8216{}formalism\\uc0\\u8217{}.","plainCitation":"West’s Encyclopedia of American Law (online at 25 August 2020) ‘formalism’.","noteIndex":37},"citationItems":[{"id":140,"uris":["http://zotero.org/users/6782581/items/9CP4Z6PX"],"uri":["http://zotero.org/users/6782581/items/9CP4Z6PX"],"itemData":{"id":140,"type":"entry-dictionary","container-title":"West's Encyclopedia of American Law","edition":"2nd","source":"The Free Dictionary","title":"formalism","URL":"https://legal-dictionary.thefreedictionary.com/formalism","accessed":{"date-parts":[["2020",8,25]]},"issued":{"date-parts":[["2008"]]}}}],"schema":"https://github.com/citation-style-language/schema/raw/master/csl-citation.json"}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West’s Encyclopedia of American Law</w:t>
      </w:r>
      <w:r w:rsidRPr="006F7A8D">
        <w:rPr>
          <w:rFonts w:ascii="Times New Roman" w:hAnsi="Times New Roman" w:cs="Times New Roman"/>
        </w:rPr>
        <w:t xml:space="preserve"> (online at 25 August 2020) ‘formalism’.</w:t>
      </w:r>
      <w:r w:rsidRPr="006F7A8D">
        <w:rPr>
          <w:rFonts w:ascii="Times New Roman" w:hAnsi="Times New Roman" w:cs="Times New Roman"/>
        </w:rPr>
        <w:fldChar w:fldCharType="end"/>
      </w:r>
    </w:p>
  </w:footnote>
  <w:footnote w:id="38">
    <w:p w14:paraId="2B348362" w14:textId="74568EF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{"citationID":"Q4OKd7Yj","properties":{"formattedCitation":"Judge Richard A. Posner, \\uc0\\u8216{}Nine Theories of Judicial Behavior\\uc0\\u8217{} in {\\i{}How Judges Think} (Harvard University Press, 2008) 19, 42 &lt;https://www.jstor.org/stable/j.ctvjk2w91.4&gt;; Brian Z Tamanaha, \\uc0\\u8216{}INTRODUCTION\\uc0\\u8217{} in {\\i{}Beyond the Formalist-Realist Divide} (Princeton University Press, 2010) 1, 1\\uc0\\u8211{}6 &lt;https://www.jstor.org/stable/j.ctt7rm95.4&gt;; Brian Leiter, \\uc0\\u8216{}Positivism, Formalism, Realism\\uc0\\u8217{}, ed Anthony Sebok (1999) 99(4) {\\i{}Columbia Law Review} 1138, 1144\\uc0\\u8211{}1147.","plainCitation":"Judge Richard A. Posner, ‘Nine Theories of Judicial Behavior’ in How Judges Think (Harvard University Press, 2008) 19, 42 &lt;https://www.jstor.org/stable/j.ctvjk2w91.4&gt;; Brian Z Tamanaha, ‘INTRODUCTION’ in Beyond the Formalist-Realist Divide (Princeton University Press, 2010) 1, 1–6 &lt;https://www.jstor.org/stable/j.ctt7rm95.4&gt;; Brian Leiter, ‘Positivism, Formalism, Realism’, ed Anthony Sebok (1999) 99(4) Columbia Law Review 1138, 1144–1147.","noteIndex":38},"citationItems":[{"id":58,"uris":["http://zotero.org/users/6782581/items/4KSSRSZ7"],"uri":["http://zotero.org/users/6782581/items/4KSSRSZ7"],"itemData":{"id":58,"type":"chapter","abstract":"There are many positive (that is, descriptive as distinct from normative) theories of judicial behavior.¹ Their primary focus is, as one would expect, on explaining judges’ decisions. The theories are the attitudinal, the strategic, the sociological, the psychological, the economic, the organizational, the pragmatic, the phenomenological, and, of course, what I am calling the legalist theory. All the theories have merit and feed into the theory of decision making that I develop in this book. But all are overstated or incomplete. And missing from the welter of theories—the gap this book endeavors to fill, though in part simply by","archive":"JSTOR","container-title":"How Judges Think","ISBN":"978-0-674-02820-3","page":"19-56","publisher":"Harvard University Press","source":"JSTOR","title":"Nine Theories of Judicial Behavior","URL":"https://www.jstor.org/stable/j.ctvjk2w91.4","author":[{"literal":"Judge Richard A. Posner"}],"accessed":{"date-parts":[["2020",8,17]]},"issued":{"date-parts":[["2008"]]}},"locator":"42"},{"id":59,"uris":["http://zotero.org/users/6782581/items/C7EG46IR"],"uri":["http://zotero.org/users/6782581/items/C7EG46IR"],"itemData":{"id":59,"type":"chapter","abstract":"PERSPECTIVES ON JUDGING in the United States are dominated by a story about the formalists and the realists. From the 1870s through the 1920s—the heyday of legal formalism—lawyers and judges saw law as autonomous, comprehensive, logically ordered, and determinate and believed that judges engaged in pure mechanical deduction from this body of law to produce single correct outcomes. In the 1920s and 1930s, building upon the insights of Oliver Wendell Holmes, Roscoe Pound, and Benjamin Cardozo, the legal realists discredited legal formalism, demonstrating that the law is filled with gaps and contradictions, that the law is indeterminate, that","archive":"JSTOR","collection-title":"The Role of Politics in Judging","container-title":"Beyond the Formalist-Realist Divide","ISBN":"978-0-691-14280-7","note":"DOI: 10.2307/j.ctt7rm95.4","page":"1-10","publisher":"Princeton University Press","source":"JSTOR","title":"INTRODUCTION","URL":"https://www.jstor.org/stable/j.ctt7rm95.4","author":[{"family":"Tamanaha","given":"Brian Z."}],"accessed":{"date-parts":[["2020",8,17]]},"issued":{"date-parts":[["2010"]]}},"locator":"1-6"},{"id":60,"uris":["http://zotero.org/users/6782581/items/RRQP942X"],"uri":["http://zotero.org/users/6782581/items/RRQP942X"],"itemData":{"id":60,"type":"article-journal","abstract":"In \"Legal Positivism in American Jurisprudence,\" Anthony Sebok traces the historical and philosophical relationship between legal positivism and the dominant schools of American jurisprudence: Formalism, Realism, Legal Process, and Fundamental Rights. Sebok argues that formalism followed from the central tenets of Classical Positivism, and that both schools of thought were discredited--through misunderstandings--during the Realist period. Positivism's essential tenets were reasserted by Legal Process scholars, though soon thereafter misappropriated by politically conservative theorists. In the concluding chapters of the book, Sebok argues that the recent theory known as \"Soft\" Positivism or \"Incorporationism\" holds out the possibility of redeeming the liberal political credentials of positivism. In this Review Essay, Professor Leiter questions Sebok's jurisprudential analysis. In Part I, Leiter sets forth the central tenets of positivism, formalism, and realism. In Part II, he critiques each step in Sebok's jurisprudential argument. He shows that formalism has no conceptual connection with positivism, while realism is essentially predicated on a positivist conception of law. Moreover, Leiter finds that Legal Process has far greater affinities with Ronald Dworkin's jurisprudence than with positivism. Finally, Soft Positivism cannot redeem positivism's liberal credentials because positivism does not entail any political commitments in adjudication. Leiter concludes by questioning Sebok's acceptance of the correctness of Soft Positivism as a theory of law.","archive":"JSTOR","container-title":"Columbia Law Review","DOI":"10.2307/1123484","ISSN":"0010-1958","issue":"4","note":"publisher: Columbia Law Review Association, Inc.","page":"1138-1164","source":"JSTOR","title":"Positivism, Formalism, Realism","volume":"99","editor":[{"family":"Sebok","given":"Anthony"}],"author":[{"family":"Leiter","given":"Brian"}],"issued":{"date-parts":[["1999"]]}},"locator":"1144-1147"}],"schema":"https://github.com/citation-style-language/schema/raw/master/csl-citation.json"}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Judge Richard A. Posner, ‘Nine Theories of Judicial Behavior’ in </w:t>
      </w:r>
      <w:r w:rsidRPr="006F7A8D">
        <w:rPr>
          <w:rFonts w:ascii="Times New Roman" w:hAnsi="Times New Roman" w:cs="Times New Roman"/>
          <w:i/>
          <w:iCs/>
        </w:rPr>
        <w:t>How Judges Think</w:t>
      </w:r>
      <w:r w:rsidRPr="006F7A8D">
        <w:rPr>
          <w:rFonts w:ascii="Times New Roman" w:hAnsi="Times New Roman" w:cs="Times New Roman"/>
        </w:rPr>
        <w:t xml:space="preserve"> (Harvard University Press, 2008) 19, 42 &lt;https://www.jstor.org/stable/j.ctvjk2w91.4&gt;; Brian Z Tamanaha, ‘INTRODUCTION’ in </w:t>
      </w:r>
      <w:r w:rsidRPr="006F7A8D">
        <w:rPr>
          <w:rFonts w:ascii="Times New Roman" w:hAnsi="Times New Roman" w:cs="Times New Roman"/>
          <w:i/>
          <w:iCs/>
        </w:rPr>
        <w:t>Beyond the Formalist-Realist Divide</w:t>
      </w:r>
      <w:r w:rsidRPr="006F7A8D">
        <w:rPr>
          <w:rFonts w:ascii="Times New Roman" w:hAnsi="Times New Roman" w:cs="Times New Roman"/>
        </w:rPr>
        <w:t xml:space="preserve"> (Princeton University Press, 2010) 1, 1–6 &lt;https://www.jstor.org/stable/j.ctt7rm95.4&gt;; Brian Leiter, ‘Positivism, Formalism, Realism’, ed Anthony Sebok (1999) 99(4) </w:t>
      </w:r>
      <w:r w:rsidRPr="006F7A8D">
        <w:rPr>
          <w:rFonts w:ascii="Times New Roman" w:hAnsi="Times New Roman" w:cs="Times New Roman"/>
          <w:i/>
          <w:iCs/>
        </w:rPr>
        <w:t>Columbia Law Review</w:t>
      </w:r>
      <w:r w:rsidRPr="006F7A8D">
        <w:rPr>
          <w:rFonts w:ascii="Times New Roman" w:hAnsi="Times New Roman" w:cs="Times New Roman"/>
        </w:rPr>
        <w:t xml:space="preserve"> 1138, 1144–1147.</w:t>
      </w:r>
      <w:r w:rsidRPr="006F7A8D">
        <w:rPr>
          <w:rFonts w:ascii="Times New Roman" w:hAnsi="Times New Roman" w:cs="Times New Roman"/>
        </w:rPr>
        <w:fldChar w:fldCharType="end"/>
      </w:r>
    </w:p>
  </w:footnote>
  <w:footnote w:id="39">
    <w:p w14:paraId="508182B3" w14:textId="3D31552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{"citationID":"qUrvp459","properties":{"formattedCitation":"Joe McIntyre, \\uc0\\u8216{}CSIRO Wants Our Laws Turned into Computer Code. Here\\uc0\\u8217{}s Why That\\uc0\\u8217{}s a Bad Idea\\uc0\\u8217{}, {\\i{}The Conversation} (20 January 2020) &lt;http://theconversation.com/csiro-wants-our-laws-turned-into-computer-code-heres-why-thats-a-bad-idea-130131&gt;.","plainCitation":"Joe McIntyre, ‘CSIRO Wants Our Laws Turned into Computer Code. Here’s Why That’s a Bad Idea’, The Conversation (20 January 2020) &lt;http://theconversation.com/csiro-wants-our-laws-turned-into-computer-code-heres-why-thats-a-bad-idea-130131&gt;.","noteIndex":39},"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Joe McIntyre, ‘CSIRO Wants Our Laws Turned into Computer Code. Here’s Why That’s a Bad Idea’, </w:t>
      </w:r>
      <w:r w:rsidRPr="006F7A8D">
        <w:rPr>
          <w:rFonts w:ascii="Times New Roman" w:hAnsi="Times New Roman" w:cs="Times New Roman"/>
          <w:i/>
          <w:iCs/>
        </w:rPr>
        <w:t>The Conversation</w:t>
      </w:r>
      <w:r w:rsidRPr="006F7A8D">
        <w:rPr>
          <w:rFonts w:ascii="Times New Roman" w:hAnsi="Times New Roman" w:cs="Times New Roman"/>
        </w:rPr>
        <w:t xml:space="preserve"> (20 January 2020) &lt;http://theconversation.com/csiro-wants-our-laws-turned-into-computer-code-heres-why-thats-a-bad-idea-130131&gt;.</w:t>
      </w:r>
      <w:r w:rsidRPr="006F7A8D">
        <w:rPr>
          <w:rFonts w:ascii="Times New Roman" w:hAnsi="Times New Roman" w:cs="Times New Roman"/>
        </w:rPr>
        <w:fldChar w:fldCharType="end"/>
      </w:r>
    </w:p>
  </w:footnote>
  <w:footnote w:id="40">
    <w:p w14:paraId="28CDDB10" w14:textId="77777777" w:rsidR="006F7A8D" w:rsidRPr="006F7A8D" w:rsidRDefault="006F7A8D" w:rsidP="00DE440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Code civil des français </w:t>
      </w:r>
      <w:r w:rsidRPr="006F7A8D">
        <w:rPr>
          <w:rFonts w:ascii="Times New Roman" w:hAnsi="Times New Roman" w:cs="Times New Roman"/>
        </w:rPr>
        <w:t>[Civil code of the French] (France).</w:t>
      </w:r>
    </w:p>
  </w:footnote>
  <w:footnote w:id="41">
    <w:p w14:paraId="1777F693" w14:textId="4D6D38A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art 5.</w:t>
      </w:r>
    </w:p>
  </w:footnote>
  <w:footnote w:id="42">
    <w:p w14:paraId="6ABC21AE" w14:textId="5A51384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 TO SUPPORT THIS STATEMENT</w:t>
      </w:r>
    </w:p>
  </w:footnote>
  <w:footnote w:id="43">
    <w:p w14:paraId="36278AC5" w14:textId="271D93E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198 US 45 (1905).</w:t>
      </w:r>
    </w:p>
  </w:footnote>
  <w:footnote w:id="44">
    <w:p w14:paraId="173E3341" w14:textId="7041434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“Swearing in of Sir Own Dixon as Chief Justice” (1952) 85 CLR xi, xiv.</w:t>
      </w:r>
    </w:p>
  </w:footnote>
  <w:footnote w:id="45">
    <w:p w14:paraId="5C8BBAE8" w14:textId="3899D0E1" w:rsidR="006F7A8D" w:rsidRPr="006F7A8D" w:rsidRDefault="006F7A8D" w:rsidP="00C42A23">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{"citationID":"QioO5I4J","properties":{"formattedCitation":"See, eg, {\\i{}Australian National Airways Pty Ltd v Commonwealth (No 1) (\\uc0\\u8216{}Airlines Nationalisation case\\uc0\\u8217{})} (1945) 71 CLR 29.","plainCitation":"See, eg, Australian National Airways Pty Ltd v Commonwealth (No 1) (‘Airlines Nationalisation case’) (1945) 71 CLR 29.","noteIndex":45},"citationItems":[{"id":68,"uris":["http://zotero.org/users/6782581/items/URMZBFEJ"],"uri":["http://zotero.org/users/6782581/items/URMZBFEJ"],"itemData":{"id":68,"type":"legal_case","container-title":"CLR","note":"jurisdiction: Commonwealth","page":"29","title":"Australian National Airways Pty Ltd v Commonwealth (No 1) (\"Airlines Nationalisation case\")","URL":"http://www6.austlii.edu.au/cgi-bin/viewdoc/au/cases/cth/HCA/1945/41.html","volume":"71","accessed":{"date-parts":[["2020",8,18]]},"issued":{"date-parts":[["1945",12,14]]}},"prefix":"See, eg,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w:t>
      </w:r>
      <w:r w:rsidRPr="006F7A8D">
        <w:rPr>
          <w:rFonts w:ascii="Times New Roman" w:hAnsi="Times New Roman" w:cs="Times New Roman"/>
          <w:i/>
          <w:iCs/>
        </w:rPr>
        <w:t>Australian National Airways Pty Ltd v Commonwealth (No 1) (‘Airlines Nationalisation case’)</w:t>
      </w:r>
      <w:r w:rsidRPr="006F7A8D">
        <w:rPr>
          <w:rFonts w:ascii="Times New Roman" w:hAnsi="Times New Roman" w:cs="Times New Roman"/>
        </w:rPr>
        <w:t xml:space="preserve"> (1945) 71 CLR 29.</w:t>
      </w:r>
      <w:r w:rsidRPr="006F7A8D">
        <w:rPr>
          <w:rFonts w:ascii="Times New Roman" w:hAnsi="Times New Roman" w:cs="Times New Roman"/>
        </w:rPr>
        <w:fldChar w:fldCharType="end"/>
      </w:r>
    </w:p>
  </w:footnote>
  <w:footnote w:id="46">
    <w:p w14:paraId="2565C099" w14:textId="171C7DD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Dixon J, “Concerning Judicial Method” (1956) 29 ALJ 468, 472, where Dixon distinguishes between judicial development of the law through extension of accepted principles and the deliberate abandonment of a given principle.</w:t>
      </w:r>
    </w:p>
  </w:footnote>
  <w:footnote w:id="47">
    <w:p w14:paraId="2B24C9A3" w14:textId="51BD912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{"citationID":"bJF880KA","properties":{"formattedCitation":"Justice Michael Kirby, \\uc0\\u8216{}\\uc0\\u8220{}Judicial Activism\\uc0\\u8221{}? A Riposte to the Counter-Reformation\\uc0\\u8217{} 11 {\\i{}Otago Law Review} 1, 3\\uc0\\u8211{}4.","plainCitation":"Justice Michael Kirby, ‘“Judicial Activism”? A Riposte to the Counter-Reformation’ 11 Otago Law Review 1, 3–4.","noteIndex":47},"citationItems":[{"id":65,"uris":["http://zotero.org/users/6782581/items/WN74FDZY"],"uri":["http://zotero.org/users/6782581/items/WN74FDZY"],"itemData":{"id":65,"type":"article-journal","container-title":"Otago Law Review","page":"1","title":"\"Judicial Activism\"? A Riposte to the Counter-Reformation","volume":"11","author":[{"literal":"Justice Michael Kirby"}]},"locator":"3-4"}],"schema":"https://github.com/citation-style-language/schema/raw/master/csl-citation.json"}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Justice Michael Kirby, ‘“Judicial Activism”? A Riposte to the Counter-Reformation’ 11 </w:t>
      </w:r>
      <w:r w:rsidRPr="006F7A8D">
        <w:rPr>
          <w:rFonts w:ascii="Times New Roman" w:hAnsi="Times New Roman" w:cs="Times New Roman"/>
          <w:i/>
          <w:iCs/>
        </w:rPr>
        <w:t>Otago Law Review</w:t>
      </w:r>
      <w:r w:rsidRPr="006F7A8D">
        <w:rPr>
          <w:rFonts w:ascii="Times New Roman" w:hAnsi="Times New Roman" w:cs="Times New Roman"/>
        </w:rPr>
        <w:t xml:space="preserve"> 1, 3–4.</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48">
    <w:p w14:paraId="292DA9D1" w14:textId="41A7DA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{"citationID":"tNvBMMOL","properties":{"formattedCitation":"Ibid 3.","plainCitation":"Ibid 3.","noteIndex":48},"citationItems":[{"id":65,"uris":["http://zotero.org/users/6782581/items/WN74FDZY"],"uri":["http://zotero.org/users/6782581/items/WN74FDZY"],"itemData":{"id":65,"type":"article-journal","container-title":"Otago Law Review","page":"1","title":"\"Judicial Activism\"? A Riposte to the Counter-Reformation","volume":"11","author":[{"literal":"Justice Michael Kirby"}]},"locator":"3"}],"schema":"https://github.com/citation-style-language/schema/raw/master/csl-citation.json"}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3.</w:t>
      </w:r>
      <w:r w:rsidRPr="006F7A8D">
        <w:rPr>
          <w:rFonts w:ascii="Times New Roman" w:hAnsi="Times New Roman" w:cs="Times New Roman"/>
        </w:rPr>
        <w:fldChar w:fldCharType="end"/>
      </w:r>
      <w:r w:rsidRPr="006F7A8D">
        <w:rPr>
          <w:rFonts w:ascii="Times New Roman" w:hAnsi="Times New Roman" w:cs="Times New Roman"/>
        </w:rPr>
        <w:t xml:space="preserve"> See also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{"citationID":"PoFNpaVr","properties":{"formattedCitation":"Bryan Horrigan, \\uc0\\u8216{}Australian Legal Principles in Practice \\uc0\\u8211{} Taking Reasoning and Research Seriously\\uc0\\u8217{} (1993) 9 {\\i{}Queensland University of Technology Law Journal} 159, 162.","plainCitation":"Bryan Horrigan, ‘Australian Legal Principles in Practice – Taking Reasoning and Research Seriously’ (1993) 9 Queensland University of Technology Law Journal 159, 162.","noteIndex":48},"citationItems":[{"id":62,"uris":["http://zotero.org/users/6782581/items/9CV58W3X"],"uri":["http://zotero.org/users/6782581/items/9CV58W3X"],"itemData":{"id":62,"type":"article-journal","abstract":"The best lawyers are fully skilled lawyers. Fully skilled lawyers unify legal theory and legal practice, by integrating four key components of legal education -jurisprudence, substantive law (or \"black letter\" law), client-based work, and legal methodology (ie legal reasoning and research). In other words, lawyers cannot fully analyse law without enhanced skills in legal methodology, and they cannot fully appreciate important legal developments without appreciating their jurisprudential implications, their place within the body of Australian law, and their practical implications. Applied jurisprudence supplies the conceptual framework for the unification of legal theory and legal practice. Topical developmentsin legal areas as varied as High Court reasoning, pre-receivership contracts, and native title illuminate the value of this over-arching enterprise of applied jurisprudence and the need for fully skilled lawyers.","container-title":"Queensland University of Technology Law Journal","DOI":"10.5204/qutlr.v9i0.376","ISSN":"2201-7275, 2205-0507","language":"en","page":"159-182","source":"DOI.org (Crossref)","title":"Australian Legal Principles in Practice – Taking Reasoning and Research Seriously","volume":"9","author":[{"family":"Horrigan","given":"Bryan"}],"issued":{"date-parts":[["1993",10,30]]}},"locator":"162"}],"schema":"https://github.com/citation-style-language/schema/raw/master/csl-citation.json"}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Bryan Horrigan, ‘Australian Legal Principles in Practice – Taking Reasoning and Research Seriously’ (1993) 9 </w:t>
      </w:r>
      <w:r w:rsidRPr="006F7A8D">
        <w:rPr>
          <w:rFonts w:ascii="Times New Roman" w:hAnsi="Times New Roman" w:cs="Times New Roman"/>
          <w:i/>
          <w:iCs/>
        </w:rPr>
        <w:t>Queensland University of Technology Law Journal</w:t>
      </w:r>
      <w:r w:rsidRPr="006F7A8D">
        <w:rPr>
          <w:rFonts w:ascii="Times New Roman" w:hAnsi="Times New Roman" w:cs="Times New Roman"/>
        </w:rPr>
        <w:t xml:space="preserve"> 159, 162.</w:t>
      </w:r>
      <w:r w:rsidRPr="006F7A8D">
        <w:rPr>
          <w:rFonts w:ascii="Times New Roman" w:hAnsi="Times New Roman" w:cs="Times New Roman"/>
        </w:rPr>
        <w:fldChar w:fldCharType="end"/>
      </w:r>
    </w:p>
  </w:footnote>
  <w:footnote w:id="49">
    <w:p w14:paraId="427A6A10" w14:textId="06102AC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{"citationID":"X01PCjbv","properties":{"formattedCitation":"Justice Michael Kirby (n 47) 4\\uc0\\u8211{}8, 13\\uc0\\u8211{}16.","plainCitation":"Justice Michael Kirby (n 47) 4–8, 13–16.","noteIndex":49},"citationItems":[{"id":65,"uris":["http://zotero.org/users/6782581/items/WN74FDZY"],"uri":["http://zotero.org/users/6782581/items/WN74FDZY"],"itemData":{"id":65,"type":"article-journal","container-title":"Otago Law Review","page":"1","title":"\"Judicial Activism\"? A Riposte to the Counter-Reformation","volume":"11","author":[{"literal":"Justice Michael Kirby"}]},"locator":"4-8, 13-16"}],"schema":"https://github.com/citation-style-language/schema/raw/master/csl-citation.json"}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Justice Michael Kirby (n 47) 4–8, 13–16.</w:t>
      </w:r>
      <w:r w:rsidRPr="006F7A8D">
        <w:rPr>
          <w:rFonts w:ascii="Times New Roman" w:hAnsi="Times New Roman" w:cs="Times New Roman"/>
        </w:rPr>
        <w:fldChar w:fldCharType="end"/>
      </w:r>
    </w:p>
  </w:footnote>
  <w:footnote w:id="50">
    <w:p w14:paraId="66380A17" w14:textId="0BA91170" w:rsidR="006F7A8D" w:rsidRPr="006F7A8D" w:rsidRDefault="006F7A8D" w:rsidP="00EB72A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{"citationID":"g9p4s1Qf","properties":{"formattedCitation":"Ibid 13.","plainCitation":"Ibid 13.","noteIndex":50},"citationItems":[{"id":65,"uris":["http://zotero.org/users/6782581/items/WN74FDZY"],"uri":["http://zotero.org/users/6782581/items/WN74FDZY"],"itemData":{"id":65,"type":"article-journal","container-title":"Otago Law Review","page":"1","title":"\"Judicial Activism\"? A Riposte to the Counter-Reformation","volume":"11","author":[{"literal":"Justice Michael Kirby"}]},"locator":"13"}],"schema":"https://github.com/citation-style-language/schema/raw/master/csl-citation.json"}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13.</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51">
    <w:p w14:paraId="34915125" w14:textId="74D8635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{"citationID":"UvfxKdtN","properties":{"formattedCitation":"See, eg, Marcin Matczak, \\uc0\\u8216{}Why Judicial Formalism Is Incompatible with the Rule of Law\\uc0\\u8217{} [2016] {\\i{}SSRN Electronic Journal}.","plainCitation":"See, eg, Marcin Matczak, ‘Why Judicial Formalism Is Incompatible with the Rule of Law’ [2016] SSRN Electronic Journal.","noteIndex":51},"citationItems":[{"id":43,"uris":["http://zotero.org/users/6782581/items/QH39DL47"],"uri":["http://zotero.org/users/6782581/items/QH39DL47"],"itemData":{"id":43,"type":"article-journal","container-title":"SSRN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Law","author":[{"family":"Matczak","given":"Marcin"}],"issued":{"date-parts":[["2016",8,29]]}},"prefix":"See, eg,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Marcin Matczak, ‘Why Judicial Formalism Is Incompatible with the Rule of Law’ [2016] </w:t>
      </w:r>
      <w:r w:rsidRPr="006F7A8D">
        <w:rPr>
          <w:rFonts w:ascii="Times New Roman" w:hAnsi="Times New Roman" w:cs="Times New Roman"/>
          <w:i/>
          <w:iCs/>
        </w:rPr>
        <w:t>SSRN Electronic Journal</w:t>
      </w:r>
      <w:r w:rsidRPr="006F7A8D">
        <w:rPr>
          <w:rFonts w:ascii="Times New Roman" w:hAnsi="Times New Roman" w:cs="Times New Roman"/>
        </w:rPr>
        <w:t>.</w:t>
      </w:r>
      <w:r w:rsidRPr="006F7A8D">
        <w:rPr>
          <w:rFonts w:ascii="Times New Roman" w:hAnsi="Times New Roman" w:cs="Times New Roman"/>
        </w:rPr>
        <w:fldChar w:fldCharType="end"/>
      </w:r>
    </w:p>
  </w:footnote>
  <w:footnote w:id="52">
    <w:p w14:paraId="2C2FA636" w14:textId="5DAFBC3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{"citationID":"pDhpd9DU","properties":{"formattedCitation":"Ibid 21\\uc0\\u8211{}25.","plainCitation":"Ibid 21–25.","noteIndex":52},"citationItems":[{"id":43,"uris":["http://zotero.org/users/6782581/items/QH39DL47"],"uri":["http://zotero.org/users/6782581/items/QH39DL47"],"itemData":{"id":43,"type":"article-journal","container-title":"SSRN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21–25.</w:t>
      </w:r>
      <w:r w:rsidRPr="006F7A8D">
        <w:rPr>
          <w:rFonts w:ascii="Times New Roman" w:hAnsi="Times New Roman" w:cs="Times New Roman"/>
        </w:rPr>
        <w:fldChar w:fldCharType="end"/>
      </w:r>
    </w:p>
  </w:footnote>
  <w:footnote w:id="53">
    <w:p w14:paraId="733888BF" w14:textId="57AA300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{"citationID":"aT3CpCeT","properties":{"formattedCitation":"The notion of \\uc0\\u8216{}predictability\\uc0\\u8217{} as a facet of the rule of law has been affirmed throughout history. See, eg, John Locke, {\\i{}Two Treatises} (Awnsham Churchill, 1689) \\uc0\\u167{}137 &lt;https://oll.libertyfund.org/pages/john-locke-two-treatises-1689&gt;; Friedrich Hayek, {\\i{}Rules and Order}, vol 1 (University of Chicago Press, 1973) 118. See also Jeremy Waldron, \\uc0\\u8216{}The Rule of Law\\uc0\\u8217{} in Edward N Zalta (ed), {\\i{}The Stanford Encyclopedia of Philosophy} (Metaphysics Research Lab, Stanford University, 2020) &lt;https://plato.stanford.edu/archives/sum2020/entries/rule-of-law/&gt;.","plainCitation":"The notion of ‘predictability’ as a facet of the rule of law has been affirmed throughout history. See, eg, John Locke, Two Treatises (Awnsham Churchill, 1689) §137 &lt;https://oll.libertyfund.org/pages/john-locke-two-treatises-1689&gt;; Friedrich Hayek, Rules and Order, vol 1 (University of Chicago Press, 1973) 118. See also Jeremy Waldron, ‘The Rule of Law’ in Edward N Zalta (ed), The Stanford Encyclopedia of Philosophy (Metaphysics Research Lab, Stanford University, 2020) &lt;https://plato.stanford.edu/archives/sum2020/entries/rule-of-law/&gt;.","noteIndex":53},"citationItems":[{"id":129,"uris":["http://zotero.org/users/6782581/items/GURDQVS4"],"uri":["http://zotero.org/users/6782581/items/GURDQVS4"],"itemData":{"id":129,"type":"book","event-place":"England","publisher":"Awnsham Churchill","publisher-place":"England","title":"Two Treatises","URL":"https://oll.libertyfund.org/pages/john-locke-two-treatises-1689","author":[{"family":"Locke","given":"John"}],"accessed":{"date-parts":[["2020",8,23]]},"issued":{"date-parts":[["1689"]]}},"locator":"§137","label":"section","prefix":"The notion of 'predictability' as a facet of the rule of law has been affirmed throughout history. See, eg, "},{"id":132,"uris":["http://zotero.org/users/6782581/items/S43KLWRU"],"uri":["http://zotero.org/users/6782581/items/S43KLWRU"],"itemData":{"id":132,"type":"book","collection-title":"Law, Legislation and Liberty","number-of-volumes":"3","publisher":"University of Chicago Press","title":"Rules and Order","volume":"1","author":[{"family":"Hayek","given":"Friedrich"}],"issued":{"date-parts":[["1973"]]}},"locator":"118","suffix":"."},{"id":131,"uris":["http://zotero.org/users/6782581/items/Y4DGM8YZ"],"uri":["http://zotero.org/users/6782581/items/Y4DGM8YZ"],"itemData":{"id":131,"type":"chapter","abstract":"The phrase “the Rule of Law” has to be distinguished fromthe phrase “a rule of law”. The latter phrase is used todesignate some particular legal rule like the rule againstperpetuities or the rule that says we have to file our taxes by a certain date. Those arerules of law, but the Rule of Law is one of the ideals of ourpolitical morality and it refers to the ascendancy of law as such andof the institutions of the legal system in a system of governance., The Rule of Law comprises a number of principles of a formal andprocedural character, addressing the way in which a community isgoverned. The formal principles concern the generality, clarity,publicity, stability, and prospectivity of the norms that govern asociety. The procedural principles concern the processes by whichthese norms are administered, and the institutions—like courtsand an independent judiciary that their administration requires. Onsome accounts, the Rule of Law also comprises certain substantiveideals like a presumption of liberty and respect for private propertyrights. But these are much more controversial (see section 1 below). And indeed as we shall see there is a great deal ofcontroversy about what the Rule of Law requires.","container-title":"The Stanford Encyclopedia of Philosophy","publisher":"Metaphysics Research Lab, Stanford University","source":"Stanford Encyclopedia of Philosophy","title":"The Rule of Law","URL":"https://plato.stanford.edu/archives/sum2020/entries/rule-of-law/","author":[{"family":"Waldron","given":"Jeremy"}],"editor":[{"family":"Zalta","given":"Edward N."}],"accessed":{"date-parts":[["2020",8,23]]},"issued":{"date-parts":[["2020"]]}},"prefix":"See also"}],"schema":"https://github.com/citation-style-language/schema/raw/master/csl-citation.json"}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The notion of ‘predictability’ as a facet of the rule of law has been affirmed throughout history. See, eg, John Locke, </w:t>
      </w:r>
      <w:r w:rsidRPr="006F7A8D">
        <w:rPr>
          <w:rFonts w:ascii="Times New Roman" w:hAnsi="Times New Roman" w:cs="Times New Roman"/>
          <w:i/>
          <w:iCs/>
        </w:rPr>
        <w:t>Two Treatises</w:t>
      </w:r>
      <w:r w:rsidRPr="006F7A8D">
        <w:rPr>
          <w:rFonts w:ascii="Times New Roman" w:hAnsi="Times New Roman" w:cs="Times New Roman"/>
        </w:rPr>
        <w:t xml:space="preserve"> (Awnsham Churchill, 1689) §137 &lt;https://oll.libertyfund.org/pages/john-locke-two-treatises-1689&gt;; Friedrich Hayek, </w:t>
      </w:r>
      <w:r w:rsidRPr="006F7A8D">
        <w:rPr>
          <w:rFonts w:ascii="Times New Roman" w:hAnsi="Times New Roman" w:cs="Times New Roman"/>
          <w:i/>
          <w:iCs/>
        </w:rPr>
        <w:t>Rules and Order</w:t>
      </w:r>
      <w:r w:rsidRPr="006F7A8D">
        <w:rPr>
          <w:rFonts w:ascii="Times New Roman" w:hAnsi="Times New Roman" w:cs="Times New Roman"/>
        </w:rPr>
        <w:t xml:space="preserve">, vol 1 (University of Chicago Press, 1973) 118. See also Jeremy Waldron, ‘The Rule of Law’ in Edward N Zalta (ed), </w:t>
      </w:r>
      <w:r w:rsidRPr="006F7A8D">
        <w:rPr>
          <w:rFonts w:ascii="Times New Roman" w:hAnsi="Times New Roman" w:cs="Times New Roman"/>
          <w:i/>
          <w:iCs/>
        </w:rPr>
        <w:t>The Stanford Encyclopedia of Philosophy</w:t>
      </w:r>
      <w:r w:rsidRPr="006F7A8D">
        <w:rPr>
          <w:rFonts w:ascii="Times New Roman" w:hAnsi="Times New Roman" w:cs="Times New Roman"/>
        </w:rPr>
        <w:t xml:space="preserve"> (Metaphysics Research Lab, Stanford University, 2020) &lt;https://plato.stanford.edu/archives/sum2020/entries/rule-of-law/&gt;.</w:t>
      </w:r>
      <w:r w:rsidRPr="006F7A8D">
        <w:rPr>
          <w:rFonts w:ascii="Times New Roman" w:hAnsi="Times New Roman" w:cs="Times New Roman"/>
        </w:rPr>
        <w:fldChar w:fldCharType="end"/>
      </w:r>
    </w:p>
  </w:footnote>
  <w:footnote w:id="54">
    <w:p w14:paraId="3BBEE8DD" w14:textId="4BA7563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{"citationID":"KwVsAC5O","properties":{"formattedCitation":"{\\i{}Smith v United States} (1993) 508 U.S. 223.","plainCitation":"Smith v United States (1993) 508 U.S. 223.","dontUpdate":true,"noteIndex":54},"citationItems":[{"id":127,"uris":["http://zotero.org/users/6782581/items/Y59582P8"],"uri":["http://zotero.org/users/6782581/items/Y59582P8"],"itemData":{"id":127,"type":"legal_case","authority":"United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Smith v United States</w:t>
      </w:r>
      <w:r w:rsidRPr="006F7A8D">
        <w:rPr>
          <w:rFonts w:ascii="Times New Roman" w:hAnsi="Times New Roman" w:cs="Times New Roman"/>
        </w:rPr>
        <w:t xml:space="preserve"> 508 US 223</w:t>
      </w:r>
      <w:r w:rsidRPr="006F7A8D">
        <w:rPr>
          <w:rFonts w:ascii="Times New Roman" w:hAnsi="Times New Roman" w:cs="Times New Roman"/>
        </w:rPr>
        <w:fldChar w:fldCharType="end"/>
      </w:r>
      <w:r w:rsidRPr="006F7A8D">
        <w:rPr>
          <w:rFonts w:ascii="Times New Roman" w:hAnsi="Times New Roman" w:cs="Times New Roman"/>
        </w:rPr>
        <w:t xml:space="preserve"> (1993).</w:t>
      </w:r>
    </w:p>
  </w:footnote>
  <w:footnote w:id="55">
    <w:p w14:paraId="55DD4FD5" w14:textId="71C65E2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{"citationID":"CMQ47QuU","properties":{"formattedCitation":"Ibid 242\\uc0\\u8211{}247.","plainCitation":"Ibid 242–247.","noteIndex":55},"citationItems":[{"id":127,"uris":["http://zotero.org/users/6782581/items/Y59582P8"],"uri":["http://zotero.org/users/6782581/items/Y59582P8"],"itemData":{"id":127,"type":"legal_case","authority":"United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242-247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242–247.</w:t>
      </w:r>
      <w:r w:rsidRPr="006F7A8D">
        <w:rPr>
          <w:rFonts w:ascii="Times New Roman" w:hAnsi="Times New Roman" w:cs="Times New Roman"/>
        </w:rPr>
        <w:fldChar w:fldCharType="end"/>
      </w:r>
    </w:p>
  </w:footnote>
  <w:footnote w:id="56">
    <w:p w14:paraId="7105C5BD" w14:textId="6D12A20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149 US 304 (1893).</w:t>
      </w:r>
    </w:p>
  </w:footnote>
  <w:footnote w:id="57">
    <w:p w14:paraId="487A95D4" w14:textId="4769B705" w:rsidR="006F7A8D" w:rsidRPr="006F7A8D" w:rsidRDefault="006F7A8D" w:rsidP="00BF788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306-307.</w:t>
      </w:r>
    </w:p>
  </w:footnote>
  <w:footnote w:id="58">
    <w:p w14:paraId="51560392" w14:textId="5890884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{"citationID":"5DIQZbNe","properties":{"formattedCitation":"Matczak (n 51) 22\\uc0\\u8211{}24.","plainCitation":"Matczak (n 51) 22–24.","noteIndex":58},"citationItems":[{"id":43,"uris":["http://zotero.org/users/6782581/items/QH39DL47"],"uri":["http://zotero.org/users/6782581/items/QH39DL47"],"itemData":{"id":43,"type":"article-journal","container-title":"SSRN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Law","author":[{"family":"Matczak","given":"Marcin"}],"issued":{"date-parts":[["2016",8,29]]}},"locator":"22-24"}],"schema":"https://github.com/citation-style-language/schema/raw/master/csl-citation.json"}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22–24.</w:t>
      </w:r>
      <w:r w:rsidRPr="006F7A8D">
        <w:rPr>
          <w:rFonts w:ascii="Times New Roman" w:hAnsi="Times New Roman" w:cs="Times New Roman"/>
        </w:rPr>
        <w:fldChar w:fldCharType="end"/>
      </w:r>
    </w:p>
  </w:footnote>
  <w:footnote w:id="59">
    <w:p w14:paraId="2BD8D38F" w14:textId="362253E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{"citationID":"oFf1uipG","properties":{"formattedCitation":"Wolfram (n 5) 156\\uc0\\u8211{}159.","plainCitation":"Wolfram (n 5) 156–159.","noteIndex":59},"citationItems":[{"id":104,"uris":["http://zotero.org/users/6782581/items/28QHAVCI"],"uri":["http://zotero.org/users/6782581/items/28QHAVCI"],"itemData":{"id":104,"type":"chapter","container-title":"Ethics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60">
    <w:p w14:paraId="700536ED" w14:textId="54B70AB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{"citationID":"o5vFSbME","properties":{"formattedCitation":"McIntyre (n 39).","plainCitation":"McIntyre (n 39).","noteIndex":60},"citationItems":[{"id":20,"uris":["http://zotero.org/users/6782581/items/H3QTFEQN"],"uri":["http://zotero.org/users/6782581/items/H3QTFEQN"],"itemData":{"id":20,"type":"post-weblog","abstract":"Assuming machines could take the place of judges belies their role as the third arm of government and makers of law.","container-title":"The Conversation","language":"en","note":"source: theconversation.com","title":"CSIRO wants our laws turned into computer code. Here's why that's a bad idea","URL":"http://theconversation.com/csiro-wants-our-laws-turned-into-computer-code-heres-why-thats-a-bad-idea-130131","author":[{"family":"McIntyre","given":"Joe"}],"accessed":{"date-parts":[["2020",8,4]]},"issued":{"date-parts":[["2020",1,20]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McIntyre (n 39).</w:t>
      </w:r>
      <w:r w:rsidRPr="006F7A8D">
        <w:rPr>
          <w:rFonts w:ascii="Times New Roman" w:hAnsi="Times New Roman" w:cs="Times New Roman"/>
        </w:rPr>
        <w:fldChar w:fldCharType="end"/>
      </w:r>
    </w:p>
  </w:footnote>
  <w:footnote w:id="61">
    <w:p w14:paraId="62BEF72D" w14:textId="631DE810" w:rsidR="006F7A8D" w:rsidRPr="006F7A8D" w:rsidRDefault="006F7A8D" w:rsidP="001259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{"citationID":"L6lbNTxw","properties":{"formattedCitation":"Mohun and Roberts (n 1) 26.","plainCitation":"Mohun and Roberts (n 1) 26.","noteIndex":61},"citationItems":[{"id":19,"uris":["http://zotero.org/users/6782581/items/HWX5UKVU"],"uri":["http://zotero.org/users/6782581/items/HWX5UKVU"],"itemData":{"id":19,"type":"article","publisher":"Observatory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26.</w:t>
      </w:r>
      <w:r w:rsidRPr="006F7A8D">
        <w:rPr>
          <w:rFonts w:ascii="Times New Roman" w:hAnsi="Times New Roman" w:cs="Times New Roman"/>
        </w:rPr>
        <w:fldChar w:fldCharType="end"/>
      </w:r>
    </w:p>
  </w:footnote>
  <w:footnote w:id="62">
    <w:p w14:paraId="5D9032C5" w14:textId="50D2D098" w:rsidR="006F7A8D" w:rsidRPr="006F7A8D" w:rsidRDefault="006F7A8D" w:rsidP="00F33EA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{"citationID":"ts8bDwBz","properties":{"formattedCitation":"Mohun and Roberts (n 1).","plainCitation":"Mohun and Roberts (n 1).","noteIndex":62},"citationItems":[{"id":19,"uris":["http://zotero.org/users/6782581/items/HWX5UKVU"],"uri":["http://zotero.org/users/6782581/items/HWX5UKVU"],"itemData":{"id":19,"type":"article","publisher":"Observatory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w:t>
      </w:r>
      <w:r w:rsidRPr="006F7A8D">
        <w:rPr>
          <w:rFonts w:ascii="Times New Roman" w:hAnsi="Times New Roman" w:cs="Times New Roman"/>
        </w:rPr>
        <w:fldChar w:fldCharType="end"/>
      </w:r>
      <w:r w:rsidRPr="006F7A8D">
        <w:rPr>
          <w:rFonts w:ascii="Times New Roman" w:hAnsi="Times New Roman" w:cs="Times New Roman"/>
        </w:rPr>
        <w:t xml:space="preserve"> 42-45.</w:t>
      </w:r>
    </w:p>
  </w:footnote>
  <w:footnote w:id="63">
    <w:p w14:paraId="3D66F1A0" w14:textId="7532FB01" w:rsidR="006F7A8D" w:rsidRPr="006F7A8D" w:rsidRDefault="006F7A8D" w:rsidP="00037D61">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{"citationID":"tw4iThBa","properties":{"formattedCitation":"Ibid 26, 104; \\uc0\\u8216{}Rules as Code \\uc0\\u8211{} Test, Learn, Repeat\\uc0\\u8217{}, {\\i{}Digital.NSW} &lt;https://www.digital.nsw.gov.au/article/rules-code-test-learn-repeat&gt;.","plainCitation":"Ibid 26, 104; ‘Rules as Code – Test, Learn, Repeat’, Digital.NSW &lt;https://www.digital.nsw.gov.au/article/rules-code-test-learn-repeat&gt;.","noteIndex":63},"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machines","author":[{"family":"Mohun","given":"James"},{"family":"Roberts","given":"Alex"}],"issued":{"date-parts":[["2020",5,27]]}},"locator":"26, 104"},{"id":183,"uris":["http://zotero.org/users/6782581/items/AJJSPRTY"],"uri":["http://zotero.org/users/6782581/items/AJJSPRTY"],"itemData":{"id":183,"type":"webpage","abstract":"Since our last post about the Rules as Code project in January, the move towards making machine-consumable legislation and policy has picked up speed in Australia and around the world. We’ve been connecting with other Australian jurisdictions and our international colleagues to see what we can learn from each other. We’ve also been experimenting.","container-title":"Digital.NSW","language":"en","title":"Rules as Code – Test, Learn, Repeat","URL":"https://www.digital.nsw.gov.au/article/rules-code-test-learn-repeat","accessed":{"date-parts":[["2020",8,28]]}}}],"schema":"https://github.com/citation-style-language/schema/raw/master/csl-citation.json"}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Ibid 26, 104; ‘Rules as Code – Test, Learn, Repeat’, </w:t>
      </w:r>
      <w:r w:rsidRPr="006F7A8D">
        <w:rPr>
          <w:rFonts w:ascii="Times New Roman" w:hAnsi="Times New Roman" w:cs="Times New Roman"/>
          <w:i/>
          <w:iCs/>
        </w:rPr>
        <w:t>Digital.NSW</w:t>
      </w:r>
      <w:r w:rsidRPr="006F7A8D">
        <w:rPr>
          <w:rFonts w:ascii="Times New Roman" w:hAnsi="Times New Roman" w:cs="Times New Roman"/>
        </w:rPr>
        <w:t xml:space="preserve"> &lt;https://www.digital.nsw.gov.au/article/rules-code-test-learn-repeat&gt;.</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64">
    <w:p w14:paraId="2FBFC270" w14:textId="391D429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 xml:space="preserve">(Cth) ss 117-119, 130-131, 140-142, 153-154; </w:t>
      </w:r>
      <w:r w:rsidRPr="006F7A8D">
        <w:rPr>
          <w:rFonts w:ascii="Times New Roman" w:hAnsi="Times New Roman" w:cs="Times New Roman"/>
          <w:i/>
          <w:iCs/>
        </w:rPr>
        <w:t xml:space="preserve">National Consumer Credit Protection Regulations 2010 </w:t>
      </w:r>
      <w:r w:rsidRPr="006F7A8D">
        <w:rPr>
          <w:rFonts w:ascii="Times New Roman" w:hAnsi="Times New Roman" w:cs="Times New Roman"/>
        </w:rPr>
        <w:t xml:space="preserve">(Cth) regs 28HA, 28JA.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{"citationID":"wfidHIzL","properties":{"formattedCitation":"See also Australian Securities &amp; Investments Commission, Regulatory Guide 209: Credit Licensing: Responsible Lending Conduct.","plainCitation":"See also Australian Securities &amp; Investments Commission, Regulatory Guide 209: Credit Licensing: Responsible Lending Conduct.","noteIndex":64},"citationItems":[{"id":10,"uris":["http://zotero.org/users/6782581/items/8ZHWRN36"],"uri":["http://zotero.org/users/6782581/items/8ZHWRN36"],"itemData":{"id":10,"type":"bill","title":"Regulatory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Commission"}],"accessed":{"date-parts":[["2020",8,4]]}},"prefix":"See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See also Australian Securities &amp; Investments Commission, Regulatory Guide 209: Credit Licensing: Responsible Lending Conduct.</w:t>
      </w:r>
      <w:r w:rsidRPr="006F7A8D">
        <w:rPr>
          <w:rFonts w:ascii="Times New Roman" w:hAnsi="Times New Roman" w:cs="Times New Roman"/>
        </w:rPr>
        <w:fldChar w:fldCharType="end"/>
      </w:r>
    </w:p>
  </w:footnote>
  <w:footnote w:id="65">
    <w:p w14:paraId="2D7EF9F8" w14:textId="0D7800A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{"citationID":"AKDUWvt6","properties":{"formattedCitation":"Schizas et al (n 22) 12, 18, 25, 34.","plainCitation":"Schizas et al (n 22) 12, 18, 25, 34.","noteIndex":65},"citationItems":[{"id":106,"uris":["http://zotero.org/users/6782581/items/XK24E2GT"],"uri":["http://zotero.org/users/6782581/items/XK24E2GT"],"itemData":{"id":106,"type":"report","abstract":"The first global benchmark study of the RegTech sector by the Cambridge Centre for Alternative Finance, conducted with the support of EY Japan, is based on a survey of 111 firms as well as regulators and industry experts. We estimate that the global RegTech industry generated $5 billion in revenue in 2018, and had raised $9.7 billion in external funding as of early 2019. The financial services sector dominates demand for RegTech services but most vendors now target non-financial sectors, and this share is set to grow.The RegTech market can be broken down into five distinct segments: 1. Profiling and due diligence 2. Dynamic compliance 3. Reporting and dashboards 4. Risk analytics 5. Market monitoring.The sector underwent a period of rapid growth between 2014 and 2018, but is now growing mostly through incumbent expansion rather than market entry. Long sales cycles, complex IT planning within client institutions, difficulties in establishing trust and high levels of competition have left some vendors struggling to gain traction. A handful of larger vendors thus dominate most funding and commercial activity.","event-place":"Rochester, NY","genre":"SSRN Scholarly Paper","language":"en","note":"DOI: 10.2139/ssrn.3560811","number":"ID 3560811","publisher":"Social Science Research Network","publisher-place":"Rochester, NY","source":"papers.ssrn.com","title":"The Global RegTech Industry Benchmark Report","URL":"https://papers.ssrn.com/abstract=3560811","author":[{"family":"Schizas","given":"Emmanuel"},{"family":"McKain","given":"Grigory"},{"family":"Zhang","given":"Bryan Zheng"},{"family":"Garvey","given":"Kieran"},{"family":"Ganbold","given":"Altantsetseg"},{"family":"Hussain","given":"Hatim"},{"family":"Kumar","given":"Pankajesh"},{"family":"Huang","given":"Eva"},{"family":"Wang","given":"Shaoxin"},{"family":"Yerolemou","given":"Nikos"}],"accessed":{"date-parts":[["2020",8,21]]},"issued":{"date-parts":[["2019",6,30]]}},"locator":"12, 18, 25, 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Schizas et al (n 22) 12, 18, 25, 34.</w:t>
      </w:r>
      <w:r w:rsidRPr="006F7A8D">
        <w:rPr>
          <w:rFonts w:ascii="Times New Roman" w:hAnsi="Times New Roman" w:cs="Times New Roman"/>
        </w:rPr>
        <w:fldChar w:fldCharType="end"/>
      </w:r>
    </w:p>
  </w:footnote>
  <w:footnote w:id="66">
    <w:p w14:paraId="3919AA09" w14:textId="3B49B05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{"citationID":"d9w6dmEg","properties":{"formattedCitation":"See, eg, Ben Green and Salom\\uc0\\u233{} Viljoen, \\uc0\\u8216{}Algorithmic Realism: Expanding the Boundaries of Algorithmic Thought\\uc0\\u8217{} in {\\i{}Proceedings of the 2020 Conference on Fairness, Accountability, and Transparency} (ACM, 2020) 19 &lt;http://dl.acm.org/doi/10.1145/3351095.3372840&gt; for an investigation into the evolution of computer science with analogy to the US legal system\\uc0\\u8217{}s growth from formalism to realism.","plainCitation":"See, eg, Ben Green and Salomé Viljoen, ‘Algorithmic Realism: Expanding the Boundaries of Algorithmic Thought’ in Proceedings of the 2020 Conference on Fairness, Accountability, and Transparency (ACM, 2020) 19 &lt;http://dl.acm.org/doi/10.1145/3351095.3372840&gt; for an investigation into the evolution of computer science with analogy to the US legal system’s growth from formalism to realism.","noteIndex":66},"citationItems":[{"id":30,"uris":["http://zotero.org/users/6782581/items/TN68RRBU"],"uri":["http://zotero.org/users/6782581/items/TN68RRBU"],"itemData":{"id":30,"type":"paper-conference","abstract":"Although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thought","URL":"http://dl.acm.org/doi/10.1145/3351095.3372840","author":[{"family":"Green","given":"Ben"},{"family":"Viljoen","given":"Salomé"}],"accessed":{"date-parts":[["2020",8,10]]},"issued":{"date-parts":[["2020",1,27]]}},"prefix":"See, eg, ","suffix":"for an investigation into the evolution of computer science with analogy to the US legal system's growth from formalism to realism."}],"schema":"https://github.com/citation-style-language/schema/raw/master/csl-citation.json"}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See, eg, Ben Green and Salomé Viljoen, ‘Algorithmic Realism: Expanding the Boundaries of Algorithmic Thought’ in </w:t>
      </w:r>
      <w:r w:rsidRPr="006F7A8D">
        <w:rPr>
          <w:rFonts w:ascii="Times New Roman" w:hAnsi="Times New Roman" w:cs="Times New Roman"/>
          <w:i/>
          <w:iCs/>
        </w:rPr>
        <w:t>Proceedings of the 2020 Conference on Fairness, Accountability, and Transparency</w:t>
      </w:r>
      <w:r w:rsidRPr="006F7A8D">
        <w:rPr>
          <w:rFonts w:ascii="Times New Roman" w:hAnsi="Times New Roman" w:cs="Times New Roman"/>
        </w:rPr>
        <w:t xml:space="preserve"> (ACM, 2020) 19 &lt;http://dl.acm.org/doi/10.1145/3351095.3372840&gt; for an investigation into the evolution of computer science with analogy to the US legal system’s growth from formalism to realism.</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67">
    <w:p w14:paraId="3FF82062" w14:textId="77777777" w:rsidR="006F7A8D" w:rsidRPr="006F7A8D" w:rsidRDefault="006F7A8D" w:rsidP="00E67332">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Commonwealth of Australia Constitution</w:t>
      </w:r>
    </w:p>
  </w:footnote>
  <w:footnote w:id="68">
    <w:p w14:paraId="2CFF15F6" w14:textId="77777777"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69">
    <w:p w14:paraId="50FA4759" w14:textId="4EE1CEB3"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{"citationID":"7i2qXuGp","properties":{"formattedCitation":"{\\i{}Case of Prohibitions EWHC KB J23} (1607) 77 ER 1342.","plainCitation":"Case of Prohibitions EWHC KB J23 (1607) 77 ER 1342.","noteIndex":69},"citationItems":[{"id":94,"uris":["http://zotero.org/users/6782581/items/S73MG3IE"],"uri":["http://zotero.org/users/6782581/items/S73MG3IE"],"itemData":{"id":94,"type":"legal_case","authority":"EWHC (KB)","container-title":"ER","page":"1342","title":"Case of Prohibitions EWHC KB J23","URL":"http://www.bailii.org/ew/cases/EWHC/KB/1607/J23.html","volume":"77","accessed":{"date-parts":[["2020",8,20]]},"issued":{"date-parts":[["1607"]]}}}],"schema":"https://github.com/citation-style-language/schema/raw/master/csl-citation.json"}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Case of Prohibitions EWHC KB J23</w:t>
      </w:r>
      <w:r w:rsidRPr="006F7A8D">
        <w:rPr>
          <w:rFonts w:ascii="Times New Roman" w:hAnsi="Times New Roman" w:cs="Times New Roman"/>
        </w:rPr>
        <w:t xml:space="preserve"> (1607) 77 ER 1342.</w:t>
      </w:r>
      <w:r w:rsidRPr="006F7A8D">
        <w:rPr>
          <w:rFonts w:ascii="Times New Roman" w:hAnsi="Times New Roman" w:cs="Times New Roman"/>
        </w:rPr>
        <w:fldChar w:fldCharType="end"/>
      </w:r>
    </w:p>
  </w:footnote>
  <w:footnote w:id="70">
    <w:p w14:paraId="4F31B437" w14:textId="193DF66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{"citationID":"oguKgwj9","properties":{"formattedCitation":"AR Blackshield, {\\i{}Australian Constitutional Law and Theory: Commentary and Materials} (Federation Press, 5th ed. abridged., 2010) 8\\uc0\\u8211{}12 (\\uc0\\u8216{}{\\i{}Australian Constitutional Law and Theory}\\uc0\\u8217{}).","plainCitation":"AR Blackshield, Australian Constitutional Law and Theory: Commentary and Materials (Federation Press, 5th ed. abridged., 2010) 8–12 (‘Australian Constitutional Law and Theory’).","noteIndex":70},"citationItems":[{"id":185,"uris":["http://zotero.org/users/6782581/items/Y878L84C"],"uri":["http://zotero.org/users/6782581/items/Y878L84C"],"itemData":{"id":185,"type":"book","call-number":"342.9402","edition":"5th ed. abridged.","event-place":"Annandale, N.S.W.","ISBN":"978-1-86287-774-0","language":"eng","publisher":"Federation Press","publisher-place":"Annandale, N.S.W.","source":"search.sl.nsw.gov.au","title":"Australian constitutional law and theory: commentary and materials","title-short":"Australian constitutional law and theory","author":[{"family":"Blackshield","given":"A. R."}],"issued":{"date-parts":[["2010"]]}},"locator":"8-12"}],"schema":"https://github.com/citation-style-language/schema/raw/master/csl-citation.json"}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AR Blackshield, </w:t>
      </w:r>
      <w:r w:rsidRPr="006F7A8D">
        <w:rPr>
          <w:rFonts w:ascii="Times New Roman" w:hAnsi="Times New Roman" w:cs="Times New Roman"/>
          <w:i/>
          <w:iCs/>
        </w:rPr>
        <w:t>Australian Constitutional Law and Theory: Commentary and Materials</w:t>
      </w:r>
      <w:r w:rsidRPr="006F7A8D">
        <w:rPr>
          <w:rFonts w:ascii="Times New Roman" w:hAnsi="Times New Roman" w:cs="Times New Roman"/>
        </w:rPr>
        <w:t xml:space="preserve"> (Federation Press, 5th ed. abridged., 2010) 8–12 (‘</w:t>
      </w:r>
      <w:r w:rsidRPr="006F7A8D">
        <w:rPr>
          <w:rFonts w:ascii="Times New Roman" w:hAnsi="Times New Roman" w:cs="Times New Roman"/>
          <w:i/>
          <w:iCs/>
        </w:rPr>
        <w:t>Australian Constitutional Law and Theory</w:t>
      </w:r>
      <w:r w:rsidRPr="006F7A8D">
        <w:rPr>
          <w:rFonts w:ascii="Times New Roman" w:hAnsi="Times New Roman" w:cs="Times New Roman"/>
        </w:rPr>
        <w:t>’).</w:t>
      </w:r>
      <w:r w:rsidRPr="006F7A8D">
        <w:rPr>
          <w:rFonts w:ascii="Times New Roman" w:hAnsi="Times New Roman" w:cs="Times New Roman"/>
        </w:rPr>
        <w:fldChar w:fldCharType="end"/>
      </w:r>
    </w:p>
  </w:footnote>
  <w:footnote w:id="71">
    <w:p w14:paraId="2C8FF807" w14:textId="4BE680B3"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{"citationID":"VFzyswwF","properties":{"formattedCitation":"{\\i{}New South Wales v Commonwealth} (1915) 20 CLR 54. See also {\\i{}Waterside Workers\\uc0\\u8217{} Federation of Australia v J W Alexander Ltd} (1918) 25 CLR 434; {\\i{}R v Kirby; Ex parte Boilermakers\\uc0\\u8217{} Society of Australia} (1956) 94 CLR 254.","plainCitation":"New South Wales v Commonwealth (1915) 20 CLR 54. See also Waterside Workers’ Federation of Australia v J W Alexander Ltd (1918) 25 CLR 434; R v Kirby; Ex parte Boilermakers’ Society of Australia (1956) 94 CLR 254.","noteIndex":71},"citationItems":[{"id":96,"uris":["http://zotero.org/users/6782581/items/HEERHKGI"],"uri":["http://zotero.org/users/6782581/items/HEERHKGI"],"itemData":{"id":96,"type":"legal_case","container-title":"CLR","page":"54","title":"New South Wales v Commonwealth","URL":"http://www8.austlii.edu.au/cgi-bin/viewdoc/au/cases/cth/HCA/1915/17.html","volume":"20","accessed":{"date-parts":[["2020",8,20]]},"issued":{"date-parts":[["1915"]]}},"suffix":"."},{"id":99,"uris":["http://zotero.org/users/6782581/items/WEP7RL7U"],"uri":["http://zotero.org/users/6782581/items/WEP7RL7U"],"itemData":{"id":99,"type":"legal_case","container-title":"CLR","page":"434","title":"Waterside Workers' Federation of Australia v J W Alexander Ltd","URL":"http://www8.austlii.edu.au/cgi-bin/viewdoc/au/cases/cth/HCA/1918/56.html","volume":"25","accessed":{"date-parts":[["2020",8,20]]},"issued":{"date-parts":[["1918"]]}},"prefix":"See also"},{"id":98,"uris":["http://zotero.org/users/6782581/items/ZGZDVB7S"],"uri":["http://zotero.org/users/6782581/items/ZGZDVB7S"],"itemData":{"id":98,"type":"legal_case","authority":"High Court of Australia","container-title":"CLR","page":"254","title":"R v Kirby; Ex parte Boilermakers' Society of Australia","URL":"http://www8.austlii.edu.au/cgi-bin/viewdoc/au/cases/cth/HCA/1956/10.html","volume":"94","accessed":{"date-parts":[["2020",8,20]]},"issued":{"date-parts":[["1956"]]}}}],"schema":"https://github.com/citation-style-language/schema/raw/master/csl-citation.json"}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rPr>
        <w:t>New South Wales v Commonwealth</w:t>
      </w:r>
      <w:r w:rsidRPr="006F7A8D">
        <w:rPr>
          <w:rFonts w:ascii="Times New Roman" w:hAnsi="Times New Roman" w:cs="Times New Roman"/>
        </w:rPr>
        <w:t xml:space="preserve"> (1915) 20 CLR 54. See also </w:t>
      </w:r>
      <w:r w:rsidRPr="006F7A8D">
        <w:rPr>
          <w:rFonts w:ascii="Times New Roman" w:hAnsi="Times New Roman" w:cs="Times New Roman"/>
          <w:i/>
          <w:iCs/>
        </w:rPr>
        <w:t>Waterside Workers’ Federation of Australia v J W Alexander Ltd</w:t>
      </w:r>
      <w:r w:rsidRPr="006F7A8D">
        <w:rPr>
          <w:rFonts w:ascii="Times New Roman" w:hAnsi="Times New Roman" w:cs="Times New Roman"/>
        </w:rPr>
        <w:t xml:space="preserve"> (1918) 25 CLR 434; </w:t>
      </w:r>
      <w:r w:rsidRPr="006F7A8D">
        <w:rPr>
          <w:rFonts w:ascii="Times New Roman" w:hAnsi="Times New Roman" w:cs="Times New Roman"/>
          <w:i/>
          <w:iCs/>
        </w:rPr>
        <w:t>R v Kirby; Ex parte Boilermakers’ Society of Australia</w:t>
      </w:r>
      <w:r w:rsidRPr="006F7A8D">
        <w:rPr>
          <w:rFonts w:ascii="Times New Roman" w:hAnsi="Times New Roman" w:cs="Times New Roman"/>
        </w:rPr>
        <w:t xml:space="preserve"> (1956) 94 CLR 254.</w:t>
      </w:r>
      <w:r w:rsidRPr="006F7A8D">
        <w:rPr>
          <w:rFonts w:ascii="Times New Roman" w:hAnsi="Times New Roman" w:cs="Times New Roman"/>
        </w:rPr>
        <w:fldChar w:fldCharType="end"/>
      </w:r>
    </w:p>
  </w:footnote>
  <w:footnote w:id="72">
    <w:p w14:paraId="2A2ADE17" w14:textId="564391BE"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{"citationID":"1hVkngGa","properties":{"formattedCitation":"Mohun and Roberts (n 1) 70.","plainCitation":"Mohun and Roberts (n 1) 70.","noteIndex":72},"citationItems":[{"id":19,"uris":["http://zotero.org/users/6782581/items/HWX5UKVU"],"uri":["http://zotero.org/users/6782581/items/HWX5UKVU"],"itemData":{"id":19,"type":"article","publisher":"Observatory of Public Sector Innovation, Organsation for Economic Co-operation and Development","title":"Cracking the Code: Rulemaking for humans and machines","author":[{"family":"Mohun","given":"James"},{"family":"Roberts","given":"Alex"}],"issued":{"date-parts":[["2020",5,27]]}},"locator":"70"}],"schema":"https://github.com/citation-style-language/schema/raw/master/csl-citation.json"}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Mohun and Roberts (n 1) 70.</w:t>
      </w:r>
      <w:r w:rsidRPr="006F7A8D">
        <w:rPr>
          <w:rFonts w:ascii="Times New Roman" w:hAnsi="Times New Roman" w:cs="Times New Roman"/>
        </w:rPr>
        <w:fldChar w:fldCharType="end"/>
      </w:r>
    </w:p>
  </w:footnote>
  <w:footnote w:id="73">
    <w:p w14:paraId="4996DF03" w14:textId="7C0E1C7A"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{"citationID":"3hUUXDwE","properties":{"formattedCitation":"New Zealand Law Foundation, \\uc0\\u8216{}Projects Funded | The Law Foundation\\uc0\\u8217{} &lt;https://www.lawfoundation.org.nz/?page_id=6882&gt;.","plainCitation":"New Zealand Law Foundation, ‘Projects Funded | The Law Foundation’ &lt;https://www.lawfoundation.org.nz/?page_id=6882&gt;.","noteIndex":73},"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New Zealand Law Foundation, ‘Projects Funded | The Law Foundation’ &lt;https://www.lawfoundation.org.nz/?page_id=6882&gt;.</w:t>
      </w:r>
      <w:r w:rsidRPr="006F7A8D">
        <w:rPr>
          <w:rFonts w:ascii="Times New Roman" w:hAnsi="Times New Roman" w:cs="Times New Roman"/>
        </w:rPr>
        <w:fldChar w:fldCharType="end"/>
      </w:r>
    </w:p>
  </w:footnote>
  <w:footnote w:id="74">
    <w:p w14:paraId="3BF65AF2" w14:textId="7585E4E9" w:rsidR="006F7A8D" w:rsidRPr="006F7A8D" w:rsidRDefault="006F7A8D" w:rsidP="00E67332">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1DLqm0eU","properties":{"formattedCitation":"Ibid.","plainCitation":"Ibid.","noteIndex":74},"citationItems":[{"id":102,"uris":["http://zotero.org/users/6782581/items/5FQH59UH"],"uri":["http://zotero.org/users/6782581/items/5FQH59UH"],"itemData":{"id":102,"type":"webpage","language":"en-US","title":"Projects Funded | The Law Foundation","URL":"https://www.lawfoundation.org.nz/?page_id=6882","author":[{"literal":"New Zealand Law Foundation"}],"accessed":{"date-parts":[["2020",8,20]]}}}],"schema":"https://github.com/citation-style-language/schema/raw/master/csl-citation.json"}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w:t>
      </w:r>
      <w:r w:rsidRPr="006F7A8D">
        <w:rPr>
          <w:rFonts w:ascii="Times New Roman" w:hAnsi="Times New Roman" w:cs="Times New Roman"/>
        </w:rPr>
        <w:fldChar w:fldCharType="end"/>
      </w:r>
    </w:p>
  </w:footnote>
  <w:footnote w:id="75">
    <w:p w14:paraId="5BE1AF16" w14:textId="116E9EE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76">
    <w:p w14:paraId="5C754AE5" w14:textId="3C43027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w:t>
      </w:r>
      <w:r w:rsidRPr="006F7A8D">
        <w:rPr>
          <w:rFonts w:ascii="Times New Roman" w:hAnsi="Times New Roman" w:cs="Times New Roman"/>
          <w:i/>
          <w:iCs/>
        </w:rPr>
        <w:t xml:space="preserve">Free Motion Fitness Inc v Cybex International Inc, </w:t>
      </w:r>
      <w:r w:rsidRPr="006F7A8D">
        <w:rPr>
          <w:rFonts w:ascii="Times New Roman" w:hAnsi="Times New Roman" w:cs="Times New Roman"/>
        </w:rPr>
        <w:t xml:space="preserve">423 F 3d 1343 (Fed Cir, 2005) and </w:t>
      </w:r>
      <w:r w:rsidRPr="006F7A8D">
        <w:rPr>
          <w:rFonts w:ascii="Times New Roman" w:eastAsia="Microsoft JhengHei" w:hAnsi="Times New Roman" w:cs="Times New Roman"/>
        </w:rPr>
        <w:t>自由位移整装公司与常州市英才金属制品有限公司、上海健达健身器材有限公司其他发明权与发现权纠纷申请再审民事裁定书</w:t>
      </w:r>
      <w:r w:rsidRPr="006F7A8D">
        <w:rPr>
          <w:rFonts w:ascii="Times New Roman" w:eastAsia="Microsoft JhengHei" w:hAnsi="Times New Roman" w:cs="Times New Roman"/>
        </w:rPr>
        <w:t xml:space="preserve"> [Free Displacement Co. Ltd. v Changzhou Yingcai Metal Products Co. Ltd., Shanghai Jianda Fitness Equipment Co. Ltd. – Invention Rights and Discovery Rights Dispute Civil Retrial] [2014], </w:t>
      </w:r>
      <w:r w:rsidRPr="006F7A8D">
        <w:rPr>
          <w:rFonts w:ascii="Times New Roman" w:eastAsia="Microsoft JhengHei" w:hAnsi="Times New Roman" w:cs="Times New Roman"/>
        </w:rPr>
        <w:t>最高人民法院</w:t>
      </w:r>
      <w:r w:rsidRPr="006F7A8D">
        <w:rPr>
          <w:rFonts w:ascii="Times New Roman" w:eastAsia="Microsoft JhengHei" w:hAnsi="Times New Roman" w:cs="Times New Roman"/>
        </w:rPr>
        <w:t xml:space="preserve"> [Supreme People’s Court, People’s Republic of China], Civil Retrial No. 497, 4 January 2015. Here, two cases stemming from the same facts were decided differently in the US and China respectively due to imprecise translation of a patent from English to Mandarin. Cf the two valid approaches to </w:t>
      </w:r>
      <w:r w:rsidRPr="006F7A8D">
        <w:rPr>
          <w:rFonts w:ascii="Times New Roman" w:eastAsia="Microsoft JhengHei" w:hAnsi="Times New Roman" w:cs="Times New Roman"/>
          <w:i/>
          <w:iCs/>
        </w:rPr>
        <w:t>Nix</w:t>
      </w:r>
      <w:r w:rsidRPr="006F7A8D">
        <w:rPr>
          <w:rFonts w:ascii="Times New Roman" w:eastAsia="Microsoft JhengHei" w:hAnsi="Times New Roman" w:cs="Times New Roman"/>
        </w:rPr>
        <w:t xml:space="preserve"> seen in Figure 1.</w:t>
      </w:r>
    </w:p>
  </w:footnote>
  <w:footnote w:id="77">
    <w:p w14:paraId="63A637FE" w14:textId="1081A2D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{"citationID":"qxtpQaTZ","properties":{"formattedCitation":"Janet Ainsworth, \\uc0\\u8216{}Lost in Translation? Linguistic Diversity and the Elusive Quest for Plain Meaning in the Law\\uc0\\u8217{} in {\\i{}The Ashgate Handbook of Legal Translation} (Routledge, 2016) 43 &lt;http://www.taylorfrancis.com/books/e/9781315612706&gt;.","plainCitation":"Janet Ainsworth, ‘Lost in Translation? Linguistic Diversity and the Elusive Quest for Plain Meaning in the Law’ in The Ashgate Handbook of Legal Translation (Routledge, 2016) 43 &lt;http://www.taylorfrancis.com/books/e/9781315612706&gt;.","noteIndex":77},"citationItems":[{"id":118,"uris":["http://zotero.org/users/6782581/items/Q6MGRA76"],"uri":["http://zotero.org/users/6782581/items/Q6MGRA76"],"itemData":{"id":118,"type":"chapter","abstract":"This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Janet Ainsworth, ‘Lost in Translation? Linguistic Diversity and the Elusive Quest for Plain Meaning in the Law’ in </w:t>
      </w:r>
      <w:r w:rsidRPr="006F7A8D">
        <w:rPr>
          <w:rFonts w:ascii="Times New Roman" w:hAnsi="Times New Roman" w:cs="Times New Roman"/>
          <w:i/>
          <w:iCs/>
          <w:szCs w:val="24"/>
        </w:rPr>
        <w:t>The Ashgate Handbook of Legal Translation</w:t>
      </w:r>
      <w:r w:rsidRPr="006F7A8D">
        <w:rPr>
          <w:rFonts w:ascii="Times New Roman" w:hAnsi="Times New Roman" w:cs="Times New Roman"/>
          <w:szCs w:val="24"/>
        </w:rPr>
        <w:t xml:space="preserve"> (Routledge, 2016) 43 &lt;http://www.taylorfrancis.com/books/e/9781315612706&gt;.</w:t>
      </w:r>
      <w:r w:rsidRPr="006F7A8D">
        <w:rPr>
          <w:rFonts w:ascii="Times New Roman" w:hAnsi="Times New Roman" w:cs="Times New Roman"/>
        </w:rPr>
        <w:fldChar w:fldCharType="end"/>
      </w:r>
    </w:p>
  </w:footnote>
  <w:footnote w:id="78">
    <w:p w14:paraId="1451795E" w14:textId="6CF5218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w:t>
      </w:r>
      <w:r w:rsidRPr="006F7A8D">
        <w:rPr>
          <w:rFonts w:ascii="Times New Roman" w:hAnsi="Times New Roman" w:cs="Times New Roman"/>
          <w:i/>
          <w:iCs/>
        </w:rPr>
        <w:t xml:space="preserve">Schulte v Deutsche Bausparkasse Badenia </w:t>
      </w:r>
      <w:r w:rsidRPr="006F7A8D">
        <w:rPr>
          <w:rFonts w:ascii="Times New Roman" w:hAnsi="Times New Roman" w:cs="Times New Roman"/>
        </w:rPr>
        <w:t xml:space="preserve">(C-350/03) [2005] ECR I-9215; </w:t>
      </w:r>
      <w:r w:rsidRPr="006F7A8D">
        <w:rPr>
          <w:rFonts w:ascii="Times New Roman" w:hAnsi="Times New Roman" w:cs="Times New Roman"/>
          <w:i/>
          <w:iCs/>
        </w:rPr>
        <w:t>Roudolff</w:t>
      </w:r>
      <w:r w:rsidRPr="006F7A8D">
        <w:rPr>
          <w:rFonts w:ascii="Times New Roman" w:hAnsi="Times New Roman" w:cs="Times New Roman"/>
        </w:rPr>
        <w:t xml:space="preserve"> </w:t>
      </w:r>
      <w:r w:rsidRPr="006F7A8D">
        <w:rPr>
          <w:rFonts w:ascii="Times New Roman" w:hAnsi="Times New Roman" w:cs="Times New Roman"/>
          <w:i/>
          <w:iCs/>
        </w:rPr>
        <w:t xml:space="preserve"> </w:t>
      </w:r>
      <w:r w:rsidRPr="006F7A8D">
        <w:rPr>
          <w:rFonts w:ascii="Times New Roman" w:hAnsi="Times New Roman" w:cs="Times New Roman"/>
        </w:rPr>
        <w:t xml:space="preserve">(C-803/79 ) [1980] ECR 2015; </w:t>
      </w:r>
      <w:r w:rsidRPr="006F7A8D">
        <w:rPr>
          <w:rFonts w:ascii="Times New Roman" w:hAnsi="Times New Roman" w:cs="Times New Roman"/>
          <w:i/>
          <w:iCs/>
        </w:rPr>
        <w:t xml:space="preserve">Commission of the European Union v United Kingdom of Great Britain and Northern </w:t>
      </w:r>
      <w:r w:rsidRPr="006F7A8D">
        <w:rPr>
          <w:rFonts w:ascii="Times New Roman" w:hAnsi="Times New Roman" w:cs="Times New Roman"/>
        </w:rPr>
        <w:t xml:space="preserve">(C-416/85) [1988] ECR 3127; </w:t>
      </w:r>
      <w:r w:rsidRPr="006F7A8D">
        <w:rPr>
          <w:rFonts w:ascii="Times New Roman" w:hAnsi="Times New Roman" w:cs="Times New Roman"/>
          <w:i/>
          <w:iCs/>
        </w:rPr>
        <w:t xml:space="preserve">Elefanten Schuh GmbH v Pierre Jacqmain </w:t>
      </w:r>
      <w:r w:rsidRPr="006F7A8D">
        <w:rPr>
          <w:rFonts w:ascii="Times New Roman" w:hAnsi="Times New Roman" w:cs="Times New Roman"/>
        </w:rPr>
        <w:t>(C-150/80) [1981] ECR 1671.</w:t>
      </w:r>
    </w:p>
  </w:footnote>
  <w:footnote w:id="79">
    <w:p w14:paraId="07388560" w14:textId="40D3720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{"citationID":"DofsvLOH","properties":{"formattedCitation":"Ainsworth (n 77) 48\\uc0\\u8211{}50; See also Ian McLeod, \\uc0\\u8216{}Literal and Purposive Techniques of Legislative Interpretation:  Some European Community and English Common Law Perspective\\uc0\\u8217{} (2004) 29(3) {\\i{}Brooklyn Journal of International Law} 1119, 1125\\uc0\\u8211{}1132.","plainCitation":"Ainsworth (n 77) 48–50; See also Ian McLeod, ‘Literal and Purposive Techniques of Legislative Interpretation:  Some European Community and English Common Law Perspective’ (2004) 29(3) Brooklyn Journal of International Law 1119, 1125–1132.","noteIndex":79},"citationItems":[{"id":118,"uris":["http://zotero.org/users/6782581/items/Q6MGRA76"],"uri":["http://zotero.org/users/6782581/items/Q6MGRA76"],"itemData":{"id":118,"type":"chapter","abstract":"This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10.4324/9781315612706","page":"43-55","publisher":"Routledge","source":"www-taylorfrancis-com.ezp01.library.qut.edu.au","title":"Lost in Translation? Linguistic Diversity and the Elusive Quest for Plain Meaning in the Law","URL":"http://www.taylorfrancis.com/books/e/9781315612706","author":[{"family":"Ainsworth","given":"Janet"}],"accessed":{"date-parts":[["2020",8,22]]},"issued":{"date-parts":[["2016",4,1]]}},"locator":"48-50"},{"id":186,"uris":["http://zotero.org/users/6782581/items/PSEUFCZH"],"uri":["http://zotero.org/users/6782581/items/PSEUFCZH"],"itemData":{"id":186,"type":"article-journal","container-title":"Brooklyn Journal of International Law","issue":"3","language":"en","page":"1119","source":"Zotero","title":"Literal and Purposive Techniques of Legislative Interpretation:  Some European Community and English Common Law Perspective","volume":"29","author":[{"family":"McLeod","given":"Ian"}],"issued":{"date-parts":[["2004"]]}},"locator":"1125-1132","prefix":"See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Ainsworth (n 77) 48–50; See also Ian McLeod, ‘Literal and Purposive Techniques of Legislative Interpretation:  Some European Community and English Common Law Perspective’ (2004) 29(3) </w:t>
      </w:r>
      <w:r w:rsidRPr="006F7A8D">
        <w:rPr>
          <w:rFonts w:ascii="Times New Roman" w:hAnsi="Times New Roman" w:cs="Times New Roman"/>
          <w:i/>
          <w:iCs/>
          <w:szCs w:val="24"/>
        </w:rPr>
        <w:t>Brooklyn Journal of International Law</w:t>
      </w:r>
      <w:r w:rsidRPr="006F7A8D">
        <w:rPr>
          <w:rFonts w:ascii="Times New Roman" w:hAnsi="Times New Roman" w:cs="Times New Roman"/>
          <w:szCs w:val="24"/>
        </w:rPr>
        <w:t xml:space="preserve"> 1119, 1125–1132.</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80">
    <w:p w14:paraId="5C849C6E" w14:textId="72CEEDCE"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the Functioning of the European Union</w:t>
      </w:r>
      <w:r w:rsidRPr="006F7A8D">
        <w:rPr>
          <w:rFonts w:ascii="Times New Roman" w:hAnsi="Times New Roman" w:cs="Times New Roman"/>
        </w:rPr>
        <w:t>, opened for signature 7 February 1992, [2009] OJ C 115/199 (entered into force 1 November 1993) (‘</w:t>
      </w:r>
      <w:r w:rsidRPr="006F7A8D">
        <w:rPr>
          <w:rFonts w:ascii="Times New Roman" w:hAnsi="Times New Roman" w:cs="Times New Roman"/>
          <w:i/>
          <w:iCs/>
        </w:rPr>
        <w:t>FEU</w:t>
      </w:r>
      <w:r w:rsidRPr="006F7A8D">
        <w:rPr>
          <w:rFonts w:ascii="Times New Roman" w:hAnsi="Times New Roman" w:cs="Times New Roman"/>
        </w:rPr>
        <w:t>’)</w:t>
      </w:r>
      <w:r w:rsidRPr="006F7A8D">
        <w:rPr>
          <w:rFonts w:ascii="Times New Roman" w:hAnsi="Times New Roman" w:cs="Times New Roman"/>
          <w:i/>
          <w:iCs/>
        </w:rPr>
        <w:t xml:space="preserve"> </w:t>
      </w:r>
      <w:r w:rsidRPr="006F7A8D">
        <w:rPr>
          <w:rFonts w:ascii="Times New Roman" w:hAnsi="Times New Roman" w:cs="Times New Roman"/>
        </w:rPr>
        <w:t xml:space="preserve">art 267. Cf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81">
    <w:p w14:paraId="13C762DC" w14:textId="140A998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European Union</w:t>
      </w:r>
      <w:r w:rsidRPr="006F7A8D">
        <w:rPr>
          <w:rFonts w:ascii="Times New Roman" w:hAnsi="Times New Roman" w:cs="Times New Roman"/>
        </w:rPr>
        <w:t>, opened for signature 7 February 1992, [2009] OJ C 115/13 (entered into force 1 November 1993) (‘</w:t>
      </w:r>
      <w:r w:rsidRPr="006F7A8D">
        <w:rPr>
          <w:rFonts w:ascii="Times New Roman" w:hAnsi="Times New Roman" w:cs="Times New Roman"/>
          <w:i/>
          <w:iCs/>
        </w:rPr>
        <w:t>EU</w:t>
      </w:r>
      <w:r w:rsidRPr="006F7A8D">
        <w:rPr>
          <w:rFonts w:ascii="Times New Roman" w:hAnsi="Times New Roman" w:cs="Times New Roman"/>
        </w:rPr>
        <w:t xml:space="preserve">’) art 255 TEU; </w:t>
      </w:r>
      <w:r w:rsidRPr="006F7A8D">
        <w:rPr>
          <w:rFonts w:ascii="Times New Roman" w:hAnsi="Times New Roman" w:cs="Times New Roman"/>
          <w:i/>
          <w:iCs/>
        </w:rPr>
        <w:t xml:space="preserve">Regulation (EEC) No 1 determining the languages to be used by the European Economic Community </w:t>
      </w:r>
      <w:r w:rsidRPr="006F7A8D">
        <w:rPr>
          <w:rFonts w:ascii="Times New Roman" w:hAnsi="Times New Roman" w:cs="Times New Roman"/>
        </w:rPr>
        <w:t>(1958) OJ 17 arts 4, 5.</w:t>
      </w:r>
    </w:p>
  </w:footnote>
  <w:footnote w:id="82">
    <w:p w14:paraId="442E7143" w14:textId="3B9AEC2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{"citationID":"QcSx5NYS","properties":{"formattedCitation":"Directorate-General for Communication, \\uc0\\u8216{}Translation\\uc0\\u8217{}, {\\i{}European Commission} &lt;https://ec.europa.eu/info/departments/translation_en&gt;.","plainCitation":"Directorate-General for Communication, ‘Translation’, European Commission &lt;https://ec.europa.eu/info/departments/translation_en&gt;.","noteIndex":82},"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Directorate-General for Communication, ‘Translation’, </w:t>
      </w:r>
      <w:r w:rsidRPr="006F7A8D">
        <w:rPr>
          <w:rFonts w:ascii="Times New Roman" w:hAnsi="Times New Roman" w:cs="Times New Roman"/>
          <w:i/>
          <w:iCs/>
          <w:szCs w:val="24"/>
        </w:rPr>
        <w:t>European Commission</w:t>
      </w:r>
      <w:r w:rsidRPr="006F7A8D">
        <w:rPr>
          <w:rFonts w:ascii="Times New Roman" w:hAnsi="Times New Roman" w:cs="Times New Roman"/>
          <w:szCs w:val="24"/>
        </w:rPr>
        <w:t xml:space="preserve"> &lt;https://ec.europa.eu/info/departments/translation_en&gt;.</w:t>
      </w:r>
      <w:r w:rsidRPr="006F7A8D">
        <w:rPr>
          <w:rFonts w:ascii="Times New Roman" w:hAnsi="Times New Roman" w:cs="Times New Roman"/>
        </w:rPr>
        <w:fldChar w:fldCharType="end"/>
      </w:r>
    </w:p>
  </w:footnote>
  <w:footnote w:id="83">
    <w:p w14:paraId="76296879" w14:textId="3268AC4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Skatteministeriet v Aktieselskabet Forsikrinsselskabet Codan</w:t>
      </w:r>
      <w:r w:rsidRPr="006F7A8D">
        <w:rPr>
          <w:rFonts w:ascii="Times New Roman" w:hAnsi="Times New Roman" w:cs="Times New Roman"/>
        </w:rPr>
        <w:t xml:space="preserve"> (C-236/97) [1998] ECR I-8679.</w:t>
      </w:r>
    </w:p>
  </w:footnote>
  <w:footnote w:id="84">
    <w:p w14:paraId="693E2342" w14:textId="7BC6EF18"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{"citationID":"FDYY4KbC","properties":{"formattedCitation":"Genesereth (n 15).","plainCitation":"Genesereth (n 15).","noteIndex":84},"citationItems":[{"id":26,"uris":["http://zotero.org/users/6782581/items/5C598D4E"],"uri":["http://zotero.org/users/6782581/items/5C598D4E"],"itemData":{"id":26,"type":"paper-conference","DOI":"10.1145/1165485.1165517","event-place":"Stanford, United States","ISBN":"978-1-59593-081-1","language":"en","page":"205","publisher":"CodeX: The Center for Legal Informatics, Stanford University","publisher-place":"Stanford, United States","source":"DOI.org (Crossref)","title":"Computational Law: The Cop in the Backseat","URL":"http://portal.acm.org/citation.cfm?doid=1165485.1165517","author":[{"family":"Genesereth","given":"Michael"}],"accessed":{"date-parts":[["2020",8,10]]},"issued":{"date-parts":[["2015"]]}}}],"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Genesereth (n 15).</w:t>
      </w:r>
      <w:r w:rsidRPr="006F7A8D">
        <w:rPr>
          <w:rFonts w:ascii="Times New Roman" w:hAnsi="Times New Roman" w:cs="Times New Roman"/>
        </w:rPr>
        <w:fldChar w:fldCharType="end"/>
      </w:r>
    </w:p>
  </w:footnote>
  <w:footnote w:id="85">
    <w:p w14:paraId="0FDB8455" w14:textId="575EB99C"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{"citationID":"NadAfLzd","properties":{"formattedCitation":"Sergot et al (n 8).","plainCitation":"Sergot et al (n 8).","noteIndex":85},"citationItems":[{"id":46,"uris":["http://zotero.org/users/6782581/items/WIX843XU"],"uri":["http://zotero.org/users/6782581/items/WIX843XU"],"itemData":{"id":46,"type":"article-journal","container-title":"Communications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Sergot et al (n 8).</w:t>
      </w:r>
      <w:r w:rsidRPr="006F7A8D">
        <w:rPr>
          <w:rFonts w:ascii="Times New Roman" w:hAnsi="Times New Roman" w:cs="Times New Roman"/>
        </w:rPr>
        <w:fldChar w:fldCharType="end"/>
      </w:r>
    </w:p>
  </w:footnote>
  <w:footnote w:id="86">
    <w:p w14:paraId="7370584A" w14:textId="29723E55"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{"citationID":"OTxIO5nz","properties":{"formattedCitation":"See, eg, Government Information Services (n 21) 21\\uc0\\u8211{}24; Open Fisca (n 21).","plainCitation":"See, eg, Government Information Services (n 21) 21–24; Open Fisca (n 21).","noteIndex":86},"citationItems":[{"id":1,"uris":["http://zotero.org/users/6782581/items/CE9X6PPW"],"uri":["http://zotero.org/users/6782581/items/CE9X6PPW"],"itemData":{"id":1,"type":"report","genre":"Discovery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Services"}],"accessed":{"date-parts":[["2020",8,4]]},"issued":{"date-parts":[["2018",3]]}},"locator":"21-24","prefix":"See, eg, "},{"id":121,"uris":["http://zotero.org/users/6782581/items/66GJK3XE"],"uri":["http://zotero.org/users/6782581/items/66GJK3XE"],"itemData":{"id":121,"type":"webpage","container-title":"Open Fisca","genre":"Wiki","title":"From law to code — OpenFisca documentation","URL":"https://openfisca.org/doc/coding-the-legislation/index.html","author":[{"literal":"Open Fisca"}],"accessed":{"date-parts":[["2020",8,23]]}}}],"schema":"https://github.com/citation-style-language/schema/raw/master/csl-citation.json"}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See, eg, Government Information Services (n 21) 21–24; Open Fisca (n 21).</w:t>
      </w:r>
      <w:r w:rsidRPr="006F7A8D">
        <w:rPr>
          <w:rFonts w:ascii="Times New Roman" w:hAnsi="Times New Roman" w:cs="Times New Roman"/>
        </w:rPr>
        <w:fldChar w:fldCharType="end"/>
      </w:r>
    </w:p>
  </w:footnote>
  <w:footnote w:id="87">
    <w:p w14:paraId="37F7FD8D" w14:textId="7BD15FF9"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{"citationID":"1NpkK0KZ","properties":{"formattedCitation":"Green and Viljoen (n 66).","plainCitation":"Green and Viljoen (n 66).","noteIndex":87},"citationItems":[{"id":30,"uris":["http://zotero.org/users/6782581/items/TN68RRBU"],"uri":["http://zotero.org/users/6782581/items/TN68RRBU"],"itemData":{"id":30,"type":"paper-conference","abstract":"Although computer scientists are eager to help address social problems, the eld faces a growing awareness that many well-intentioned applications of algorithms in social contexts have led to signi cant harm. We argue that addressing this gap between the eld’s desire to do good and the harmful impacts of many of its interventions requires looking to the epistemic and methodological underpinnings of algorithms. We diagnose the dominant mode of algorithmic reasoning as “algorithmic formalism” and describe how formalist orientations lead to harmful algorithmic interventions. Addressing these harms requires pursuing a new mode of algorithmic thinking that is attentive to the internal limits of algorithms and to the social concerns that fall beyond the bounds of algorithmic formalism. To understand what a methodological evolution beyond formalism looks like and what it may achieve, we turn to the twentieth century evolution in American legal thought from legal formalism to legal realism. Drawing on the lessons of legal realism, we propose a new mode of algorithmic thinking—“algorithmic realism”—that provides tools for computer scientists to account for the realities of social life and of algorithmic impacts. These realist approaches, although not foolproof, will better equip computer scientists to reduce algorithmic harms and to reason well about doing good.","container-title":"Proceedings of the 2020 Conference on Fairness, Accountability, and Transparency","DOI":"10.1145/3351095.3372840","event":"FAT* '20: Conference on Fairness, Accountability, and Transparency","event-place":"Barcelona Spain","ISBN":"978-1-4503-6936-7","language":"en","page":"19-31","publisher":"ACM","publisher-place":"Barcelona Spain","source":"DOI.org (Crossref)","title":"Algorithmic realism: expanding the boundaries of algorithmic thought","URL":"http://dl.acm.org/doi/10.1145/3351095.3372840","author":[{"family":"Green","given":"Ben"},{"family":"Viljoen","given":"Salomé"}],"accessed":{"date-parts":[["2020",8,10]]},"issued":{"date-parts":[["2020",1,27]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Green and Viljoen (n 66).</w:t>
      </w:r>
      <w:r w:rsidRPr="006F7A8D">
        <w:rPr>
          <w:rFonts w:ascii="Times New Roman" w:hAnsi="Times New Roman" w:cs="Times New Roman"/>
        </w:rPr>
        <w:fldChar w:fldCharType="end"/>
      </w:r>
    </w:p>
  </w:footnote>
  <w:footnote w:id="88">
    <w:p w14:paraId="3FC6EF00" w14:textId="31C64F6A"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{"citationID":"j0ZD21XY","properties":{"formattedCitation":"Matczak (n 51) 29\\uc0\\u8211{}34.","plainCitation":"Matczak (n 51) 29–34.","noteIndex":88},"citationItems":[{"id":43,"uris":["http://zotero.org/users/6782581/items/QH39DL47"],"uri":["http://zotero.org/users/6782581/items/QH39DL47"],"itemData":{"id":43,"type":"article-journal","container-title":"SSRN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Law","author":[{"family":"Matczak","given":"Marcin"}],"issued":{"date-parts":[["2016",8,29]]}},"locator":"29-34"}],"schema":"https://github.com/citation-style-language/schema/raw/master/csl-citation.json"}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29–34.</w:t>
      </w:r>
      <w:r w:rsidRPr="006F7A8D">
        <w:rPr>
          <w:rFonts w:ascii="Times New Roman" w:hAnsi="Times New Roman" w:cs="Times New Roman"/>
        </w:rPr>
        <w:fldChar w:fldCharType="end"/>
      </w:r>
    </w:p>
  </w:footnote>
  <w:footnote w:id="89">
    <w:p w14:paraId="4DCBB89A" w14:textId="3240A6F2"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{"citationID":"jFuN9nOJ","properties":{"formattedCitation":"Wolfram (n 5) 156\\uc0\\u8211{}159.","plainCitation":"Wolfram (n 5) 156–159.","noteIndex":89},"citationItems":[{"id":104,"uris":["http://zotero.org/users/6782581/items/28QHAVCI"],"uri":["http://zotero.org/users/6782581/items/28QHAVCI"],"itemData":{"id":104,"type":"chapter","container-title":"Ethics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90">
    <w:p w14:paraId="1B75D17A" w14:textId="3B0AFA6B" w:rsidR="006F7A8D" w:rsidRPr="006F7A8D" w:rsidRDefault="006F7A8D" w:rsidP="006C0C34">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{"citationID":"norNkN6Z","properties":{"formattedCitation":"Matczak (n 51) 21\\uc0\\u8211{}29.","plainCitation":"Matczak (n 51) 21–29.","noteIndex":90},"citationItems":[{"id":43,"uris":["http://zotero.org/users/6782581/items/QH39DL47"],"uri":["http://zotero.org/users/6782581/items/QH39DL47"],"itemData":{"id":43,"type":"article-journal","container-title":"SSRN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Law","author":[{"family":"Matczak","given":"Marcin"}],"issued":{"date-parts":[["2016",8,29]]}},"locator":"21-29"}],"schema":"https://github.com/citation-style-language/schema/raw/master/csl-citation.json"}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Matczak (n 51) 21–29.</w:t>
      </w:r>
      <w:r w:rsidRPr="006F7A8D">
        <w:rPr>
          <w:rFonts w:ascii="Times New Roman" w:hAnsi="Times New Roman" w:cs="Times New Roman"/>
        </w:rPr>
        <w:fldChar w:fldCharType="end"/>
      </w:r>
    </w:p>
  </w:footnote>
  <w:footnote w:id="91">
    <w:p w14:paraId="3F7AD2DF" w14:textId="220CA81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Perram J, </w:t>
      </w:r>
      <w:r w:rsidRPr="006F7A8D">
        <w:rPr>
          <w:rFonts w:ascii="Times New Roman" w:hAnsi="Times New Roman" w:cs="Times New Roman"/>
          <w:i/>
          <w:iCs/>
        </w:rPr>
        <w:t xml:space="preserve">Australian Securities and Investments Commission v Westpac Banking Corporation (Liability Trial) </w:t>
      </w:r>
      <w:r w:rsidRPr="006F7A8D">
        <w:rPr>
          <w:rFonts w:ascii="Times New Roman" w:hAnsi="Times New Roman" w:cs="Times New Roman"/>
        </w:rPr>
        <w:t xml:space="preserve">[2019] FCA 1244 [68]-[70] informing what matters are ‘mandatory’ in determining if a credit product is unsuitable for the purposes of </w:t>
      </w:r>
      <w:r w:rsidRPr="006F7A8D">
        <w:rPr>
          <w:rFonts w:ascii="Times New Roman" w:hAnsi="Times New Roman" w:cs="Times New Roman"/>
          <w:i/>
          <w:iCs/>
        </w:rPr>
        <w:t>National Consumer Credit Protection Act 2009</w:t>
      </w:r>
      <w:r w:rsidRPr="006F7A8D">
        <w:rPr>
          <w:rFonts w:ascii="Times New Roman" w:hAnsi="Times New Roman" w:cs="Times New Roman"/>
        </w:rPr>
        <w:t xml:space="preserve"> (Cth) ss 118(2), 119(2), 131(2), 141(2), 142(2), 154(2). </w:t>
      </w:r>
    </w:p>
  </w:footnote>
  <w:footnote w:id="92">
    <w:p w14:paraId="5ACDE2F8" w14:textId="6ECBA23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Davies J, </w:t>
      </w:r>
      <w:r w:rsidRPr="006F7A8D">
        <w:rPr>
          <w:rFonts w:ascii="Times New Roman" w:hAnsi="Times New Roman" w:cs="Times New Roman"/>
          <w:i/>
          <w:iCs/>
        </w:rPr>
        <w:t>Australian Securities and Investments Commission v The Cas</w:t>
      </w:r>
      <w:r w:rsidR="00702FCF">
        <w:rPr>
          <w:rFonts w:ascii="Times New Roman" w:hAnsi="Times New Roman" w:cs="Times New Roman"/>
          <w:i/>
          <w:iCs/>
        </w:rPr>
        <w:t>h</w:t>
      </w:r>
      <w:r w:rsidRPr="006F7A8D">
        <w:rPr>
          <w:rFonts w:ascii="Times New Roman" w:hAnsi="Times New Roman" w:cs="Times New Roman"/>
          <w:i/>
          <w:iCs/>
        </w:rPr>
        <w:t xml:space="preserve"> Store </w:t>
      </w:r>
      <w:r w:rsidR="00702FCF">
        <w:rPr>
          <w:rFonts w:ascii="Times New Roman" w:hAnsi="Times New Roman" w:cs="Times New Roman"/>
          <w:i/>
          <w:iCs/>
        </w:rPr>
        <w:t xml:space="preserve">Pty Ltd </w:t>
      </w:r>
      <w:r w:rsidRPr="006F7A8D">
        <w:rPr>
          <w:rFonts w:ascii="Times New Roman" w:hAnsi="Times New Roman" w:cs="Times New Roman"/>
          <w:i/>
          <w:iCs/>
        </w:rPr>
        <w:t xml:space="preserve">(in liquidation) </w:t>
      </w:r>
      <w:r w:rsidRPr="006F7A8D">
        <w:rPr>
          <w:rFonts w:ascii="Times New Roman" w:hAnsi="Times New Roman" w:cs="Times New Roman"/>
        </w:rPr>
        <w:t xml:space="preserve">[2014] FCA 926 [23] &amp; Greenwood J, </w:t>
      </w:r>
      <w:r w:rsidRPr="006F7A8D">
        <w:rPr>
          <w:rFonts w:ascii="Times New Roman" w:hAnsi="Times New Roman" w:cs="Times New Roman"/>
          <w:i/>
          <w:iCs/>
        </w:rPr>
        <w:t xml:space="preserve">Australian Securities and Investment Commission v Channic Pty Ltd (No 4) </w:t>
      </w:r>
      <w:r w:rsidRPr="006F7A8D">
        <w:rPr>
          <w:rFonts w:ascii="Times New Roman" w:hAnsi="Times New Roman" w:cs="Times New Roman"/>
        </w:rPr>
        <w:t>[2016] FCA 1174</w:t>
      </w:r>
      <w:r w:rsidRPr="006F7A8D">
        <w:rPr>
          <w:rFonts w:ascii="Times New Roman" w:hAnsi="Times New Roman" w:cs="Times New Roman"/>
          <w:i/>
          <w:iCs/>
        </w:rPr>
        <w:t xml:space="preserve"> </w:t>
      </w:r>
      <w:r w:rsidRPr="006F7A8D">
        <w:rPr>
          <w:rFonts w:ascii="Times New Roman" w:hAnsi="Times New Roman" w:cs="Times New Roman"/>
        </w:rPr>
        <w:t xml:space="preserve">[1773] deterring from the dictionary definition of ‘likely’ in the context of responsible lending obligations; Cf the USSC’s referral to the dictionary definition of ‘use’ in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{"citationID":"THXO6gc4","properties":{"formattedCitation":"{\\i{}Smith v United States} (n 54) 229 which has been criticised as a strict formalist decision; Matczak (n 51) 25\\uc0\\u8211{}28.","plainCitation":"Smith v United States (n 54) 229 which has been criticised as a strict formalist decision; Matczak (n 51) 25–28.","noteIndex":92},"citationItems":[{"id":127,"uris":["http://zotero.org/users/6782581/items/Y59582P8"],"uri":["http://zotero.org/users/6782581/items/Y59582P8"],"itemData":{"id":127,"type":"legal_case","authority":"United States Supreme Court","container-title":"U.S.","language":"en-us","page":"223","title":"Smith v United States","URL":"https://www.law.cornell.edu/supct/html/91-8674.ZD.html","volume":"508","author":[{"family":"Scalia","given":""}],"accessed":{"date-parts":[["2020",8,23]]},"issued":{"date-parts":[["1993",6,1]]}},"locator":"229","suffix":"which has been criticised as a strict formalist decision"},{"id":43,"uris":["http://zotero.org/users/6782581/items/QH39DL47"],"uri":["http://zotero.org/users/6782581/items/QH39DL47"],"itemData":{"id":43,"type":"article-journal","container-title":"SSRN Electronic Journal","DOI":"10.2139/ssrn.2831477","journalAbbreviation":"SSRN Electronic Journal","title":"Why Judicial Formalism is Incompatible with the Rule of Law","author":[{"family":"Matczak","given":"Marcin"}],"issued":{"date-parts":[["2016",8,29]]}},"locator":"25-28"}],"schema":"https://github.com/citation-style-language/schema/raw/master/csl-citation.json"}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i/>
          <w:iCs/>
          <w:szCs w:val="24"/>
        </w:rPr>
        <w:t>Smith v United States</w:t>
      </w:r>
      <w:r w:rsidRPr="006F7A8D">
        <w:rPr>
          <w:rFonts w:ascii="Times New Roman" w:hAnsi="Times New Roman" w:cs="Times New Roman"/>
          <w:szCs w:val="24"/>
        </w:rPr>
        <w:t xml:space="preserve"> (n 54) 229 which has been criticised as a strict formalist decision; Matczak (n 51) 25–28.</w:t>
      </w:r>
      <w:r w:rsidRPr="006F7A8D">
        <w:rPr>
          <w:rFonts w:ascii="Times New Roman" w:hAnsi="Times New Roman" w:cs="Times New Roman"/>
        </w:rPr>
        <w:fldChar w:fldCharType="end"/>
      </w:r>
      <w:r w:rsidRPr="006F7A8D">
        <w:rPr>
          <w:rFonts w:ascii="Times New Roman" w:hAnsi="Times New Roman" w:cs="Times New Roman"/>
        </w:rPr>
        <w:t xml:space="preserve"> See also Perram J, </w:t>
      </w:r>
      <w:r w:rsidRPr="006F7A8D">
        <w:rPr>
          <w:rFonts w:ascii="Times New Roman" w:hAnsi="Times New Roman" w:cs="Times New Roman"/>
          <w:i/>
          <w:iCs/>
        </w:rPr>
        <w:t xml:space="preserve">Australian Securities and Investments Commission v Westpac Banking Corporation (Liability Trial) </w:t>
      </w:r>
      <w:r w:rsidRPr="006F7A8D">
        <w:rPr>
          <w:rFonts w:ascii="Times New Roman" w:hAnsi="Times New Roman" w:cs="Times New Roman"/>
        </w:rPr>
        <w:t xml:space="preserve">[2019] FCA 1244 [68] determining that the consumer’s financial situation must be viewed ‘overall’ as opposed to by any ‘particular integer’. </w:t>
      </w:r>
    </w:p>
  </w:footnote>
  <w:footnote w:id="93">
    <w:p w14:paraId="1CD30593" w14:textId="4D81790B"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{"citationID":"HcuLUoHL","properties":{"formattedCitation":"Cf the unambiguous and deterministic legal questions addressed in Government Information Services (n 21) 21\\uc0\\u8211{}24.","plainCitation":"Cf the unambiguous and deterministic legal questions addressed in Government Information Services (n 21) 21–24.","noteIndex":93},"citationItems":[{"id":1,"uris":["http://zotero.org/users/6782581/items/CE9X6PPW"],"uri":["http://zotero.org/users/6782581/items/CE9X6PPW"],"itemData":{"id":1,"type":"report","genre":"Discovery Report","language":"en-NZ","note":"source: www.digital.govt.nz","publisher":"Department of Internal Affairs, New Zealand Government","title":"Better Rules for Government","URL":"https://www.digital.govt.nz/dmsdocument/95-better-rules-for-government-discovery-report/html,-pseudocode-and-software-code#examples-of-legislation,-pseudocode-and-software-code","author":[{"literal":"Government Information Services"}],"accessed":{"date-parts":[["2020",8,4]]},"issued":{"date-parts":[["2018",3]]}},"locator":"21-24","prefix":"Cf the unambiguous and deterministic legal questions addressed in"}],"schema":"https://github.com/citation-style-language/schema/raw/master/csl-citation.json"}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Cf the unambiguous and deterministic legal questions addressed in Government Information Services (n 21) 21–24.</w:t>
      </w:r>
      <w:r w:rsidRPr="006F7A8D">
        <w:rPr>
          <w:rFonts w:ascii="Times New Roman" w:hAnsi="Times New Roman" w:cs="Times New Roman"/>
        </w:rPr>
        <w:fldChar w:fldCharType="end"/>
      </w:r>
    </w:p>
  </w:footnote>
  <w:footnote w:id="94">
    <w:p w14:paraId="668995FE" w14:textId="56A4891D"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{"citationID":"7XvkUZPm","properties":{"formattedCitation":"\\uc0\\u8216{}Regulatory Guide 209: Credit Licensing: Responsible Lending Conduct\\uc0\\u8217{} (n 64).","plainCitation":"‘Regulatory Guide 209: Credit Licensing: Responsible Lending Conduct’ (n 64).","noteIndex":94},"citationItems":[{"id":10,"uris":["http://zotero.org/users/6782581/items/8ZHWRN36"],"uri":["http://zotero.org/users/6782581/items/8ZHWRN36"],"itemData":{"id":10,"type":"bill","title":"Regulatory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‘Regulatory Guide 209: Credit Licensing: Responsible Lending Conduct’ (n 64).</w:t>
      </w:r>
      <w:r w:rsidRPr="006F7A8D">
        <w:rPr>
          <w:rFonts w:ascii="Times New Roman" w:hAnsi="Times New Roman" w:cs="Times New Roman"/>
        </w:rPr>
        <w:fldChar w:fldCharType="end"/>
      </w:r>
    </w:p>
  </w:footnote>
  <w:footnote w:id="95">
    <w:p w14:paraId="3CBC167C" w14:textId="7B26749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{"citationID":"JXCJK7zZ","properties":{"formattedCitation":"Ibid r 81-83.","plainCitation":"Ibid r 81-83.","noteIndex":95},"citationItems":[{"id":10,"uris":["http://zotero.org/users/6782581/items/8ZHWRN36"],"uri":["http://zotero.org/users/6782581/items/8ZHWRN36"],"itemData":{"id":10,"type":"bill","title":"Regulatory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81-83"}],"schema":"https://github.com/citation-style-language/schema/raw/master/csl-citation.json"}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r 81-83.</w:t>
      </w:r>
      <w:r w:rsidRPr="006F7A8D">
        <w:rPr>
          <w:rFonts w:ascii="Times New Roman" w:hAnsi="Times New Roman" w:cs="Times New Roman"/>
        </w:rPr>
        <w:fldChar w:fldCharType="end"/>
      </w:r>
    </w:p>
  </w:footnote>
  <w:footnote w:id="96">
    <w:p w14:paraId="474C16F3" w14:textId="78E3D17F" w:rsidR="006F7A8D" w:rsidRPr="006F7A8D" w:rsidRDefault="006F7A8D" w:rsidP="001D223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{"citationID":"JcOATITy","properties":{"formattedCitation":"Ibid r 23(d).","plainCitation":"Ibid r 23(d).","noteIndex":96},"citationItems":[{"id":10,"uris":["http://zotero.org/users/6782581/items/8ZHWRN36"],"uri":["http://zotero.org/users/6782581/items/8ZHWRN36"],"itemData":{"id":10,"type":"bill","title":"Regulatory Guide 209: Credit licensing: Responsible lending conduct","URL":"https://download.asic.gov.au/media/5403117/rg209-published-9-december-2019.pdf","author":[{"literal":"Australian Securities &amp; Investments Commission"}],"accessed":{"date-parts":[["2020",8,4]]}},"locator":"r 23(d)","label":"section"}],"schema":"https://github.com/citation-style-language/schema/raw/master/csl-citation.json"}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Ibid r 23(d).</w:t>
      </w:r>
      <w:r w:rsidRPr="006F7A8D">
        <w:rPr>
          <w:rFonts w:ascii="Times New Roman" w:hAnsi="Times New Roman" w:cs="Times New Roman"/>
        </w:rPr>
        <w:fldChar w:fldCharType="end"/>
      </w:r>
      <w:r w:rsidRPr="006F7A8D">
        <w:rPr>
          <w:rFonts w:ascii="Times New Roman" w:hAnsi="Times New Roman" w:cs="Times New Roman"/>
        </w:rPr>
        <w:t xml:space="preserve"> </w:t>
      </w:r>
    </w:p>
  </w:footnote>
  <w:footnote w:id="97">
    <w:p w14:paraId="00D6A14B" w14:textId="5951E8B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{"citationID":"vx7kjZIA","properties":{"formattedCitation":"Toby Donaldson, \\uc0\\u8216{}Python as a First Programming Language for Everyone\\uc0\\u8217{} (2003) &lt;http://www.cs.ubc.ca/wccce/Program03/papers/Toby.html&gt;; Vambola Leping et al, \\uc0\\u8216{}Python Prevails\\uc0\\u8217{} in {\\i{}Proceedings of the International Conference on Computer Systems and Technologies and Workshop for PhD Students in Computing} (Association for Computing Machinery, 2009) 1, 2 &lt;https://doi.org/10.1145/1731740.1731833&gt;.","plainCitation":"Toby Donaldson, ‘Python as a First Programming Language for Everyone’ (2003) &lt;http://www.cs.ubc.ca/wccce/Program03/papers/Toby.html&gt;; Vambola Leping et al, ‘Python Prevails’ in Proceedings of the International Conference on Computer Systems and Technologies and Workshop for PhD Students in Computing (Association for Computing Machinery, 2009) 1, 2 &lt;https://doi.org/10.1145/1731740.1731833&gt;.","noteIndex":97},"citationItems":[{"id":123,"uris":["http://zotero.org/users/6782581/items/QRAJFZYE"],"uri":["http://zotero.org/users/6782581/items/QRAJFZYE"],"itemData":{"id":123,"type":"paper-conference","event":"Western Canadian Conference on Computing Education","event-place":"North Island College, British Columbia","publisher-place":"North Island College, British Columbia","title":"Python as a First Programming Language for Everyone","URL":"http://www.cs.ubc.ca/wccce/Program03/papers/Toby.html","author":[{"family":"Donaldson","given":"Toby"}],"accessed":{"date-parts":[["2020",8,23]]},"issued":{"date-parts":[["2003",5]]}}},{"id":124,"uris":["http://zotero.org/users/6782581/items/HN4YFCMT"],"uri":["http://zotero.org/users/6782581/items/HN4YFCMT"],"itemData":{"id":124,"type":"paper-conference","abstract":"In this article we describe why we changed the language of our introductory programming course for first year math and computer science students from Java to Python. We explain why we chose Python over the other languages, how we built up the course and how we ran it as an experiment with a small group (about 25% of students). The experiment itself lead us to decide to use Python with all the students starting the next, 2009/2010 study year.","collection-title":"CompSysTech '09","container-title":"Proceedings of the International Conference on Computer Systems and Technologies and Workshop for PhD Students in Computing","DOI":"10.1145/1731740.1731833","event-place":"New York, NY, USA","ISBN":"978-1-60558-986-2","page":"1–5","publisher":"Association for Computing Machinery","publisher-place":"New York, NY, USA","source":"ACM Digital Library","title":"Python prevails","URL":"https://doi.org/10.1145/1731740.1731833","author":[{"family":"Leping","given":"Vambola"},{"family":"Lepp","given":"Marina"},{"family":"Niitsoo","given":"Margus"},{"family":"Tõnisson","given":"Eno"},{"family":"Vene","given":"Varmo"},{"family":"Villems","given":"Anne"}],"accessed":{"date-parts":[["2020",8,22]]},"issued":{"date-parts":[["2009",6,18]]}},"locator":"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 xml:space="preserve">Toby Donaldson, ‘Python as a First Programming Language for Everyone’ (2003) &lt;http://www.cs.ubc.ca/wccce/Program03/papers/Toby.html&gt;; Vambola Leping et al, ‘Python Prevails’ in </w:t>
      </w:r>
      <w:r w:rsidRPr="006F7A8D">
        <w:rPr>
          <w:rFonts w:ascii="Times New Roman" w:hAnsi="Times New Roman" w:cs="Times New Roman"/>
          <w:i/>
          <w:iCs/>
        </w:rPr>
        <w:t>Proceedings of the International Conference on Computer Systems and Technologies and Workshop for PhD Students in Computing</w:t>
      </w:r>
      <w:r w:rsidRPr="006F7A8D">
        <w:rPr>
          <w:rFonts w:ascii="Times New Roman" w:hAnsi="Times New Roman" w:cs="Times New Roman"/>
        </w:rPr>
        <w:t xml:space="preserve"> (Association for Computing Machinery, 2009) 1, 2 &lt;https://doi.org/10.1145/1731740.1731833&gt;.</w:t>
      </w:r>
      <w:r w:rsidRPr="006F7A8D">
        <w:rPr>
          <w:rFonts w:ascii="Times New Roman" w:hAnsi="Times New Roman" w:cs="Times New Roman"/>
        </w:rPr>
        <w:fldChar w:fldCharType="end"/>
      </w:r>
    </w:p>
  </w:footnote>
  <w:footnote w:id="98">
    <w:p w14:paraId="41611C47" w14:textId="652BC80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{"citationID":"7fWcfQV2","properties":{"formattedCitation":"Jenna Burrell, \\uc0\\u8216{}How the Machine \\uc0\\u8220{}Thinks\\uc0\\u8221{}: Understanding Opacity in Machine Learning Algorithms\\uc0\\u8217{} (2016) 3(1) {\\i{}Big Data &amp; Society} 1, 4.","plainCitation":"Jenna Burrell, ‘How the Machine “Thinks”: Understanding Opacity in Machine Learning Algorithms’ (2016) 3(1) Big Data &amp; Society 1, 4.","noteIndex":98},"citationItems":[{"id":320,"uris":["http://zotero.org/users/6782581/items/3FYPA6CG"],"uri":["http://zotero.org/users/6782581/items/3FYPA6CG"],"itemData":{"id":320,"type":"article-journal","abstract":"This article considers the issue of opacity as a problem for socially consequential mechanisms of classification and ranking, such as spam filters, credit card fraud detection, search engines, news trends, market segmentation and advertising, insurance or loan qualification, and credit scoring. These mechanisms of classification all frequently rely on computational algorithms, and in many cases on machine learning algorithms to do this work. In this article, I draw a distinction between three forms of opacity: (1) opacity as intentional corporate or state secrecy, (2) opacity as technical illiteracy, and (3) an opacity that arises from the characteristics of machine learning algorithms and the scale required to apply them usefully. The analysis in this article gets inside the algorithms themselves. I cite existing literatures in computer science, known industry practices (as they are publicly presented), and do some testing and manipulation of code as a form of lightweight code audit. I argue that recognizing the distinct forms of opacity that may be coming into play in a given application is a key to determining which of a variety of technical and non-technical solutions could help to prevent harm.","container-title":"Big Data &amp; Society","DOI":"10.1177/2053951715622512","ISSN":"2053-9517","issue":"1","journalAbbreviation":"Big Data &amp; Society","note":"publisher: SAGE Publications Ltd","page":"1","source":"SAGE Journals","title":"How the machine ‘thinks’: Understanding opacity in machine learning algorithms","volume":"3","author":[{"family":"Burrell","given":"Jenna"}],"issued":{"date-parts":[["2016",6,1]]}},"locator":"4"}],"schema":"https://github.com/citation-style-language/schema/raw/master/csl-citation.json"}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Jenna Burrell, ‘How the Machine “Thinks”: Understanding Opacity in Machine Learning Algorithms’ (2016) 3(1) </w:t>
      </w:r>
      <w:r w:rsidRPr="006F7A8D">
        <w:rPr>
          <w:rFonts w:ascii="Times New Roman" w:hAnsi="Times New Roman" w:cs="Times New Roman"/>
          <w:i/>
          <w:iCs/>
          <w:szCs w:val="24"/>
        </w:rPr>
        <w:t>Big Data &amp; Society</w:t>
      </w:r>
      <w:r w:rsidRPr="006F7A8D">
        <w:rPr>
          <w:rFonts w:ascii="Times New Roman" w:hAnsi="Times New Roman" w:cs="Times New Roman"/>
          <w:szCs w:val="24"/>
        </w:rPr>
        <w:t xml:space="preserve"> 1, 4.</w:t>
      </w:r>
      <w:r w:rsidRPr="006F7A8D">
        <w:rPr>
          <w:rFonts w:ascii="Times New Roman" w:hAnsi="Times New Roman" w:cs="Times New Roman"/>
        </w:rPr>
        <w:fldChar w:fldCharType="end"/>
      </w:r>
    </w:p>
  </w:footnote>
  <w:footnote w:id="99">
    <w:p w14:paraId="38B532FB" w14:textId="628EBEB8"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{"citationID":"0GsJRIsn","properties":{"formattedCitation":"Australasian Legal Information Institute, \\uc0\\u8216{}DataLex Consultation: ElectKB\\uc0\\u8217{}, {\\i{}DataLex} &lt;http://beta.datalex.org/app/consultation?rulebase=http%3A%2F%2Faustlii.community%2Ffoswiki%2FDataLex%2FElectKB&gt;.","plainCitation":"Australasian Legal Information Institute, ‘DataLex Consultation: ElectKB’, DataLex &lt;http://beta.datalex.org/app/consultation?rulebase=http%3A%2F%2Faustlii.community%2Ffoswiki%2FDataLex%2FElectKB&gt;.","noteIndex":99},"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Australasian Legal Information Institute, ‘DataLex Consultation: ElectKB’, </w:t>
      </w:r>
      <w:r w:rsidRPr="006F7A8D">
        <w:rPr>
          <w:rFonts w:ascii="Times New Roman" w:hAnsi="Times New Roman" w:cs="Times New Roman"/>
          <w:i/>
          <w:iCs/>
          <w:szCs w:val="24"/>
        </w:rPr>
        <w:t>DataLex</w:t>
      </w:r>
      <w:r w:rsidRPr="006F7A8D">
        <w:rPr>
          <w:rFonts w:ascii="Times New Roman" w:hAnsi="Times New Roman" w:cs="Times New Roman"/>
          <w:szCs w:val="24"/>
        </w:rPr>
        <w:t xml:space="preserve"> &lt;http://beta.datalex.org/app/consultation?rulebase=http%3A%2F%2Faustlii.community%2Ffoswiki%2FDataLex%2FElectKB&gt;.</w:t>
      </w:r>
      <w:r w:rsidRPr="006F7A8D">
        <w:rPr>
          <w:rFonts w:ascii="Times New Roman" w:hAnsi="Times New Roman" w:cs="Times New Roman"/>
        </w:rPr>
        <w:fldChar w:fldCharType="end"/>
      </w:r>
    </w:p>
  </w:footnote>
  <w:footnote w:id="100">
    <w:p w14:paraId="7A6424DE" w14:textId="5EF2F5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Mowbray et al., “Utilising AI in the legal assistance sector”, </w:t>
      </w:r>
      <w:hyperlink r:id="rId1" w:history="1">
        <w:r w:rsidRPr="006F7A8D">
          <w:rPr>
            <w:rStyle w:val="Hyperlink"/>
            <w:rFonts w:ascii="Times New Roman" w:hAnsi="Times New Roman" w:cs="Times New Roman"/>
          </w:rPr>
          <w:t>https://pdfs.semanticscholar.org/d461/95270980a87c74f5ac45e4f1bffc5282af4d.pdf?_ga=2.244334789.1101175616.1578402412-372167066.1578402412</w:t>
        </w:r>
      </w:hyperlink>
    </w:p>
  </w:footnote>
  <w:footnote w:id="101">
    <w:p w14:paraId="1A718E71" w14:textId="5B5849DE"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{"citationID":"Sk8kTmMT","properties":{"formattedCitation":"Sergot et al (n 8) 379\\uc0\\u8211{}380.","plainCitation":"Sergot et al (n 8) 379–380.","noteIndex":101},"citationItems":[{"id":46,"uris":["http://zotero.org/users/6782581/items/WIX843XU"],"uri":["http://zotero.org/users/6782581/items/WIX843XU"],"itemData":{"id":46,"type":"article-journal","container-title":"Communications of the ACM","DOI":"10.1145/5689.5920","journalAbbreviation":"Communications of the ACM","page":"370-386","title":"The British Nationality Act as a Logic Program","volume":"29","author":[{"family":"Sergot","given":"Marek"},{"family":"Sadri","given":"Fariba"},{"family":"Kowalski","given":"Robert"},{"family":"Kriwaczek","given":"Frank"},{"family":"Hammond","given":"Peter"},{"family":"Cory","given":"H."}],"issued":{"date-parts":[["1986",5,1]]}},"locator":"379-380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Sergot et al (n 8) 379–380.</w:t>
      </w:r>
      <w:r w:rsidRPr="006F7A8D">
        <w:rPr>
          <w:rFonts w:ascii="Times New Roman" w:hAnsi="Times New Roman" w:cs="Times New Roman"/>
        </w:rPr>
        <w:fldChar w:fldCharType="end"/>
      </w:r>
    </w:p>
  </w:footnote>
  <w:footnote w:id="102">
    <w:p w14:paraId="216D00AB" w14:textId="7DB643C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{"citationID":"DOOyIrPq","properties":{"formattedCitation":"Grant Jenks, {\\i{}Tribool: Three-Valued Logic Data Type.} (online at 29 September 2020) &lt;http://www.grantjenks.com/docs/tribool/&gt; (\\uc0\\u8216{}{\\i{}Tribool}\\uc0\\u8217{}).","plainCitation":"Grant Jenks, Tribool: Three-Valued Logic Data Type. (online at 29 September 2020) &lt;http://www.grantjenks.com/docs/tribool/&gt; (‘Tribool’).","noteIndex":102},"citationItems":[{"id":327,"uris":["http://zotero.org/users/6782581/items/Q8WUQHUE"],"uri":["http://zotero.org/users/6782581/items/Q8WUQHUE"],"itemData":{"id":327,"type":"book","genre":"Python","source":"PyPI","title":"tribool: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Grant Jenks, </w:t>
      </w:r>
      <w:r w:rsidRPr="006F7A8D">
        <w:rPr>
          <w:rFonts w:ascii="Times New Roman" w:hAnsi="Times New Roman" w:cs="Times New Roman"/>
          <w:i/>
          <w:iCs/>
          <w:szCs w:val="24"/>
        </w:rPr>
        <w:t>Tribool: Three-Valued Logic Data Type.</w:t>
      </w:r>
      <w:r w:rsidRPr="006F7A8D">
        <w:rPr>
          <w:rFonts w:ascii="Times New Roman" w:hAnsi="Times New Roman" w:cs="Times New Roman"/>
          <w:szCs w:val="24"/>
        </w:rPr>
        <w:t xml:space="preserve"> (online at 29 September 2020) &lt;http://www.grantjenks.com/docs/tribool/&gt; (‘</w:t>
      </w:r>
      <w:r w:rsidRPr="006F7A8D">
        <w:rPr>
          <w:rFonts w:ascii="Times New Roman" w:hAnsi="Times New Roman" w:cs="Times New Roman"/>
          <w:i/>
          <w:iCs/>
          <w:szCs w:val="24"/>
        </w:rPr>
        <w:t>Tribool</w:t>
      </w:r>
      <w:r w:rsidRPr="006F7A8D">
        <w:rPr>
          <w:rFonts w:ascii="Times New Roman" w:hAnsi="Times New Roman" w:cs="Times New Roman"/>
          <w:szCs w:val="24"/>
        </w:rPr>
        <w:t>’).</w:t>
      </w:r>
      <w:r w:rsidRPr="006F7A8D">
        <w:rPr>
          <w:rFonts w:ascii="Times New Roman" w:hAnsi="Times New Roman" w:cs="Times New Roman"/>
        </w:rPr>
        <w:fldChar w:fldCharType="end"/>
      </w:r>
    </w:p>
  </w:footnote>
  <w:footnote w:id="103">
    <w:p w14:paraId="117254ED" w14:textId="294F9108" w:rsidR="006F7A8D" w:rsidRPr="006F7A8D" w:rsidRDefault="006F7A8D" w:rsidP="00711C1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{"citationID":"8aHyWgLR","properties":{"formattedCitation":"Jeff Connelly, \\uc0\\u8216{}Ternary Computing Testbed 3-Trit Computer Architecture\\uc0\\u8217{} (California Polytechnic State University of San Luis Obispo, 2008) 8, 58\\uc0\\u8211{}59 &lt;http://xyzzy.freeshell.org/trinary/CPE%20Report%20-%20Ternary%20Computing%20Testbed%20-%20RC6a.pdf&gt;.","plainCitation":"Jeff Connelly, ‘Ternary Computing Testbed 3-Trit Computer Architecture’ (California Polytechnic State University of San Luis Obispo, 2008) 8, 58–59 &lt;http://xyzzy.freeshell.org/trinary/CPE%20Report%20-%20Ternary%20Computing%20Testbed%20-%20RC6a.pdf&gt;.","noteIndex":103},"citationItems":[{"id":329,"uris":["http://zotero.org/users/6782581/items/REKMDKW3"],"uri":["http://zotero.org/users/6782581/items/REKMDKW3"],"itemData":{"id":329,"type":"thesis","publisher":"California Polytechnic State University of San Luis Obispo","title":"Ternary Computing Testbed 3-Trit Computer Architecture","URL":"http://xyzzy.freeshell.org/trinary/CPE%20Report%20-%20Ternary%20Computing%20Testbed%20-%20RC6a.pdf","author":[{"family":"Connelly","given":"Jeff"}],"accessed":{"date-parts":[["2020",9,29]]},"issued":{"date-parts":[["2008",8,29]]}},"locator":"8, 58-59"}],"schema":"https://github.com/citation-style-language/schema/raw/master/csl-citation.json"}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Jeff Connelly, ‘Ternary Computing Testbed 3-Trit Computer Architecture’ (California Polytechnic State University of San Luis Obispo, 2008) 8, 58–59 &lt;http://xyzzy.freeshell.org/trinary/CPE%20Report%20-%20Ternary%20Computing%20Testbed%20-%20RC6a.pdf&gt;.</w:t>
      </w:r>
      <w:r w:rsidRPr="006F7A8D">
        <w:rPr>
          <w:rFonts w:ascii="Times New Roman" w:hAnsi="Times New Roman" w:cs="Times New Roman"/>
        </w:rPr>
        <w:fldChar w:fldCharType="end"/>
      </w:r>
    </w:p>
  </w:footnote>
  <w:footnote w:id="104">
    <w:p w14:paraId="4A83DD2C" w14:textId="6CA0A16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{"citationID":"Wj4P0iTt","properties":{"formattedCitation":"Wolfram (n 5) 156\\uc0\\u8211{}159.","plainCitation":"Wolfram (n 5) 156–159.","noteIndex":104},"citationItems":[{"id":104,"uris":["http://zotero.org/users/6782581/items/28QHAVCI"],"uri":["http://zotero.org/users/6782581/items/28QHAVCI"],"itemData":{"id":104,"type":"chapter","container-title":"Ethics of Artificial Intelligence","ISBN":"978-0-19-090503-3","language":"en","note":"Google-Books-ID: 2ST3DwAAQBAJ","page":"155-180","publisher":"Oxford University Press","source":"Google Books","title":"Computational Law, Symbolic Discourse, and the AI Constitution","author":[{"family":"Wolfram","given":"Stephen"}],"issued":{"date-parts":[["2020"]]}},"locator":"156-159"}],"schema":"https://github.com/citation-style-language/schema/raw/master/csl-citation.json"}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Wolfram (n 5) 156–159.</w:t>
      </w:r>
      <w:r w:rsidRPr="006F7A8D">
        <w:rPr>
          <w:rFonts w:ascii="Times New Roman" w:hAnsi="Times New Roman" w:cs="Times New Roman"/>
        </w:rPr>
        <w:fldChar w:fldCharType="end"/>
      </w:r>
    </w:p>
  </w:footnote>
  <w:footnote w:id="105">
    <w:p w14:paraId="0786DEB9" w14:textId="4863CF8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{"citationID":"PHnpFy6Q","properties":{"formattedCitation":"Deb Armstrong, \\uc0\\u8216{}The Quarks of Object-Oriented Development\\uc0\\u8217{} (2006) 49(2) {\\i{}Communications of the ACM} 123, 123.","plainCitation":"Deb Armstrong, ‘The Quarks of Object-Oriented Development’ (2006) 49(2) Communications of the ACM 123, 123.","noteIndex":105},"citationItems":[{"id":331,"uris":["http://zotero.org/users/6782581/items/K6G6PWPW"],"uri":["http://zotero.org/users/6782581/items/K6G6PWPW"],"itemData":{"id":331,"type":"article-journal","container-title":"Communications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Deb Armstrong, ‘The Quarks of Object-Oriented Development’ (2006) 49(2) </w:t>
      </w:r>
      <w:r w:rsidRPr="006F7A8D">
        <w:rPr>
          <w:rFonts w:ascii="Times New Roman" w:hAnsi="Times New Roman" w:cs="Times New Roman"/>
          <w:i/>
          <w:iCs/>
          <w:szCs w:val="24"/>
        </w:rPr>
        <w:t>Communications of the ACM</w:t>
      </w:r>
      <w:r w:rsidRPr="006F7A8D">
        <w:rPr>
          <w:rFonts w:ascii="Times New Roman" w:hAnsi="Times New Roman" w:cs="Times New Roman"/>
          <w:szCs w:val="24"/>
        </w:rPr>
        <w:t xml:space="preserve"> 123, 123.</w:t>
      </w:r>
      <w:r w:rsidRPr="006F7A8D">
        <w:rPr>
          <w:rFonts w:ascii="Times New Roman" w:hAnsi="Times New Roman" w:cs="Times New Roman"/>
        </w:rPr>
        <w:fldChar w:fldCharType="end"/>
      </w:r>
    </w:p>
  </w:footnote>
  <w:footnote w:id="106">
    <w:p w14:paraId="2424314B" w14:textId="6C330B0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{"citationID":"aGMZ8i3W","properties":{"formattedCitation":"Ibid 123\\uc0\\u8211{}125; Stephen Morris, {\\i{}Object-Oriented Programming under Windows} (Elsevier Science &amp; Technology, 1994) 13, 15\\uc0\\u8211{}18, 20\\uc0\\u8211{}21 &lt;http://ebookcentral.proquest.com/lib/qut/detail.action?docID=1874406&gt;.","plainCitation":"Ibid 123–125; Stephen Morris, Object-Oriented Programming under Windows (Elsevier Science &amp; Technology, 1994) 13, 15–18, 20–21 &lt;http://ebookcentral.proquest.com/lib/qut/detail.action?docID=1874406&gt;.","noteIndex":106},"citationItems":[{"id":331,"uris":["http://zotero.org/users/6782581/items/K6G6PWPW"],"uri":["http://zotero.org/users/6782581/items/K6G6PWPW"],"itemData":{"id":331,"type":"article-journal","container-title":"Communications of the ACM","DOI":"10.1145/1113034.1113040","issue":"2","journalAbbreviation":"Commun. ACM","page":"123-128","title":"The quarks of object-oriented development","volume":"49","author":[{"family":"Armstrong","given":"Deb"}],"issued":{"date-parts":[["2006",2,1]]}},"locator":"123-125"},{"id":332,"uris":["http://zotero.org/users/6782581/items/SH9FVZ3B"],"uri":["http://zotero.org/users/6782581/items/SH9FVZ3B"],"itemData":{"id":332,"type":"book","event-place":"Kent, UNITED KINGDOM","ISBN":"978-1-4831-0419-5","publisher":"Elsevier Science &amp; Technology","publisher-place":"Kent, UNITED KINGDOM","source":"ProQuest Ebook Central","title":"Object-Oriented Programming under Windows","URL":"http://ebookcentral.proquest.com/lib/qut/detail.action?docID=1874406","author":[{"family":"Morris","given":"Stephen"}],"accessed":{"date-parts":[["2020",9,29]]},"issued":{"date-parts":[["1994"]]}},"locator":"13, 15-18, 20-21"}],"schema":"https://github.com/citation-style-language/schema/raw/master/csl-citation.json"}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Ibid 123–125; Stephen Morris, </w:t>
      </w:r>
      <w:r w:rsidRPr="006F7A8D">
        <w:rPr>
          <w:rFonts w:ascii="Times New Roman" w:hAnsi="Times New Roman" w:cs="Times New Roman"/>
          <w:i/>
          <w:iCs/>
          <w:szCs w:val="24"/>
        </w:rPr>
        <w:t>Object-Oriented Programming under Windows</w:t>
      </w:r>
      <w:r w:rsidRPr="006F7A8D">
        <w:rPr>
          <w:rFonts w:ascii="Times New Roman" w:hAnsi="Times New Roman" w:cs="Times New Roman"/>
          <w:szCs w:val="24"/>
        </w:rPr>
        <w:t xml:space="preserve"> (Elsevier Science &amp; Technology, 1994) 13, 15–18, 20–21 &lt;http://ebookcentral.proquest.com/lib/qut/detail.action?docID=1874406&gt;.</w:t>
      </w:r>
      <w:r w:rsidRPr="006F7A8D">
        <w:rPr>
          <w:rFonts w:ascii="Times New Roman" w:hAnsi="Times New Roman" w:cs="Times New Roman"/>
        </w:rPr>
        <w:fldChar w:fldCharType="end"/>
      </w:r>
    </w:p>
  </w:footnote>
  <w:footnote w:id="107">
    <w:p w14:paraId="3C06603B" w14:textId="5E4CC49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Pr="006F7A8D">
        <w:rPr>
          <w:rFonts w:ascii="Times New Roman" w:hAnsi="Times New Roman" w:cs="Times New Roman"/>
        </w:rPr>
        <w:instrText xml:space="preserve"> ADDIN ZOTERO_ITEM CSL_CITATION {"citationID":"rChECtbD","properties":{"formattedCitation":"Answered through a custom made function, \\uc0\\u8216{}bool_input(string)\\uc0\\u8217{} which accepted inputs of \\uc0\\u8216{}1\\uc0\\u8217{}, \\uc0\\u8216{}0\\uc0\\u8217{}, or \\uc0\\u8216{}?\\uc0\\u8217{} for \\uc0\\u8216{}True/Yes\\uc0\\u8217{}, \\uc0\\u8216{}False/No\\uc0\\u8217{}, or \\uc0\\u8216{}Indeterminate\\uc0\\u8217{} respectively and was built upon the tribool software developed by Jenks (n 102).","plainCitation":"Answered through a custom made function, ‘bool_input(string)’ which accepted inputs of ‘1’, ‘0’, or ‘?’ for ‘True/Yes’, ‘False/No’, or ‘Indeterminate’ respectively and was built upon the tribool software developed by Jenks (n 102).","noteIndex":107},"citationItems":[{"id":327,"uris":["http://zotero.org/users/6782581/items/Q8WUQHUE"],"uri":["http://zotero.org/users/6782581/items/Q8WUQHUE"],"itemData":{"id":327,"type":"book","genre":"Python","source":"PyPI","title":"tribool: Three-valued logic data type.","title-short":"tribool","URL":"http://www.grantjenks.com/docs/tribool/","version":"0.7.3","author":[{"family":"Jenks","given":"Grant"}],"accessed":{"date-parts":[["2020",9,29]]}},"prefix":"Answered through a custom made function, ‘bool_input(string)’ which accepted inputs of ‘1’, ‘0’, or ‘?’ for ‘True/Yes’, ‘False/No’, or ‘Indeterminate’ respectively and was built upon the tribool software developed by"}],"schema":"https://github.com/citation-style-language/schema/raw/master/csl-citation.json"}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Answered through a custom made function, ‘bool_input(string)’ which accepted inputs of ‘1’, ‘0’, or ‘?’ for ‘True/Yes’, ‘False/No’, or ‘Indeterminate’ respectively and was built upon the tribool software developed by Jenks (n 102).</w:t>
      </w:r>
      <w:r w:rsidRPr="006F7A8D">
        <w:rPr>
          <w:rFonts w:ascii="Times New Roman" w:hAnsi="Times New Roman" w:cs="Times New Roman"/>
        </w:rPr>
        <w:fldChar w:fldCharType="end"/>
      </w:r>
    </w:p>
  </w:footnote>
  <w:footnote w:id="108">
    <w:p w14:paraId="50165105" w14:textId="38B2DFD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{"citationID":"dhcc0DbN","properties":{"formattedCitation":"Parsed using Python\\uc0\\u8217{}s built-in datetime module: Python Software Foundation, \\uc0\\u8216{}Datetime \\uc0\\u8212{} Basic Date and Time Types\\uc0\\u8217{}, {\\i{}Python 3.8.6 documentation} (Documentation, 29 September 2020) &lt;https://docs.python.org/3/library/datetime.html&gt;.","plainCitation":"Parsed using Python’s built-in datetime module: Python Software Foundation, ‘Datetime — Basic Date and Time Types’, Python 3.8.6 documentation (Documentation, 29 September 2020) &lt;https://docs.python.org/3/library/datetime.html&gt;.","noteIndex":108},"citationItems":[{"id":338,"uris":["http://zotero.org/users/6782581/items/5CM9KEY5"],"uri":["http://zotero.org/users/6782581/items/5CM9KEY5"],"itemData":{"id":338,"type":"webpage","container-title":"Python 3.8.6 documentation","genre":"Documentation","title":"datetime — Basic date and time types","URL":"https://docs.python.org/3/library/datetime.html","author":[{"literal":"Python Software Foundation"}],"accessed":{"date-parts":[["2020",9,29]]},"issued":{"date-parts":[["2020",9,29]]}},"prefix":"Parsed using Python’s built-in datetime module:"}],"schema":"https://github.com/citation-style-language/schema/raw/master/csl-citation.json"}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Parsed using Python’s built-in datetime module: Python Software Foundation, ‘Datetime — Basic Date and Time Types’, </w:t>
      </w:r>
      <w:r w:rsidRPr="006F7A8D">
        <w:rPr>
          <w:rFonts w:ascii="Times New Roman" w:hAnsi="Times New Roman" w:cs="Times New Roman"/>
          <w:i/>
          <w:iCs/>
          <w:szCs w:val="24"/>
        </w:rPr>
        <w:t>Python 3.8.6 documentation</w:t>
      </w:r>
      <w:r w:rsidRPr="006F7A8D">
        <w:rPr>
          <w:rFonts w:ascii="Times New Roman" w:hAnsi="Times New Roman" w:cs="Times New Roman"/>
          <w:szCs w:val="24"/>
        </w:rPr>
        <w:t xml:space="preserve"> (Documentation, 29 September 2020) &lt;https://docs.python.org/3/library/datetime.html&gt;.</w:t>
      </w:r>
      <w:r w:rsidRPr="006F7A8D">
        <w:rPr>
          <w:rFonts w:ascii="Times New Roman" w:hAnsi="Times New Roman" w:cs="Times New Roman"/>
        </w:rPr>
        <w:fldChar w:fldCharType="end"/>
      </w:r>
    </w:p>
  </w:footnote>
  <w:footnote w:id="109">
    <w:p w14:paraId="6781CB7E" w14:textId="437FFF7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For example, a credit limit without a preceding currency symbol, or contract term without a preceding unit of days. </w:t>
      </w:r>
    </w:p>
  </w:footnote>
  <w:footnote w:id="110">
    <w:p w14:paraId="1596BB63" w14:textId="44F6035A"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Regulations 2010 </w:t>
      </w:r>
      <w:r w:rsidRPr="006F7A8D">
        <w:rPr>
          <w:rFonts w:ascii="Times New Roman" w:hAnsi="Times New Roman" w:cs="Times New Roman"/>
        </w:rPr>
        <w:t>(Cth)</w:t>
      </w:r>
    </w:p>
  </w:footnote>
  <w:footnote w:id="111">
    <w:p w14:paraId="224FD673" w14:textId="10685A3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 s 133(5).</w:t>
      </w:r>
    </w:p>
  </w:footnote>
  <w:footnote w:id="112">
    <w:p w14:paraId="3A7136D3" w14:textId="0224395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Explanatory Memorandum, National Consumer Credit Protection Bill 2009 (Cth) 109-113.</w:t>
      </w:r>
    </w:p>
  </w:footnote>
  <w:footnote w:id="113">
    <w:p w14:paraId="0F0683BF" w14:textId="1A6B48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 s 133(6)(a).</w:t>
      </w:r>
    </w:p>
  </w:footnote>
  <w:footnote w:id="114">
    <w:p w14:paraId="4AD4FFCF" w14:textId="2788765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s133(6)(b).</w:t>
      </w:r>
    </w:p>
  </w:footnote>
  <w:footnote w:id="115">
    <w:p w14:paraId="313D4BFC" w14:textId="05D5608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s133(6)(c).</w:t>
      </w:r>
    </w:p>
  </w:footnote>
  <w:footnote w:id="116">
    <w:p w14:paraId="4C998080" w14:textId="781AD0E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Ibid ss 5 (definition of ‘person’), 14-15, 53(3).</w:t>
      </w:r>
    </w:p>
  </w:footnote>
  <w:footnote w:id="117">
    <w:p w14:paraId="5D48571E" w14:textId="534BF35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Crimes Act 1914 </w:t>
      </w:r>
      <w:r w:rsidRPr="006F7A8D">
        <w:rPr>
          <w:rFonts w:ascii="Times New Roman" w:hAnsi="Times New Roman" w:cs="Times New Roman"/>
        </w:rPr>
        <w:t>(Cth) s 4B(2)</w:t>
      </w:r>
    </w:p>
  </w:footnote>
  <w:footnote w:id="118">
    <w:p w14:paraId="75837D0D" w14:textId="02A74D3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{"citationID":"X555ax23","properties":{"formattedCitation":"Explanatory Memorandum, Crimes Legislation Amendment Bill 1987 (Cth) 11. See also National Judicial College of Australia, \\uc0\\u8216{}Corporations\\uc0\\u8217{}, {\\i{}Commonwealth Sentencing Database} (Database) &lt;https://csd.njca.com.au/principles-practice/categories-of-federal-offenders/corporations2/&gt;.","plainCitation":"Explanatory Memorandum, Crimes Legislation Amendment Bill 1987 (Cth) 11. See also National Judicial College of Australia, ‘Corporations’, Commonwealth Sentencing Database (Database) &lt;https://csd.njca.com.au/principles-practice/categories-of-federal-offenders/corporations2/&gt;.","noteIndex":118},"citationItems":[{"id":340,"uris":["http://zotero.org/users/6782581/items/YPCWEI7F"],"uri":["http://zotero.org/users/6782581/items/YPCWEI7F"],"itemData":{"id":340,"type":"webpage","container-title":"Commonwealth Sentencing Database","genre":"Database","title":"Corporations","URL":"https://csd.njca.com.au/principles-practice/categories-of-federal-offenders/corporations2/","author":[{"literal":"National Judicial College of Australia"}],"accessed":{"date-parts":[["2020",10,1]]}},"prefix":"Explanatory Memorandum, Crimes Legislation Amendment Bill 1987 (Cth) 11. See also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Explanatory Memorandum, Crimes Legislation Amendment Bill 1987 (Cth) 11. See also National Judicial College of Australia, ‘Corporations’, </w:t>
      </w:r>
      <w:r w:rsidRPr="006F7A8D">
        <w:rPr>
          <w:rFonts w:ascii="Times New Roman" w:hAnsi="Times New Roman" w:cs="Times New Roman"/>
          <w:i/>
          <w:iCs/>
          <w:szCs w:val="24"/>
        </w:rPr>
        <w:t>Commonwealth Sentencing Database</w:t>
      </w:r>
      <w:r w:rsidRPr="006F7A8D">
        <w:rPr>
          <w:rFonts w:ascii="Times New Roman" w:hAnsi="Times New Roman" w:cs="Times New Roman"/>
          <w:szCs w:val="24"/>
        </w:rPr>
        <w:t xml:space="preserve"> (Database) &lt;https://csd.njca.com.au/principles-practice/categories-of-federal-offenders/corporations2/&gt;.</w:t>
      </w:r>
      <w:r w:rsidRPr="006F7A8D">
        <w:rPr>
          <w:rFonts w:ascii="Times New Roman" w:hAnsi="Times New Roman" w:cs="Times New Roman"/>
        </w:rPr>
        <w:fldChar w:fldCharType="end"/>
      </w:r>
      <w:r w:rsidRPr="006F7A8D">
        <w:rPr>
          <w:rFonts w:ascii="Times New Roman" w:hAnsi="Times New Roman" w:cs="Times New Roman"/>
        </w:rPr>
        <w:t xml:space="preserve"> See also Explanatory Memorandum, National Consumer Credit Protection Bill 2009 (Cth) 113. Though the reference here to 100 penalty units is outdated, it confirms that conversion is permissible.</w:t>
      </w:r>
    </w:p>
  </w:footnote>
  <w:footnote w:id="119">
    <w:p w14:paraId="646F0765" w14:textId="1DF0D1B2"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An assertion which is admittedly put forth absent any justification in the relevant explanatory memorandum or other extrinsic materials: Explanatory Memorandum, National Consumer Credit Protection Bill 2009 (Cth) 109-111.</w:t>
      </w:r>
    </w:p>
  </w:footnote>
  <w:footnote w:id="120">
    <w:p w14:paraId="07962701" w14:textId="6D78793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 similar dilemma is posed through the consideration that s130(c)’s imposed obligation to verify a consumer’s financial situation could presumably only arise on the condition that the licensee has met their s130(b) obligation to inquire about the consumer’s financial situation. TODO</w:t>
      </w:r>
    </w:p>
  </w:footnote>
  <w:footnote w:id="121">
    <w:p w14:paraId="666C8445" w14:textId="3753E2D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[2014] FCA 926.</w:t>
      </w:r>
    </w:p>
  </w:footnote>
  <w:footnote w:id="122">
    <w:p w14:paraId="5A42DF6B" w14:textId="6FA53D7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Australian Securities and Investments Commission v Cash Store Pty Ltd (in liquidation) </w:t>
      </w:r>
      <w:r w:rsidRPr="006F7A8D">
        <w:rPr>
          <w:rFonts w:ascii="Times New Roman" w:hAnsi="Times New Roman" w:cs="Times New Roman"/>
        </w:rPr>
        <w:t>[2014] FCA 926, [69], 75.</w:t>
      </w:r>
    </w:p>
  </w:footnote>
  <w:footnote w:id="123">
    <w:p w14:paraId="418843A6" w14:textId="125D72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24">
    <w:p w14:paraId="0CE12CE5" w14:textId="08D262D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for the purposes of TODO</w:t>
      </w:r>
    </w:p>
  </w:footnote>
  <w:footnote w:id="125">
    <w:p w14:paraId="45B7B4E5" w14:textId="07F3A15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such as [RG 209 etc]</w:t>
      </w:r>
    </w:p>
  </w:footnote>
  <w:footnote w:id="126">
    <w:p w14:paraId="7E862027" w14:textId="3F144E2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27">
    <w:p w14:paraId="566493EA" w14:textId="0A60BFE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28">
    <w:p w14:paraId="2B20A4CC" w14:textId="31A5999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TODO</w:t>
      </w:r>
    </w:p>
  </w:footnote>
  <w:footnote w:id="129">
    <w:p w14:paraId="0EAA4F27" w14:textId="249D1C6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See, eg, TODO</w:t>
      </w:r>
    </w:p>
  </w:footnote>
  <w:footnote w:id="130">
    <w:p w14:paraId="3D9D16F9" w14:textId="77777777" w:rsidR="006F7A8D" w:rsidRPr="006F7A8D" w:rsidRDefault="006F7A8D" w:rsidP="001C300E">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Australian Securities and Investments Commission v Westpac Banking Corporation</w:t>
      </w:r>
      <w:r w:rsidRPr="006F7A8D">
        <w:rPr>
          <w:rFonts w:ascii="Times New Roman" w:hAnsi="Times New Roman" w:cs="Times New Roman"/>
        </w:rPr>
        <w:t xml:space="preserve"> (2020) 380 ALR 262, 296.</w:t>
      </w:r>
    </w:p>
  </w:footnote>
  <w:footnote w:id="131">
    <w:p w14:paraId="485B07E5" w14:textId="4DE43AA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The possibilities and consequences of which are hypothesised in the following section.</w:t>
      </w:r>
    </w:p>
  </w:footnote>
  <w:footnote w:id="132">
    <w:p w14:paraId="2A237B86" w14:textId="7F5C8166"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{"citationID":"nrfyoskV","properties":{"formattedCitation":"Lawrence Solan, \\uc0\\u8216{}The Interpretation of Multilingual Statutes by the European Court of Justice\\uc0\\u8217{} (2009) 34(2) {\\i{}Brooklyn Journal of International Law} 277.","plainCitation":"Lawrence Solan, ‘The Interpretation of Multilingual Statutes by the European Court of Justice’ (2009) 34(2) Brooklyn Journal of International Law 277.","noteIndex":132},"citationItems":[{"id":311,"uris":["http://zotero.org/users/6782581/items/R7EJGYUG"],"uri":["http://zotero.org/users/6782581/items/R7EJGYUG"],"itemData":{"id":311,"type":"article-journal","container-title":"Brooklyn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Justice","volume":"34","author":[{"family":"Solan","given":"Lawrence"}],"issued":{"date-parts":[["2009"]]}}}],"schema":"https://github.com/citation-style-language/schema/raw/master/csl-citation.json"} </w:instrText>
      </w:r>
      <w:r w:rsidRPr="006F7A8D">
        <w:rPr>
          <w:rFonts w:ascii="Times New Roman" w:hAnsi="Times New Roman" w:cs="Times New Roman"/>
        </w:rPr>
        <w:fldChar w:fldCharType="separate"/>
      </w:r>
      <w:r w:rsidR="00E462F3" w:rsidRPr="00E462F3">
        <w:rPr>
          <w:rFonts w:ascii="Times New Roman" w:hAnsi="Times New Roman" w:cs="Times New Roman"/>
          <w:szCs w:val="24"/>
        </w:rPr>
        <w:t xml:space="preserve">Lawrence Solan, ‘The Interpretation of Multilingual Statutes by the European Court of Justice’ (2009) 34(2) </w:t>
      </w:r>
      <w:r w:rsidR="00E462F3" w:rsidRPr="00E462F3">
        <w:rPr>
          <w:rFonts w:ascii="Times New Roman" w:hAnsi="Times New Roman" w:cs="Times New Roman"/>
          <w:i/>
          <w:iCs/>
          <w:szCs w:val="24"/>
        </w:rPr>
        <w:t>Brooklyn Journal of International Law</w:t>
      </w:r>
      <w:r w:rsidR="00E462F3" w:rsidRPr="00E462F3">
        <w:rPr>
          <w:rFonts w:ascii="Times New Roman" w:hAnsi="Times New Roman" w:cs="Times New Roman"/>
          <w:szCs w:val="24"/>
        </w:rPr>
        <w:t xml:space="preserve"> 277.</w:t>
      </w:r>
      <w:r w:rsidRPr="006F7A8D">
        <w:rPr>
          <w:rFonts w:ascii="Times New Roman" w:hAnsi="Times New Roman" w:cs="Times New Roman"/>
        </w:rPr>
        <w:fldChar w:fldCharType="end"/>
      </w:r>
    </w:p>
  </w:footnote>
  <w:footnote w:id="133">
    <w:p w14:paraId="2E467D13" w14:textId="0FF19A31"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{"citationID":"8SYBgzcx","properties":{"formattedCitation":"Ibid 279\\uc0\\u8211{}280.","plainCitation":"Ibid 279–280.","noteIndex":134},"citationItems":[{"id":311,"uris":["http://zotero.org/users/6782581/items/R7EJGYUG"],"uri":["http://zotero.org/users/6782581/items/R7EJGYUG"],"itemData":{"id":311,"type":"article-journal","container-title":"Brooklyn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Justice","volume":"34","author":[{"family":"Solan","given":"Lawrence"}],"issued":{"date-parts":[["2009"]]}},"locator":"279-280"}],"schema":"https://github.com/citation-style-language/schema/raw/master/csl-citation.json"}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Ibid 279–280.</w:t>
      </w:r>
      <w:r w:rsidRPr="006F7A8D">
        <w:rPr>
          <w:rFonts w:ascii="Times New Roman" w:hAnsi="Times New Roman" w:cs="Times New Roman"/>
        </w:rPr>
        <w:fldChar w:fldCharType="end"/>
      </w:r>
    </w:p>
  </w:footnote>
  <w:footnote w:id="134">
    <w:p w14:paraId="613920FC" w14:textId="77777777"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35">
    <w:p w14:paraId="67B350A4" w14:textId="77777777" w:rsidR="006F7A8D" w:rsidRPr="006F7A8D" w:rsidRDefault="006F7A8D" w:rsidP="00577AE0">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In the case of RaC, these languages can be considered ‘natural language’ and a given programming language TODO</w:t>
      </w:r>
    </w:p>
  </w:footnote>
  <w:footnote w:id="136">
    <w:p w14:paraId="0B7CAF9E" w14:textId="7D002F9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Refs</w:t>
      </w:r>
    </w:p>
  </w:footnote>
  <w:footnote w:id="137">
    <w:p w14:paraId="732C7A99" w14:textId="5AC42648"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{"citationID":"6Gq8ynS8","properties":{"formattedCitation":"Australasian Legal Information Institute (n 99).","plainCitation":"Australasian Legal Information Institute (n 99).","noteIndex":138},"citationItems":[{"id":312,"uris":["http://zotero.org/users/6782581/items/497U4952"],"uri":["http://zotero.org/users/6782581/items/497U4952"],"itemData":{"id":312,"type":"webpage","container-title":"DataLex","title":"DataLex Consultation: ElectKB","URL":"http://beta.datalex.org/app/consultation?rulebase=http%3A%2F%2Faustlii.community%2Ffoswiki%2FDataLex%2FElectKB","author":[{"literal":"Australasian Legal Information Institute"}],"accessed":{"date-parts":[["2020",9,22]]}}}],"schema":"https://github.com/citation-style-language/schema/raw/master/csl-citation.json"}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Australasian Legal Information Institute (n 99).</w:t>
      </w:r>
      <w:r w:rsidRPr="006F7A8D">
        <w:rPr>
          <w:rFonts w:ascii="Times New Roman" w:hAnsi="Times New Roman" w:cs="Times New Roman"/>
        </w:rPr>
        <w:fldChar w:fldCharType="end"/>
      </w:r>
    </w:p>
  </w:footnote>
  <w:footnote w:id="138">
    <w:p w14:paraId="003476B3" w14:textId="6318A7C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Mowbray et al., “Utilising AI in the legal assistance sector”, </w:t>
      </w:r>
      <w:hyperlink r:id="rId2" w:history="1">
        <w:r w:rsidRPr="006F7A8D">
          <w:rPr>
            <w:rStyle w:val="Hyperlink"/>
            <w:rFonts w:ascii="Times New Roman" w:hAnsi="Times New Roman" w:cs="Times New Roman"/>
          </w:rPr>
          <w:t>https://pdfs.semanticscholar.org/d461/95270980a87c74f5ac45e4f1bffc5282af4d.pdf?_ga=2.244334789.1101175616.1578402412-372167066.1578402412</w:t>
        </w:r>
      </w:hyperlink>
    </w:p>
  </w:footnote>
  <w:footnote w:id="139">
    <w:p w14:paraId="71245A69" w14:textId="01496CD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The </w:t>
      </w:r>
      <w:r w:rsidRPr="006F7A8D">
        <w:rPr>
          <w:rFonts w:ascii="Times New Roman" w:hAnsi="Times New Roman" w:cs="Times New Roman"/>
          <w:i/>
          <w:iCs/>
        </w:rPr>
        <w:t xml:space="preserve">Commonwealth Electoral Act 1918 </w:t>
      </w:r>
      <w:r w:rsidRPr="006F7A8D">
        <w:rPr>
          <w:rFonts w:ascii="Times New Roman" w:hAnsi="Times New Roman" w:cs="Times New Roman"/>
        </w:rPr>
        <w:t xml:space="preserve">(Cth) and the </w:t>
      </w:r>
      <w:r w:rsidRPr="006F7A8D">
        <w:rPr>
          <w:rFonts w:ascii="Times New Roman" w:hAnsi="Times New Roman" w:cs="Times New Roman"/>
          <w:i/>
          <w:iCs/>
        </w:rPr>
        <w:t>Commonwealth of Australia Constitution</w:t>
      </w:r>
      <w:r w:rsidRPr="006F7A8D">
        <w:rPr>
          <w:rFonts w:ascii="Times New Roman" w:hAnsi="Times New Roman" w:cs="Times New Roman"/>
        </w:rPr>
        <w:t>.</w:t>
      </w:r>
    </w:p>
  </w:footnote>
  <w:footnote w:id="140">
    <w:p w14:paraId="0A2C21B0" w14:textId="2AC7FFB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{"citationID":"vwiEKm5t","properties":{"formattedCitation":"Note that this assertion is speaking from the perspective of an \\uc0\\u8216{}ElectKB\\uc0\\u8217{}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{\\i{}ElectKB} (Australasian Legal Information Institute, 2020) &lt;http://austlii.community/foswiki/DataLex/ElectKB&gt;.","plainCitation":"Note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ElectKB (Australasian Legal Information Institute, 2020) &lt;http://austlii.community/foswiki/DataLex/ElectKB&gt;.","noteIndex":141},"citationItems":[{"id":342,"uris":["http://zotero.org/users/6782581/items/ZZDDK3FF"],"uri":["http://zotero.org/users/6782581/items/ZZDDK3FF"],"itemData":{"id":342,"type":"book","abstract":"ElectKB","publisher":"Australasian Legal Information Institute","title":"ElectKB","URL":"http://austlii.community/foswiki/DataLex/ElectKB","version":"22","author":[{"literal":"Australasian Legal Information Institute"}],"accessed":{"date-parts":[["2020",10,2]]},"issued":{"date-parts":[["2020",9,23]]}},"prefix":"Note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Note that this assertion is speaking from the perspective of an ‘ElectKB’ application being deployed to be used in a manner in which its determination can be relied upon. In reality, upon attempting to use the current application, one will be met with a disclaimer prohibiting reliance upon its findings and permitting use only in the case of testing or educational purposes until it is developed further: Australasian Legal Information Institute, </w:t>
      </w:r>
      <w:r w:rsidRPr="006F7A8D">
        <w:rPr>
          <w:rFonts w:ascii="Times New Roman" w:hAnsi="Times New Roman" w:cs="Times New Roman"/>
          <w:i/>
          <w:iCs/>
          <w:szCs w:val="24"/>
        </w:rPr>
        <w:t>ElectKB</w:t>
      </w:r>
      <w:r w:rsidRPr="006F7A8D">
        <w:rPr>
          <w:rFonts w:ascii="Times New Roman" w:hAnsi="Times New Roman" w:cs="Times New Roman"/>
          <w:szCs w:val="24"/>
        </w:rPr>
        <w:t xml:space="preserve"> (Australasian Legal Information Institute, 2020) &lt;http://austlii.community/foswiki/DataLex/ElectKB&gt;.</w:t>
      </w:r>
      <w:r w:rsidRPr="006F7A8D">
        <w:rPr>
          <w:rFonts w:ascii="Times New Roman" w:hAnsi="Times New Roman" w:cs="Times New Roman"/>
        </w:rPr>
        <w:fldChar w:fldCharType="end"/>
      </w:r>
    </w:p>
  </w:footnote>
  <w:footnote w:id="141">
    <w:p w14:paraId="40CE6E15" w14:textId="4B0ACC3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42">
    <w:p w14:paraId="180BA60F" w14:textId="214EF17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43">
    <w:p w14:paraId="69FF7B9F" w14:textId="07E81B90"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[2018] FCAFC 79.</w:t>
      </w:r>
    </w:p>
  </w:footnote>
  <w:footnote w:id="144">
    <w:p w14:paraId="69BAE106" w14:textId="6E76099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PINPOINT?</w:t>
      </w:r>
    </w:p>
  </w:footnote>
  <w:footnote w:id="145">
    <w:p w14:paraId="59635D31" w14:textId="2F13655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Minister for Natural Resources v New South Wales Aboriginal Land Council </w:t>
      </w:r>
      <w:r w:rsidRPr="006F7A8D">
        <w:rPr>
          <w:rFonts w:ascii="Times New Roman" w:hAnsi="Times New Roman" w:cs="Times New Roman"/>
        </w:rPr>
        <w:t>(1987) 9 NSWLR 154, 164 (McHugh J).</w:t>
      </w:r>
    </w:p>
  </w:footnote>
  <w:footnote w:id="146">
    <w:p w14:paraId="2A22D42B" w14:textId="6118C2F9"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[1999] FCA 422, [19].</w:t>
      </w:r>
    </w:p>
  </w:footnote>
  <w:footnote w:id="147">
    <w:p w14:paraId="45D59147" w14:textId="79A3DB3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Semunigus v Minister for Immigration and Multicultural Affairs </w:t>
      </w:r>
      <w:r w:rsidRPr="006F7A8D">
        <w:rPr>
          <w:rFonts w:ascii="Times New Roman" w:hAnsi="Times New Roman" w:cs="Times New Roman"/>
        </w:rPr>
        <w:t>(2000) 96 FCR 533, 536, 540, 546-547.</w:t>
      </w:r>
    </w:p>
  </w:footnote>
  <w:footnote w:id="148">
    <w:p w14:paraId="2C4FE5E0" w14:textId="1AE982D0" w:rsidR="006F7A8D" w:rsidRPr="006F7A8D" w:rsidRDefault="006F7A8D">
      <w:pPr>
        <w:pStyle w:val="FootnoteText"/>
        <w:rPr>
          <w:rFonts w:ascii="Times New Roman" w:hAnsi="Times New Roman" w:cs="Times New Roman"/>
          <w:i/>
          <w:iCs/>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Pintarich v Deputy Commission of Taxation </w:t>
      </w:r>
      <w:r w:rsidRPr="006F7A8D">
        <w:rPr>
          <w:rFonts w:ascii="Times New Roman" w:hAnsi="Times New Roman" w:cs="Times New Roman"/>
        </w:rPr>
        <w:t>[2018] FCAFC 79, [46]-[50].</w:t>
      </w:r>
    </w:p>
  </w:footnote>
  <w:footnote w:id="149">
    <w:p w14:paraId="11C9AFA4" w14:textId="4CC2FC1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[64]-[65]</w:t>
      </w:r>
    </w:p>
  </w:footnote>
  <w:footnote w:id="150">
    <w:p w14:paraId="73D14AB0" w14:textId="325CB0E7"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[151]-[152] (Moshinsky and Derrington JJ).</w:t>
      </w:r>
    </w:p>
  </w:footnote>
  <w:footnote w:id="151">
    <w:p w14:paraId="4F835240" w14:textId="011C87E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[152].</w:t>
      </w:r>
    </w:p>
  </w:footnote>
  <w:footnote w:id="152">
    <w:p w14:paraId="0106D7D3" w14:textId="63C2FC61"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Pintarich v Deputy Commission of Taxation </w:t>
      </w:r>
      <w:r w:rsidRPr="006F7A8D">
        <w:rPr>
          <w:rFonts w:ascii="Times New Roman" w:hAnsi="Times New Roman" w:cs="Times New Roman"/>
        </w:rPr>
        <w:t>[2018] HCASL 322.</w:t>
      </w:r>
    </w:p>
  </w:footnote>
  <w:footnote w:id="153">
    <w:p w14:paraId="030263F6" w14:textId="069DAC8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{"citationID":"v0x7DkCk","properties":{"formattedCitation":"See, eg, Anna Huggins, \\uc0\\u8216{}Automated Processes and Administrative Law: The Case of Pintarich\\uc0\\u8217{}, {\\i{}AusPubLaw} (Australian Public Law) &lt;https://auspublaw.org/2018/11/the-case-of-pintarich/&gt;; Nassim Khadem, \\uc0\\u8216{}Tax Office Computer Says Yes, Federal Court Says No\\uc0\\u8217{}, {\\i{}ABC News} (online, 5 October 2018) &lt;https://www.abc.net.au/news/2018-10-05/tax-office-computer-says-yes-federal-court-says-no/10341548&gt;; Justin Dabner, \\uc0\\u8216{}Tax Law and Technology in Australia\\uc0\\u8217{} (Social Science Research Network, 2019) 9 &lt;https://papers.ssrn.com/abstract=3253400&gt;.","plainCitation":"See, eg, Anna Huggins, ‘Automated Processes and Administrative Law: The Case of Pintarich’, AusPubLaw (Australian Public Law) &lt;https://auspublaw.org/2018/11/the-case-of-pintarich/&gt;; Nassim Khadem, ‘Tax Office Computer Says Yes, Federal Court Says No’, ABC News (online, 5 October 2018) &lt;https://www.abc.net.au/news/2018-10-05/tax-office-computer-says-yes-federal-court-says-no/10341548&gt;; Justin Dabner, ‘Tax Law and Technology in Australia’ (Social Science Research Network, 2019) 9 &lt;https://papers.ssrn.com/abstract=3253400&gt;.","noteIndex":154},"citationItems":[{"id":314,"uris":["http://zotero.org/users/6782581/items/KYJA8PB2"],"uri":["http://zotero.org/users/6782581/items/KYJA8PB2"],"itemData":{"id":314,"type":"post-weblog","container-title":"AusPubLaw","genre":"Australian Public Law","language":"en-AU","title":"Automated Processes and Administrative Law: The Case of Pintarich","URL":"https://auspublaw.org/2018/11/the-case-of-pintarich/","author":[{"family":"Huggins","given":"Anna"}],"accessed":{"date-parts":[["2020",9,23]]}},"prefix":"See, eg, "},{"id":316,"uris":["http://zotero.org/users/6782581/items/VDA9H35J"],"uri":["http://zotero.org/users/6782581/items/VDA9H35J"],"itemData":{"id":316,"type":"article-newspaper","abstract":"The Federal Court opens a legal can of worms, ruling that an automated letter from the Tax Office relieving a taxpayer of interest charges on a debt could not be relied on as a \"decision\" because there was no human mental process accompanying it.","container-title":"ABC News","language":"en-AU","title":"Tax office computer says yes, Federal Court says no","URL":"https://www.abc.net.au/news/2018-10-05/tax-office-computer-says-yes-federal-court-says-no/10341548","author":[{"family":"Khadem","given":"Nassim"}],"accessed":{"date-parts":[["2020",9,23]]},"issued":{"date-parts":[["2018",10,5]]}}},{"id":318,"uris":["http://zotero.org/users/6782581/items/EHDG7PBK"],"uri":["http://zotero.org/users/6782581/items/EHDG7PBK"],"itemData":{"id":318,"type":"paper-conference","event":"Regulating an Uncertain Future: Robotics, AI and the Digital Economy in Japan and Australia","event-place":"Risumeikan University, Osaka","language":"en","note":"DOI: 10.2139/ssrn.3253400","publisher":"Social Science Research Network","publisher-place":"Risumeikan University, Osaka","source":"papers.ssrn.com","title":"Tax Law and Technology in Australia","URL":"https://papers.ssrn.com/abstract=3253400","author":[{"family":"Dabner","given":"Justin"}],"accessed":{"date-parts":[["2020",9,23]]},"issued":{"date-parts":[["2019",2,6]]}},"locator":"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eg, Anna Huggins, ‘Automated Processes and Administrative Law: The Case of Pintarich’, </w:t>
      </w:r>
      <w:r w:rsidRPr="006F7A8D">
        <w:rPr>
          <w:rFonts w:ascii="Times New Roman" w:hAnsi="Times New Roman" w:cs="Times New Roman"/>
          <w:i/>
          <w:iCs/>
          <w:szCs w:val="24"/>
        </w:rPr>
        <w:t>AusPubLaw</w:t>
      </w:r>
      <w:r w:rsidRPr="006F7A8D">
        <w:rPr>
          <w:rFonts w:ascii="Times New Roman" w:hAnsi="Times New Roman" w:cs="Times New Roman"/>
          <w:szCs w:val="24"/>
        </w:rPr>
        <w:t xml:space="preserve"> (Australian Public Law) &lt;https://auspublaw.org/2018/11/the-case-of-pintarich/&gt;; Nassim Khadem, ‘Tax Office Computer Says Yes, Federal Court Says No’, </w:t>
      </w:r>
      <w:r w:rsidRPr="006F7A8D">
        <w:rPr>
          <w:rFonts w:ascii="Times New Roman" w:hAnsi="Times New Roman" w:cs="Times New Roman"/>
          <w:i/>
          <w:iCs/>
          <w:szCs w:val="24"/>
        </w:rPr>
        <w:t>ABC News</w:t>
      </w:r>
      <w:r w:rsidRPr="006F7A8D">
        <w:rPr>
          <w:rFonts w:ascii="Times New Roman" w:hAnsi="Times New Roman" w:cs="Times New Roman"/>
          <w:szCs w:val="24"/>
        </w:rPr>
        <w:t xml:space="preserve"> (online, 5 October 2018) &lt;https://www.abc.net.au/news/2018-10-05/tax-office-computer-says-yes-federal-court-says-no/10341548&gt;; Justin Dabner, ‘Tax Law and Technology in Australia’ (Social Science Research Network, 2019) 9 &lt;https://papers.ssrn.com/abstract=3253400&gt;.</w:t>
      </w:r>
      <w:r w:rsidRPr="006F7A8D">
        <w:rPr>
          <w:rFonts w:ascii="Times New Roman" w:hAnsi="Times New Roman" w:cs="Times New Roman"/>
        </w:rPr>
        <w:fldChar w:fldCharType="end"/>
      </w:r>
    </w:p>
  </w:footnote>
  <w:footnote w:id="154">
    <w:p w14:paraId="7C043592" w14:textId="4B6F8FB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155">
    <w:p w14:paraId="11C492D5" w14:textId="0847EB8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{"citationID":"jrh2iw1a","properties":{"formattedCitation":"See also Principal 1 in Administrative Review Council, {\\i{}Automated Assistance in Administrative Decision Making} (No 46) vii &lt;https://www.ag.gov.au/legal-system/publications/report-46-automated-assistance-administrative-decision-making-2004&gt;. Here it is indicated that automated decision-making is suitable in non-discretionary cases.","plainCitation":"See also Principal 1 in Administrative Review Council, Automated Assistance in Administrative Decision Making (No 46) vii &lt;https://www.ag.gov.au/legal-system/publications/report-46-automated-assistance-administrative-decision-making-2004&gt;. Here it is indicated that automated decision-making is suitable in non-discretionary cases.","noteIndex":156},"citationItems":[{"id":336,"uris":["http://zotero.org/users/6782581/items/HXNZYBWA"],"uri":["http://zotero.org/users/6782581/items/HXNZYBWA"],"itemData":{"id":336,"type":"report","abstract":"The report contains best practice principles for the development and operation of expert computer systems used to make or assist in the making of administrative decisions.","language":"en","number":"46","title":"Automated Assistance in Administrative Decision Making","URL":"https://www.ag.gov.au/legal-system/publications/report-46-automated-assistance-administrative-decision-making-2004","author":[{"literal":"Administrative Review Council"}],"accessed":{"date-parts":[["2020",9,29]]}},"locator":"vii","prefix":"See also Principal 1 in ","suffix":". Here it is indicated that automated decision-making is suitable in non-discretionary cases."}],"schema":"https://github.com/citation-style-language/schema/raw/master/csl-citation.json"}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also Principal 1 in Administrative Review Council, </w:t>
      </w:r>
      <w:r w:rsidRPr="006F7A8D">
        <w:rPr>
          <w:rFonts w:ascii="Times New Roman" w:hAnsi="Times New Roman" w:cs="Times New Roman"/>
          <w:i/>
          <w:iCs/>
          <w:szCs w:val="24"/>
        </w:rPr>
        <w:t>Automated Assistance in Administrative Decision Making</w:t>
      </w:r>
      <w:r w:rsidRPr="006F7A8D">
        <w:rPr>
          <w:rFonts w:ascii="Times New Roman" w:hAnsi="Times New Roman" w:cs="Times New Roman"/>
          <w:szCs w:val="24"/>
        </w:rPr>
        <w:t xml:space="preserve"> (No 46) vii &lt;https://www.ag.gov.au/legal-system/publications/report-46-automated-assistance-administrative-decision-making-2004&gt;. Here it is indicated that automated decision-making is suitable in non-discretionary cases.</w:t>
      </w:r>
      <w:r w:rsidRPr="006F7A8D">
        <w:rPr>
          <w:rFonts w:ascii="Times New Roman" w:hAnsi="Times New Roman" w:cs="Times New Roman"/>
        </w:rPr>
        <w:fldChar w:fldCharType="end"/>
      </w:r>
    </w:p>
  </w:footnote>
  <w:footnote w:id="156">
    <w:p w14:paraId="586AA434" w14:textId="3DDE2C53"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Australian Taxation Office, </w:t>
      </w:r>
      <w:r w:rsidRPr="006F7A8D">
        <w:rPr>
          <w:rFonts w:ascii="Times New Roman" w:hAnsi="Times New Roman" w:cs="Times New Roman"/>
          <w:i/>
          <w:iCs/>
        </w:rPr>
        <w:t xml:space="preserve">Decision Impact Statement on Pintarich v Deputy Commission of Taxation [2018] FCAFC 79 </w:t>
      </w:r>
      <w:r w:rsidRPr="006F7A8D">
        <w:rPr>
          <w:rFonts w:ascii="Times New Roman" w:hAnsi="Times New Roman" w:cs="Times New Roman"/>
        </w:rPr>
        <w:t>(4 April 2019).</w:t>
      </w:r>
    </w:p>
  </w:footnote>
  <w:footnote w:id="157">
    <w:p w14:paraId="4A7B2843" w14:textId="4CBE71FD"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w:t>
      </w:r>
    </w:p>
  </w:footnote>
  <w:footnote w:id="158">
    <w:p w14:paraId="547980E0" w14:textId="7D68CE65"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Skatteministeriet v Aktieselskabet Forsikrinsselskabet Codan </w:t>
      </w:r>
      <w:r w:rsidRPr="006F7A8D">
        <w:rPr>
          <w:rFonts w:ascii="Times New Roman" w:hAnsi="Times New Roman" w:cs="Times New Roman"/>
        </w:rPr>
        <w:t>(C-236/97) [1998] ECR I-8679.</w:t>
      </w:r>
    </w:p>
  </w:footnote>
  <w:footnote w:id="159">
    <w:p w14:paraId="7CDBB0A7" w14:textId="7E578A5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the Functioning of the European Union</w:t>
      </w:r>
      <w:r w:rsidRPr="006F7A8D">
        <w:rPr>
          <w:rFonts w:ascii="Times New Roman" w:hAnsi="Times New Roman" w:cs="Times New Roman"/>
        </w:rPr>
        <w:t>, opened for signature 7 February 1992, [2009] OJ C 115/199 (entered into force 1 November 1993) (‘</w:t>
      </w:r>
      <w:r w:rsidRPr="006F7A8D">
        <w:rPr>
          <w:rFonts w:ascii="Times New Roman" w:hAnsi="Times New Roman" w:cs="Times New Roman"/>
          <w:i/>
          <w:iCs/>
        </w:rPr>
        <w:t>FEU</w:t>
      </w:r>
      <w:r w:rsidRPr="006F7A8D">
        <w:rPr>
          <w:rFonts w:ascii="Times New Roman" w:hAnsi="Times New Roman" w:cs="Times New Roman"/>
        </w:rPr>
        <w:t>’)</w:t>
      </w:r>
      <w:r w:rsidRPr="006F7A8D">
        <w:rPr>
          <w:rFonts w:ascii="Times New Roman" w:hAnsi="Times New Roman" w:cs="Times New Roman"/>
          <w:i/>
          <w:iCs/>
        </w:rPr>
        <w:t xml:space="preserve"> </w:t>
      </w:r>
      <w:r w:rsidRPr="006F7A8D">
        <w:rPr>
          <w:rFonts w:ascii="Times New Roman" w:hAnsi="Times New Roman" w:cs="Times New Roman"/>
        </w:rPr>
        <w:t>art 267.</w:t>
      </w:r>
    </w:p>
  </w:footnote>
  <w:footnote w:id="160">
    <w:p w14:paraId="763A8D7D" w14:textId="500197D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 xml:space="preserve">Commonwealth of Australia Constitution </w:t>
      </w:r>
      <w:r w:rsidRPr="006F7A8D">
        <w:rPr>
          <w:rFonts w:ascii="Times New Roman" w:hAnsi="Times New Roman" w:cs="Times New Roman"/>
        </w:rPr>
        <w:t>s 71.</w:t>
      </w:r>
    </w:p>
  </w:footnote>
  <w:footnote w:id="161">
    <w:p w14:paraId="6DE8E396" w14:textId="73501F48"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{"citationID":"SBZNn5hn","properties":{"formattedCitation":"Directorate-General for Communication (n 82).","plainCitation":"Directorate-General for Communication (n 82).","noteIndex":162},"citationItems":[{"id":188,"uris":["http://zotero.org/users/6782581/items/Y26GIURV"],"uri":["http://zotero.org/users/6782581/items/Y26GIURV"],"itemData":{"id":188,"type":"webpage","abstract":"Directorate-General for Translation translates texts for the European Commission into and out of the EU's official languages.","container-title":"European Commission","language":"en","title":"Translation","URL":"https://ec.europa.eu/info/departments/translation_en","author":[{"literal":"Directorate-General for Communication"}],"accessed":{"date-parts":[["2020",8,28]]}}}],"schema":"https://github.com/citation-style-language/schema/raw/master/csl-citation.json"}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Directorate-General for Communication (n 82).</w:t>
      </w:r>
      <w:r w:rsidRPr="006F7A8D">
        <w:rPr>
          <w:rFonts w:ascii="Times New Roman" w:hAnsi="Times New Roman" w:cs="Times New Roman"/>
        </w:rPr>
        <w:fldChar w:fldCharType="end"/>
      </w:r>
    </w:p>
  </w:footnote>
  <w:footnote w:id="162">
    <w:p w14:paraId="1A6FF239" w14:textId="77777777"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i/>
          <w:iCs/>
        </w:rPr>
        <w:t>Treaty on European Union</w:t>
      </w:r>
      <w:r w:rsidRPr="006F7A8D">
        <w:rPr>
          <w:rFonts w:ascii="Times New Roman" w:hAnsi="Times New Roman" w:cs="Times New Roman"/>
        </w:rPr>
        <w:t>, opened for signature 7 February 1992, [2009] OJ C 115/13 (entered into force 1 November 1993) (‘</w:t>
      </w:r>
      <w:r w:rsidRPr="006F7A8D">
        <w:rPr>
          <w:rFonts w:ascii="Times New Roman" w:hAnsi="Times New Roman" w:cs="Times New Roman"/>
          <w:i/>
          <w:iCs/>
        </w:rPr>
        <w:t>EU</w:t>
      </w:r>
      <w:r w:rsidRPr="006F7A8D">
        <w:rPr>
          <w:rFonts w:ascii="Times New Roman" w:hAnsi="Times New Roman" w:cs="Times New Roman"/>
        </w:rPr>
        <w:t xml:space="preserve">’) art 255 TEU; </w:t>
      </w:r>
      <w:r w:rsidRPr="006F7A8D">
        <w:rPr>
          <w:rFonts w:ascii="Times New Roman" w:hAnsi="Times New Roman" w:cs="Times New Roman"/>
          <w:i/>
          <w:iCs/>
        </w:rPr>
        <w:t xml:space="preserve">Regulation (EEC) No 1 determining the languages to be used by the European Economic Community </w:t>
      </w:r>
      <w:r w:rsidRPr="006F7A8D">
        <w:rPr>
          <w:rFonts w:ascii="Times New Roman" w:hAnsi="Times New Roman" w:cs="Times New Roman"/>
        </w:rPr>
        <w:t>(1958) OJ 17 arts 4, 5.</w:t>
      </w:r>
    </w:p>
  </w:footnote>
  <w:footnote w:id="163">
    <w:p w14:paraId="53AC4182" w14:textId="7B9FAD58" w:rsidR="006F7A8D" w:rsidRPr="006F7A8D" w:rsidRDefault="006F7A8D" w:rsidP="008555DF">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{"citationID":"aXuOZxKS","properties":{"formattedCitation":"Colin Robertson, \\uc0\\u8216{}EU Legislative Texts and Translation\\uc0\\u8217{} in {\\i{}The Ashgate Handbook of Legal Translation} (Routledge, 2016) 155, 158\\uc0\\u8211{}159 &lt;https://www-taylorfrancis-com.ezp01.library.qut.edu.au/books/e/9781315612706&gt;.","plainCitation":"Colin Robertson, ‘EU Legislative Texts and Translation’ in The Ashgate Handbook of Legal Translation (Routledge, 2016) 155, 158–159 &lt;https://www-taylorfrancis-com.ezp01.library.qut.edu.au/books/e/9781315612706&gt;.","noteIndex":164},"citationItems":[{"id":322,"uris":["http://zotero.org/users/6782581/items/TN7JAE6Y"],"uri":["http://zotero.org/users/6782581/items/TN7JAE6Y"],"itemData":{"id":322,"type":"chapter","abstract":"This volume investigates advances in the field of legal translation both from a theoretical and practical perspective, with professional and academic insights","container-title":"The Ashgate Handbook of Legal Translation","ISBN":"978-1-315-61270-6","language":"en","note":"DOI: 10.4324/9781315612706","publisher":"Routledge","source":"www-taylorfrancis-com.ezp01.library.qut.edu.au","title":"EU Legislative Texts and Translation","URL":"https://www-taylorfrancis-com.ezp01.library.qut.edu.au/books/e/9781315612706","author":[{"family":"Robertson","given":"Colin"}],"accessed":{"date-parts":[["2020",9,23]]},"issued":{"date-parts":[["2016",4,1]]}},"locator":"155, 158-159"}],"schema":"https://github.com/citation-style-language/schema/raw/master/csl-citation.json"}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Colin Robertson, ‘EU Legislative Texts and Translation’ in </w:t>
      </w:r>
      <w:r w:rsidRPr="006F7A8D">
        <w:rPr>
          <w:rFonts w:ascii="Times New Roman" w:hAnsi="Times New Roman" w:cs="Times New Roman"/>
          <w:i/>
          <w:iCs/>
          <w:szCs w:val="24"/>
        </w:rPr>
        <w:t>The Ashgate Handbook of Legal Translation</w:t>
      </w:r>
      <w:r w:rsidRPr="006F7A8D">
        <w:rPr>
          <w:rFonts w:ascii="Times New Roman" w:hAnsi="Times New Roman" w:cs="Times New Roman"/>
          <w:szCs w:val="24"/>
        </w:rPr>
        <w:t xml:space="preserve"> (Routledge, 2016) 155, 158–159 &lt;https://www-taylorfrancis-com.ezp01.library.qut.edu.au/books/e/9781315612706&gt;.</w:t>
      </w:r>
      <w:r w:rsidRPr="006F7A8D">
        <w:rPr>
          <w:rFonts w:ascii="Times New Roman" w:hAnsi="Times New Roman" w:cs="Times New Roman"/>
        </w:rPr>
        <w:fldChar w:fldCharType="end"/>
      </w:r>
    </w:p>
  </w:footnote>
  <w:footnote w:id="164">
    <w:p w14:paraId="0DAAF0A6" w14:textId="7005CCAA"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w:t>
      </w:r>
    </w:p>
  </w:footnote>
  <w:footnote w:id="165">
    <w:p w14:paraId="20FB50EF" w14:textId="08C6DFFF"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66">
    <w:p w14:paraId="6A056D3E" w14:textId="0BC77B6E"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Delegated legislation?</w:t>
      </w:r>
    </w:p>
  </w:footnote>
  <w:footnote w:id="167">
    <w:p w14:paraId="2C7EC4B1" w14:textId="00A8032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flesh out?</w:t>
      </w:r>
    </w:p>
  </w:footnote>
  <w:footnote w:id="168">
    <w:p w14:paraId="3767D2CF" w14:textId="2501FD9A"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{"citationID":"V0X4vGyd","properties":{"formattedCitation":"Solan (n 132) 287.","plainCitation":"Solan (n 132) 287.","noteIndex":169},"citationItems":[{"id":311,"uris":["http://zotero.org/users/6782581/items/R7EJGYUG"],"uri":["http://zotero.org/users/6782581/items/R7EJGYUG"],"itemData":{"id":311,"type":"article-journal","container-title":"Brooklyn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Solan (n 132) 287.</w:t>
      </w:r>
      <w:r w:rsidRPr="006F7A8D">
        <w:rPr>
          <w:rFonts w:ascii="Times New Roman" w:hAnsi="Times New Roman" w:cs="Times New Roman"/>
        </w:rPr>
        <w:fldChar w:fldCharType="end"/>
      </w:r>
    </w:p>
  </w:footnote>
  <w:footnote w:id="169">
    <w:p w14:paraId="250F1269" w14:textId="77777777"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Case 29/69, Erich Stauder v City of Ulm, 1969 E.C.R. 419.</w:t>
      </w:r>
    </w:p>
  </w:footnote>
  <w:footnote w:id="170">
    <w:p w14:paraId="4E421D5C" w14:textId="77777777"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Ibid 3-7.</w:t>
      </w:r>
    </w:p>
  </w:footnote>
  <w:footnote w:id="171">
    <w:p w14:paraId="596D3CBE" w14:textId="6905530D" w:rsidR="006F7A8D" w:rsidRPr="006F7A8D" w:rsidRDefault="006F7A8D" w:rsidP="00B635C7">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{"citationID":"FadwYSye","properties":{"formattedCitation":"Solan (n 132) 287.","plainCitation":"Solan (n 132) 287.","noteIndex":172},"citationItems":[{"id":311,"uris":["http://zotero.org/users/6782581/items/R7EJGYUG"],"uri":["http://zotero.org/users/6782581/items/R7EJGYUG"],"itemData":{"id":311,"type":"article-journal","container-title":"Brooklyn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Justice","volume":"34","author":[{"family":"Solan","given":"Lawrence"}],"issued":{"date-parts":[["2009"]]}},"locator":"287"}],"schema":"https://github.com/citation-style-language/schema/raw/master/csl-citation.json"}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rPr>
        <w:t>Solan (n 132) 287.</w:t>
      </w:r>
      <w:r w:rsidRPr="006F7A8D">
        <w:rPr>
          <w:rFonts w:ascii="Times New Roman" w:hAnsi="Times New Roman" w:cs="Times New Roman"/>
        </w:rPr>
        <w:fldChar w:fldCharType="end"/>
      </w:r>
      <w:r w:rsidRPr="006F7A8D">
        <w:rPr>
          <w:rFonts w:ascii="Times New Roman" w:hAnsi="Times New Roman" w:cs="Times New Roman"/>
        </w:rPr>
        <w:t xml:space="preserve"> See, also, the similar approach adopted in, eg, </w:t>
      </w:r>
      <w:r w:rsidRPr="006F7A8D">
        <w:rPr>
          <w:rFonts w:ascii="Times New Roman" w:hAnsi="Times New Roman" w:cs="Times New Roman"/>
          <w:i/>
          <w:iCs/>
        </w:rPr>
        <w:t>Itegeko Nshinga rya Repubulika y’u Rwanda 2003</w:t>
      </w:r>
      <w:r w:rsidRPr="006F7A8D">
        <w:rPr>
          <w:rFonts w:ascii="Times New Roman" w:hAnsi="Times New Roman" w:cs="Times New Roman"/>
        </w:rPr>
        <w:t xml:space="preserve"> [Constitution of the Republic of Rwanda 2003] art 96.</w:t>
      </w:r>
    </w:p>
  </w:footnote>
  <w:footnote w:id="172">
    <w:p w14:paraId="63BED857" w14:textId="620F057C"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Such an approach has been taken in multilingual unilateral environments where notions of sovereignty and linguistic equality are similarly irrelevant. See, eg, </w:t>
      </w:r>
      <w:r w:rsidRPr="006F7A8D">
        <w:rPr>
          <w:rFonts w:ascii="Times New Roman" w:hAnsi="Times New Roman" w:cs="Times New Roman"/>
          <w:i/>
          <w:iCs/>
        </w:rPr>
        <w:t xml:space="preserve">Bunreacht na hÉireann </w:t>
      </w:r>
      <w:r w:rsidRPr="006F7A8D">
        <w:rPr>
          <w:rFonts w:ascii="Times New Roman" w:hAnsi="Times New Roman" w:cs="Times New Roman"/>
        </w:rPr>
        <w:t>[Constitution of Ireland]</w:t>
      </w:r>
      <w:r w:rsidRPr="006F7A8D">
        <w:rPr>
          <w:rFonts w:ascii="Times New Roman" w:hAnsi="Times New Roman" w:cs="Times New Roman"/>
          <w:i/>
          <w:iCs/>
        </w:rPr>
        <w:t xml:space="preserve"> </w:t>
      </w:r>
      <w:r w:rsidRPr="006F7A8D">
        <w:rPr>
          <w:rFonts w:ascii="Times New Roman" w:hAnsi="Times New Roman" w:cs="Times New Roman"/>
        </w:rPr>
        <w:t xml:space="preserve">art 8. See also the approach adopted by Luxembourg which reduces translations to a non-binding, advisory role: </w:t>
      </w:r>
      <w:r w:rsidRPr="006F7A8D">
        <w:rPr>
          <w:rFonts w:ascii="Times New Roman" w:hAnsi="Times New Roman" w:cs="Times New Roman"/>
          <w:i/>
          <w:iCs/>
        </w:rPr>
        <w:t xml:space="preserve">Loi sur les regimes des langues 1984 </w:t>
      </w:r>
      <w:r w:rsidRPr="006F7A8D">
        <w:rPr>
          <w:rFonts w:ascii="Times New Roman" w:hAnsi="Times New Roman" w:cs="Times New Roman"/>
        </w:rPr>
        <w:t>[Languages Regulation Act 1984] (Luxembourg) art 2.</w:t>
      </w:r>
    </w:p>
  </w:footnote>
  <w:footnote w:id="173">
    <w:p w14:paraId="3A5E19B9" w14:textId="15059AA6"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REF/FLESHING OUT NEEDED</w:t>
      </w:r>
    </w:p>
  </w:footnote>
  <w:footnote w:id="174">
    <w:p w14:paraId="7211377A" w14:textId="204E6B57" w:rsidR="001C1F2A" w:rsidRDefault="001C1F2A">
      <w:pPr>
        <w:pStyle w:val="FootnoteText"/>
      </w:pPr>
      <w:r>
        <w:rPr>
          <w:rStyle w:val="FootnoteReference"/>
        </w:rPr>
        <w:footnoteRef/>
      </w:r>
      <w:r>
        <w:t xml:space="preserve"> TODO As in, for example, Brazil: Ashgate 211, Cao 103 (in Ashgate)</w:t>
      </w:r>
    </w:p>
  </w:footnote>
  <w:footnote w:id="175">
    <w:p w14:paraId="2C0F1801" w14:textId="27D3B838" w:rsidR="001C1F2A" w:rsidRDefault="001C1F2A">
      <w:pPr>
        <w:pStyle w:val="FootnoteText"/>
      </w:pPr>
      <w:r>
        <w:rPr>
          <w:rStyle w:val="FootnoteReference"/>
        </w:rPr>
        <w:footnoteRef/>
      </w:r>
      <w:r>
        <w:t xml:space="preserve"> TODO show ASIC’s intent to minimise litigation</w:t>
      </w:r>
    </w:p>
  </w:footnote>
  <w:footnote w:id="176">
    <w:p w14:paraId="09E4D747" w14:textId="221E143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w:t>
      </w:r>
      <w:r w:rsidRPr="006F7A8D">
        <w:rPr>
          <w:rFonts w:ascii="Times New Roman" w:hAnsi="Times New Roman" w:cs="Times New Roman"/>
        </w:rPr>
        <w:fldChar w:fldCharType="begin"/>
      </w:r>
      <w:r w:rsidR="00E462F3">
        <w:rPr>
          <w:rFonts w:ascii="Times New Roman" w:hAnsi="Times New Roman" w:cs="Times New Roman"/>
        </w:rPr>
        <w:instrText xml:space="preserve"> ADDIN ZOTERO_ITEM CSL_CITATION {"citationID":"kwVv9Kip","properties":{"formattedCitation":"See Lisa Crawford et al, {\\i{}Public Law and Statutory Interpretation: Principles and Practice} (Federation Press, 2017) 228\\uc0\\u8211{}256 (\\uc0\\u8216{}{\\i{}Public Law and Statutory Interpretation}\\uc0\\u8217{}).","plainCitation":"See Lisa Crawford et al, Public Law and Statutory Interpretation: Principles and Practice (Federation Press, 2017) 228–256 (‘Public Law and Statutory Interpretation’).","noteIndex":175},"citationItems":[{"id":325,"uris":["http://zotero.org/users/6782581/items/VSCWJLYJ"],"uri":["http://zotero.org/users/6782581/items/VSCWJLYJ"],"itemData":{"id":325,"type":"book","ISBN":"978-1-76002-152-8","language":"English","publisher":"Federation Press","source":"Amazon","title":"Public Law and Statutory Interpretation: Principles and Practice","title-short":"Public Law and Statutory Interpretation","author":[{"family":"Crawford","given":"Lisa"},{"family":"Boughey","given":"Janina"},{"family":"Castan","given":"Melissa"},{"family":"O'Sullivan","given":"Maria"}],"issued":{"date-parts":[["2017",10,30]]}},"locator":"228-256","prefix":"See"}],"schema":"https://github.com/citation-style-language/schema/raw/master/csl-citation.json"} </w:instrText>
      </w:r>
      <w:r w:rsidRPr="006F7A8D">
        <w:rPr>
          <w:rFonts w:ascii="Times New Roman" w:hAnsi="Times New Roman" w:cs="Times New Roman"/>
        </w:rPr>
        <w:fldChar w:fldCharType="separate"/>
      </w:r>
      <w:r w:rsidRPr="006F7A8D">
        <w:rPr>
          <w:rFonts w:ascii="Times New Roman" w:hAnsi="Times New Roman" w:cs="Times New Roman"/>
          <w:szCs w:val="24"/>
        </w:rPr>
        <w:t xml:space="preserve">See Lisa Crawford et al, </w:t>
      </w:r>
      <w:r w:rsidRPr="006F7A8D">
        <w:rPr>
          <w:rFonts w:ascii="Times New Roman" w:hAnsi="Times New Roman" w:cs="Times New Roman"/>
          <w:i/>
          <w:iCs/>
          <w:szCs w:val="24"/>
        </w:rPr>
        <w:t>Public Law and Statutory Interpretation: Principles and Practice</w:t>
      </w:r>
      <w:r w:rsidRPr="006F7A8D">
        <w:rPr>
          <w:rFonts w:ascii="Times New Roman" w:hAnsi="Times New Roman" w:cs="Times New Roman"/>
          <w:szCs w:val="24"/>
        </w:rPr>
        <w:t xml:space="preserve"> (Federation Press, 2017) 228–256 (‘</w:t>
      </w:r>
      <w:r w:rsidRPr="006F7A8D">
        <w:rPr>
          <w:rFonts w:ascii="Times New Roman" w:hAnsi="Times New Roman" w:cs="Times New Roman"/>
          <w:i/>
          <w:iCs/>
          <w:szCs w:val="24"/>
        </w:rPr>
        <w:t>Public Law and Statutory Interpretation</w:t>
      </w:r>
      <w:r w:rsidRPr="006F7A8D">
        <w:rPr>
          <w:rFonts w:ascii="Times New Roman" w:hAnsi="Times New Roman" w:cs="Times New Roman"/>
          <w:szCs w:val="24"/>
        </w:rPr>
        <w:t>’).</w:t>
      </w:r>
      <w:r w:rsidRPr="006F7A8D">
        <w:rPr>
          <w:rFonts w:ascii="Times New Roman" w:hAnsi="Times New Roman" w:cs="Times New Roman"/>
        </w:rPr>
        <w:fldChar w:fldCharType="end"/>
      </w:r>
    </w:p>
  </w:footnote>
  <w:footnote w:id="177">
    <w:p w14:paraId="0319C5C5" w14:textId="632E70BB"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(1998) 194 CLR 355.</w:t>
      </w:r>
    </w:p>
  </w:footnote>
  <w:footnote w:id="178">
    <w:p w14:paraId="68F00FF7" w14:textId="35B50257" w:rsidR="002A65A3" w:rsidRDefault="002A65A3">
      <w:pPr>
        <w:pStyle w:val="FootnoteText"/>
      </w:pPr>
      <w:r>
        <w:rPr>
          <w:rStyle w:val="FootnoteReference"/>
        </w:rPr>
        <w:footnoteRef/>
      </w:r>
      <w:r>
        <w:t xml:space="preserve"> </w:t>
      </w:r>
      <w:r>
        <w:fldChar w:fldCharType="begin"/>
      </w:r>
      <w:r>
        <w:instrText xml:space="preserve"> ADDIN ZOTERO_ITEM CSL_CITATION {"citationID":"O2Rj6l8X","properties":{"formattedCitation":"Solan (n 132) 283. See also [TODO opinion of advocate general cited in solan].","plainCitation":"Solan (n 132) 283. See also [TODO opinion of advocate general cited in solan].","noteIndex":176},"citationItems":[{"id":311,"uris":["http://zotero.org/users/6782581/items/R7EJGYUG"],"uri":["http://zotero.org/users/6782581/items/R7EJGYUG"],"itemData":{"id":311,"type":"article-journal","container-title":"Brooklyn Journal of International Law","issue":"2","page":"277","title":"The Interpretation of Multilingual Statutes by the European Court of Justice","volume":"34","author":[{"family":"Solan","given":"Lawrence"}],"issued":{"date-parts":[["2009"]]}},"locator":"283","suffix":". See also [TODO opinion of advocate general cited in solan]"}],"schema":"https://github.com/citation-style-language/schema/raw/master/csl-citation.json"} </w:instrText>
      </w:r>
      <w:r>
        <w:fldChar w:fldCharType="separate"/>
      </w:r>
      <w:r w:rsidRPr="002A65A3">
        <w:rPr>
          <w:rFonts w:ascii="Calibri" w:hAnsi="Calibri" w:cs="Calibri"/>
        </w:rPr>
        <w:t>Solan (n 132) 283. See also [TODO opinion of advocate general cited in solan].</w:t>
      </w:r>
      <w:r>
        <w:fldChar w:fldCharType="end"/>
      </w:r>
    </w:p>
  </w:footnote>
  <w:footnote w:id="179">
    <w:p w14:paraId="3DDD530A" w14:textId="16E35FA4" w:rsidR="006F7A8D" w:rsidRPr="006F7A8D" w:rsidRDefault="006F7A8D">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 Crawford: </w:t>
      </w:r>
      <w:r w:rsidRPr="006F7A8D">
        <w:rPr>
          <w:rFonts w:ascii="Times New Roman" w:hAnsi="Times New Roman" w:cs="Times New Roman"/>
          <w:i/>
          <w:iCs/>
        </w:rPr>
        <w:t xml:space="preserve">Gillick v West Norfolk and Wisbech Area Health Authority </w:t>
      </w:r>
      <w:r w:rsidRPr="006F7A8D">
        <w:rPr>
          <w:rFonts w:ascii="Times New Roman" w:hAnsi="Times New Roman" w:cs="Times New Roman"/>
        </w:rPr>
        <w:t>[1986] 1 AC 112</w:t>
      </w:r>
    </w:p>
  </w:footnote>
  <w:footnote w:id="180">
    <w:p w14:paraId="4FFC9F97"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(2020) 380 ALR 262.</w:t>
      </w:r>
    </w:p>
  </w:footnote>
  <w:footnote w:id="181">
    <w:p w14:paraId="29833D19"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TODO</w:t>
      </w:r>
    </w:p>
  </w:footnote>
  <w:footnote w:id="182">
    <w:p w14:paraId="2ACBA85F" w14:textId="77777777" w:rsidR="006F7A8D" w:rsidRPr="006F7A8D" w:rsidRDefault="006F7A8D" w:rsidP="009003EA">
      <w:pPr>
        <w:pStyle w:val="FootnoteText"/>
        <w:rPr>
          <w:rFonts w:ascii="Times New Roman" w:hAnsi="Times New Roman" w:cs="Times New Roman"/>
        </w:rPr>
      </w:pPr>
      <w:r w:rsidRPr="006F7A8D">
        <w:rPr>
          <w:rStyle w:val="FootnoteReference"/>
          <w:rFonts w:ascii="Times New Roman" w:hAnsi="Times New Roman" w:cs="Times New Roman"/>
        </w:rPr>
        <w:footnoteRef/>
      </w:r>
      <w:r w:rsidRPr="006F7A8D">
        <w:rPr>
          <w:rFonts w:ascii="Times New Roman" w:hAnsi="Times New Roman" w:cs="Times New Roman"/>
        </w:rPr>
        <w:t xml:space="preserve"> of Part 3-2 of the </w:t>
      </w:r>
      <w:r w:rsidRPr="006F7A8D">
        <w:rPr>
          <w:rFonts w:ascii="Times New Roman" w:hAnsi="Times New Roman" w:cs="Times New Roman"/>
          <w:i/>
          <w:iCs/>
        </w:rPr>
        <w:t xml:space="preserve">National Consumer Credit Protection Act 2009 </w:t>
      </w:r>
      <w:r w:rsidRPr="006F7A8D">
        <w:rPr>
          <w:rFonts w:ascii="Times New Roman" w:hAnsi="Times New Roman" w:cs="Times New Roman"/>
        </w:rPr>
        <w:t>(Cth).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46734"/>
    <w:multiLevelType w:val="hybridMultilevel"/>
    <w:tmpl w:val="D3923948"/>
    <w:lvl w:ilvl="0" w:tplc="B4D038A6">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5F2363"/>
    <w:multiLevelType w:val="hybridMultilevel"/>
    <w:tmpl w:val="93662D68"/>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090AD2"/>
    <w:multiLevelType w:val="hybridMultilevel"/>
    <w:tmpl w:val="B08801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10270D"/>
    <w:multiLevelType w:val="hybridMultilevel"/>
    <w:tmpl w:val="1C88D90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AD26F1F"/>
    <w:multiLevelType w:val="hybridMultilevel"/>
    <w:tmpl w:val="B48CDDB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3222082F"/>
    <w:multiLevelType w:val="hybridMultilevel"/>
    <w:tmpl w:val="D23E1052"/>
    <w:lvl w:ilvl="0" w:tplc="0C09000F">
      <w:start w:val="1"/>
      <w:numFmt w:val="decimal"/>
      <w:lvlText w:val="%1."/>
      <w:lvlJc w:val="left"/>
      <w:pPr>
        <w:ind w:left="720" w:hanging="360"/>
      </w:pPr>
    </w:lvl>
    <w:lvl w:ilvl="1" w:tplc="0C09000F">
      <w:start w:val="1"/>
      <w:numFmt w:val="decimal"/>
      <w:lvlText w:val="%2."/>
      <w:lvlJc w:val="left"/>
      <w:pPr>
        <w:ind w:left="1440" w:hanging="360"/>
      </w:pPr>
      <w:rPr>
        <w:rFonts w:hint="default"/>
      </w:rPr>
    </w:lvl>
    <w:lvl w:ilvl="2" w:tplc="55983F3A">
      <w:start w:val="1"/>
      <w:numFmt w:val="lowerRoman"/>
      <w:lvlText w:val="%3."/>
      <w:lvlJc w:val="right"/>
      <w:pPr>
        <w:ind w:left="2160" w:hanging="180"/>
      </w:pPr>
      <w:rPr>
        <w:b w:val="0"/>
        <w:bCs w:val="0"/>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C9555E2"/>
    <w:multiLevelType w:val="hybridMultilevel"/>
    <w:tmpl w:val="087CDE80"/>
    <w:lvl w:ilvl="0" w:tplc="350EA62E">
      <w:numFmt w:val="bullet"/>
      <w:lvlText w:val=""/>
      <w:lvlJc w:val="left"/>
      <w:pPr>
        <w:ind w:left="720" w:hanging="360"/>
      </w:pPr>
      <w:rPr>
        <w:rFonts w:ascii="Wingdings" w:eastAsiaTheme="minorHAnsi" w:hAnsi="Wingdings"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0C9054D"/>
    <w:multiLevelType w:val="hybridMultilevel"/>
    <w:tmpl w:val="3042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5C3EB2"/>
    <w:multiLevelType w:val="hybridMultilevel"/>
    <w:tmpl w:val="D77C551A"/>
    <w:lvl w:ilvl="0" w:tplc="350EA62E">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2EE0C31"/>
    <w:multiLevelType w:val="hybridMultilevel"/>
    <w:tmpl w:val="B9C0B428"/>
    <w:lvl w:ilvl="0" w:tplc="D15C7556">
      <w:start w:val="1"/>
      <w:numFmt w:val="bullet"/>
      <w:lvlText w:val="o"/>
      <w:lvlJc w:val="left"/>
      <w:pPr>
        <w:ind w:left="1800" w:hanging="360"/>
      </w:pPr>
      <w:rPr>
        <w:rFonts w:ascii="Courier New" w:hAnsi="Courier New" w:cs="Courier New" w:hint="default"/>
        <w:sz w:val="24"/>
        <w:szCs w:val="24"/>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6AF04B22"/>
    <w:multiLevelType w:val="hybridMultilevel"/>
    <w:tmpl w:val="1A56C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4058D8"/>
    <w:multiLevelType w:val="hybridMultilevel"/>
    <w:tmpl w:val="1E5637F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7CF52424"/>
    <w:multiLevelType w:val="hybridMultilevel"/>
    <w:tmpl w:val="C742AB7A"/>
    <w:lvl w:ilvl="0" w:tplc="14685F48">
      <w:start w:val="3"/>
      <w:numFmt w:val="bullet"/>
      <w:lvlText w:val=""/>
      <w:lvlJc w:val="left"/>
      <w:pPr>
        <w:ind w:left="720" w:hanging="360"/>
      </w:pPr>
      <w:rPr>
        <w:rFonts w:ascii="Wingdings" w:eastAsiaTheme="minorHAnsi" w:hAnsi="Wingdings"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0"/>
  </w:num>
  <w:num w:numId="4">
    <w:abstractNumId w:val="11"/>
  </w:num>
  <w:num w:numId="5">
    <w:abstractNumId w:val="3"/>
  </w:num>
  <w:num w:numId="6">
    <w:abstractNumId w:val="2"/>
  </w:num>
  <w:num w:numId="7">
    <w:abstractNumId w:val="0"/>
  </w:num>
  <w:num w:numId="8">
    <w:abstractNumId w:val="4"/>
  </w:num>
  <w:num w:numId="9">
    <w:abstractNumId w:val="12"/>
  </w:num>
  <w:num w:numId="10">
    <w:abstractNumId w:val="8"/>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6C8"/>
    <w:rsid w:val="00003BCA"/>
    <w:rsid w:val="00007349"/>
    <w:rsid w:val="00007F7D"/>
    <w:rsid w:val="00010084"/>
    <w:rsid w:val="00010097"/>
    <w:rsid w:val="00014D3D"/>
    <w:rsid w:val="00021863"/>
    <w:rsid w:val="000315AC"/>
    <w:rsid w:val="00031E20"/>
    <w:rsid w:val="00037D61"/>
    <w:rsid w:val="00041975"/>
    <w:rsid w:val="00051743"/>
    <w:rsid w:val="00051965"/>
    <w:rsid w:val="00055E76"/>
    <w:rsid w:val="00057ABB"/>
    <w:rsid w:val="00063A82"/>
    <w:rsid w:val="00064BEB"/>
    <w:rsid w:val="00065541"/>
    <w:rsid w:val="00067594"/>
    <w:rsid w:val="00070302"/>
    <w:rsid w:val="00071535"/>
    <w:rsid w:val="000753C1"/>
    <w:rsid w:val="00080AC6"/>
    <w:rsid w:val="00087628"/>
    <w:rsid w:val="00087749"/>
    <w:rsid w:val="00087EA9"/>
    <w:rsid w:val="00090237"/>
    <w:rsid w:val="00096FD9"/>
    <w:rsid w:val="000B0A0E"/>
    <w:rsid w:val="000B2487"/>
    <w:rsid w:val="000C3910"/>
    <w:rsid w:val="000C4283"/>
    <w:rsid w:val="000C429B"/>
    <w:rsid w:val="000C620A"/>
    <w:rsid w:val="000D1C81"/>
    <w:rsid w:val="000D2708"/>
    <w:rsid w:val="000D37D7"/>
    <w:rsid w:val="000D6EA2"/>
    <w:rsid w:val="000D7675"/>
    <w:rsid w:val="000E10BD"/>
    <w:rsid w:val="000E1907"/>
    <w:rsid w:val="000E1E69"/>
    <w:rsid w:val="000E269B"/>
    <w:rsid w:val="000E274A"/>
    <w:rsid w:val="000E3BE8"/>
    <w:rsid w:val="000E4500"/>
    <w:rsid w:val="000E498B"/>
    <w:rsid w:val="000F2397"/>
    <w:rsid w:val="00103A8E"/>
    <w:rsid w:val="00103FD1"/>
    <w:rsid w:val="00107D13"/>
    <w:rsid w:val="00110E3E"/>
    <w:rsid w:val="001152C3"/>
    <w:rsid w:val="0011764C"/>
    <w:rsid w:val="001232E9"/>
    <w:rsid w:val="001256D8"/>
    <w:rsid w:val="0012598D"/>
    <w:rsid w:val="0013053A"/>
    <w:rsid w:val="0014126F"/>
    <w:rsid w:val="00141674"/>
    <w:rsid w:val="00142440"/>
    <w:rsid w:val="00142CCF"/>
    <w:rsid w:val="00147977"/>
    <w:rsid w:val="00151CC4"/>
    <w:rsid w:val="0015492B"/>
    <w:rsid w:val="0015501B"/>
    <w:rsid w:val="00157B24"/>
    <w:rsid w:val="00160C66"/>
    <w:rsid w:val="00161898"/>
    <w:rsid w:val="00163055"/>
    <w:rsid w:val="00163C35"/>
    <w:rsid w:val="001665EA"/>
    <w:rsid w:val="00166B3A"/>
    <w:rsid w:val="0017397C"/>
    <w:rsid w:val="001811CF"/>
    <w:rsid w:val="001815AE"/>
    <w:rsid w:val="00182D28"/>
    <w:rsid w:val="0018320B"/>
    <w:rsid w:val="0018431E"/>
    <w:rsid w:val="0018558A"/>
    <w:rsid w:val="00187BF7"/>
    <w:rsid w:val="00187C51"/>
    <w:rsid w:val="0019193E"/>
    <w:rsid w:val="001923B1"/>
    <w:rsid w:val="00193CE0"/>
    <w:rsid w:val="00193E41"/>
    <w:rsid w:val="00196790"/>
    <w:rsid w:val="001A1481"/>
    <w:rsid w:val="001A2C88"/>
    <w:rsid w:val="001A2F99"/>
    <w:rsid w:val="001A3C0C"/>
    <w:rsid w:val="001A4EFA"/>
    <w:rsid w:val="001A5B1E"/>
    <w:rsid w:val="001A6736"/>
    <w:rsid w:val="001A7A16"/>
    <w:rsid w:val="001A7EB6"/>
    <w:rsid w:val="001B55D8"/>
    <w:rsid w:val="001C1830"/>
    <w:rsid w:val="001C1B9B"/>
    <w:rsid w:val="001C1F2A"/>
    <w:rsid w:val="001C300E"/>
    <w:rsid w:val="001C3871"/>
    <w:rsid w:val="001C4328"/>
    <w:rsid w:val="001C4DEA"/>
    <w:rsid w:val="001C68A2"/>
    <w:rsid w:val="001D02D8"/>
    <w:rsid w:val="001D0B54"/>
    <w:rsid w:val="001D223E"/>
    <w:rsid w:val="001D621A"/>
    <w:rsid w:val="001E3E35"/>
    <w:rsid w:val="001F1318"/>
    <w:rsid w:val="001F784A"/>
    <w:rsid w:val="002020DF"/>
    <w:rsid w:val="00202476"/>
    <w:rsid w:val="00203194"/>
    <w:rsid w:val="002033FF"/>
    <w:rsid w:val="00206C14"/>
    <w:rsid w:val="00212757"/>
    <w:rsid w:val="00216851"/>
    <w:rsid w:val="00216F5F"/>
    <w:rsid w:val="0021776F"/>
    <w:rsid w:val="002228A5"/>
    <w:rsid w:val="0022301C"/>
    <w:rsid w:val="002304C2"/>
    <w:rsid w:val="002333A0"/>
    <w:rsid w:val="002339D3"/>
    <w:rsid w:val="002378E1"/>
    <w:rsid w:val="00237F64"/>
    <w:rsid w:val="00241297"/>
    <w:rsid w:val="002429B9"/>
    <w:rsid w:val="00247305"/>
    <w:rsid w:val="0025163F"/>
    <w:rsid w:val="00255421"/>
    <w:rsid w:val="0025612F"/>
    <w:rsid w:val="00271665"/>
    <w:rsid w:val="00272C01"/>
    <w:rsid w:val="00273E91"/>
    <w:rsid w:val="0027456E"/>
    <w:rsid w:val="00274E32"/>
    <w:rsid w:val="0028251D"/>
    <w:rsid w:val="00295ED3"/>
    <w:rsid w:val="00296C13"/>
    <w:rsid w:val="002A2675"/>
    <w:rsid w:val="002A2B60"/>
    <w:rsid w:val="002A4800"/>
    <w:rsid w:val="002A4EB9"/>
    <w:rsid w:val="002A5375"/>
    <w:rsid w:val="002A5A60"/>
    <w:rsid w:val="002A65A3"/>
    <w:rsid w:val="002A692B"/>
    <w:rsid w:val="002B47A6"/>
    <w:rsid w:val="002B590E"/>
    <w:rsid w:val="002B6254"/>
    <w:rsid w:val="002B6326"/>
    <w:rsid w:val="002B70F8"/>
    <w:rsid w:val="002B7E6D"/>
    <w:rsid w:val="002C553A"/>
    <w:rsid w:val="002C68DF"/>
    <w:rsid w:val="002C6D1C"/>
    <w:rsid w:val="002C716B"/>
    <w:rsid w:val="002D2BE4"/>
    <w:rsid w:val="002D328E"/>
    <w:rsid w:val="002E116A"/>
    <w:rsid w:val="002E71E5"/>
    <w:rsid w:val="002E79BE"/>
    <w:rsid w:val="002E7EC6"/>
    <w:rsid w:val="002F4DAA"/>
    <w:rsid w:val="002F6435"/>
    <w:rsid w:val="002F6AAC"/>
    <w:rsid w:val="00301598"/>
    <w:rsid w:val="0030195E"/>
    <w:rsid w:val="00301976"/>
    <w:rsid w:val="003020E0"/>
    <w:rsid w:val="00314834"/>
    <w:rsid w:val="00321753"/>
    <w:rsid w:val="00321CCD"/>
    <w:rsid w:val="00324229"/>
    <w:rsid w:val="0032584F"/>
    <w:rsid w:val="00331353"/>
    <w:rsid w:val="003330D5"/>
    <w:rsid w:val="003362F5"/>
    <w:rsid w:val="00347F81"/>
    <w:rsid w:val="003504E2"/>
    <w:rsid w:val="00357326"/>
    <w:rsid w:val="00357D24"/>
    <w:rsid w:val="00360821"/>
    <w:rsid w:val="0036289E"/>
    <w:rsid w:val="003634F4"/>
    <w:rsid w:val="00366718"/>
    <w:rsid w:val="00372CD9"/>
    <w:rsid w:val="0037367B"/>
    <w:rsid w:val="00374EE7"/>
    <w:rsid w:val="003800DA"/>
    <w:rsid w:val="00383400"/>
    <w:rsid w:val="00385E85"/>
    <w:rsid w:val="00392B16"/>
    <w:rsid w:val="003931FC"/>
    <w:rsid w:val="0039451E"/>
    <w:rsid w:val="0039719D"/>
    <w:rsid w:val="003A0809"/>
    <w:rsid w:val="003A179D"/>
    <w:rsid w:val="003A2BEB"/>
    <w:rsid w:val="003A3511"/>
    <w:rsid w:val="003A492B"/>
    <w:rsid w:val="003A69E2"/>
    <w:rsid w:val="003A71E5"/>
    <w:rsid w:val="003A7E9B"/>
    <w:rsid w:val="003B1A2B"/>
    <w:rsid w:val="003B26DF"/>
    <w:rsid w:val="003B2788"/>
    <w:rsid w:val="003B380D"/>
    <w:rsid w:val="003B4726"/>
    <w:rsid w:val="003B57F4"/>
    <w:rsid w:val="003B5A03"/>
    <w:rsid w:val="003B7661"/>
    <w:rsid w:val="003C0FA2"/>
    <w:rsid w:val="003C4FEA"/>
    <w:rsid w:val="003C5243"/>
    <w:rsid w:val="003C6E0C"/>
    <w:rsid w:val="003C7893"/>
    <w:rsid w:val="003D0B22"/>
    <w:rsid w:val="003D1C79"/>
    <w:rsid w:val="003D3F3F"/>
    <w:rsid w:val="003D7AEB"/>
    <w:rsid w:val="003E0E68"/>
    <w:rsid w:val="003E12C2"/>
    <w:rsid w:val="003E1916"/>
    <w:rsid w:val="003E281F"/>
    <w:rsid w:val="003E2BA0"/>
    <w:rsid w:val="003E2D56"/>
    <w:rsid w:val="003F04C8"/>
    <w:rsid w:val="003F207F"/>
    <w:rsid w:val="003F3275"/>
    <w:rsid w:val="003F3D2E"/>
    <w:rsid w:val="003F5374"/>
    <w:rsid w:val="00401EF6"/>
    <w:rsid w:val="004021B1"/>
    <w:rsid w:val="00403E80"/>
    <w:rsid w:val="00407D8D"/>
    <w:rsid w:val="004125A2"/>
    <w:rsid w:val="004150A0"/>
    <w:rsid w:val="00417BBC"/>
    <w:rsid w:val="00425DAD"/>
    <w:rsid w:val="00426195"/>
    <w:rsid w:val="0043011F"/>
    <w:rsid w:val="00430BB6"/>
    <w:rsid w:val="00431E30"/>
    <w:rsid w:val="00431E55"/>
    <w:rsid w:val="00437C93"/>
    <w:rsid w:val="00440E8B"/>
    <w:rsid w:val="004427B5"/>
    <w:rsid w:val="004430AA"/>
    <w:rsid w:val="00443189"/>
    <w:rsid w:val="004460B8"/>
    <w:rsid w:val="004535C3"/>
    <w:rsid w:val="0045475E"/>
    <w:rsid w:val="0045526C"/>
    <w:rsid w:val="00457DE7"/>
    <w:rsid w:val="004610CC"/>
    <w:rsid w:val="00465377"/>
    <w:rsid w:val="0047093A"/>
    <w:rsid w:val="004827CE"/>
    <w:rsid w:val="0048378B"/>
    <w:rsid w:val="00484657"/>
    <w:rsid w:val="00493F52"/>
    <w:rsid w:val="0049437A"/>
    <w:rsid w:val="00494535"/>
    <w:rsid w:val="00496CAB"/>
    <w:rsid w:val="004A270C"/>
    <w:rsid w:val="004B1942"/>
    <w:rsid w:val="004B7934"/>
    <w:rsid w:val="004B7FAB"/>
    <w:rsid w:val="004D10E0"/>
    <w:rsid w:val="004D7EC5"/>
    <w:rsid w:val="004E678C"/>
    <w:rsid w:val="004F0074"/>
    <w:rsid w:val="004F0ACE"/>
    <w:rsid w:val="004F253C"/>
    <w:rsid w:val="004F28B6"/>
    <w:rsid w:val="004F44A9"/>
    <w:rsid w:val="004F551B"/>
    <w:rsid w:val="004F61FF"/>
    <w:rsid w:val="004F6232"/>
    <w:rsid w:val="004F63C4"/>
    <w:rsid w:val="00500BA7"/>
    <w:rsid w:val="00502538"/>
    <w:rsid w:val="0050264F"/>
    <w:rsid w:val="00505ACC"/>
    <w:rsid w:val="00506773"/>
    <w:rsid w:val="00507399"/>
    <w:rsid w:val="00510CA7"/>
    <w:rsid w:val="00511BF9"/>
    <w:rsid w:val="005228B6"/>
    <w:rsid w:val="005244D7"/>
    <w:rsid w:val="005367E3"/>
    <w:rsid w:val="00540A39"/>
    <w:rsid w:val="0054490A"/>
    <w:rsid w:val="00546900"/>
    <w:rsid w:val="005523B9"/>
    <w:rsid w:val="00552A92"/>
    <w:rsid w:val="0055648C"/>
    <w:rsid w:val="005612A1"/>
    <w:rsid w:val="005632E0"/>
    <w:rsid w:val="00563814"/>
    <w:rsid w:val="00565157"/>
    <w:rsid w:val="0057418F"/>
    <w:rsid w:val="005768BA"/>
    <w:rsid w:val="00577AE0"/>
    <w:rsid w:val="00580D7E"/>
    <w:rsid w:val="00581B1D"/>
    <w:rsid w:val="005822EE"/>
    <w:rsid w:val="005833AB"/>
    <w:rsid w:val="00583EED"/>
    <w:rsid w:val="00585BD7"/>
    <w:rsid w:val="0059147D"/>
    <w:rsid w:val="005929A5"/>
    <w:rsid w:val="0059306F"/>
    <w:rsid w:val="00595CE9"/>
    <w:rsid w:val="005A127C"/>
    <w:rsid w:val="005A517E"/>
    <w:rsid w:val="005A5494"/>
    <w:rsid w:val="005A6660"/>
    <w:rsid w:val="005B11FB"/>
    <w:rsid w:val="005B3156"/>
    <w:rsid w:val="005B5B97"/>
    <w:rsid w:val="005B69BF"/>
    <w:rsid w:val="005C1326"/>
    <w:rsid w:val="005C23F7"/>
    <w:rsid w:val="005C297C"/>
    <w:rsid w:val="005D1189"/>
    <w:rsid w:val="005D1A19"/>
    <w:rsid w:val="005D2722"/>
    <w:rsid w:val="005D2AD9"/>
    <w:rsid w:val="005D60F5"/>
    <w:rsid w:val="005D73D3"/>
    <w:rsid w:val="005E277B"/>
    <w:rsid w:val="005E5B7E"/>
    <w:rsid w:val="005E63E8"/>
    <w:rsid w:val="005E6912"/>
    <w:rsid w:val="005E7702"/>
    <w:rsid w:val="005F267C"/>
    <w:rsid w:val="005F4A4C"/>
    <w:rsid w:val="0060217D"/>
    <w:rsid w:val="00602748"/>
    <w:rsid w:val="00604903"/>
    <w:rsid w:val="00607F92"/>
    <w:rsid w:val="00610ACE"/>
    <w:rsid w:val="00611454"/>
    <w:rsid w:val="0062032A"/>
    <w:rsid w:val="00624E89"/>
    <w:rsid w:val="00630C01"/>
    <w:rsid w:val="00635017"/>
    <w:rsid w:val="00636071"/>
    <w:rsid w:val="0063697C"/>
    <w:rsid w:val="00640590"/>
    <w:rsid w:val="00640800"/>
    <w:rsid w:val="00642C2F"/>
    <w:rsid w:val="00643C33"/>
    <w:rsid w:val="0064417F"/>
    <w:rsid w:val="00647D8D"/>
    <w:rsid w:val="006513A2"/>
    <w:rsid w:val="006523DF"/>
    <w:rsid w:val="00654A8F"/>
    <w:rsid w:val="00654B12"/>
    <w:rsid w:val="0065753A"/>
    <w:rsid w:val="006619C0"/>
    <w:rsid w:val="006621F7"/>
    <w:rsid w:val="00667F01"/>
    <w:rsid w:val="006702B8"/>
    <w:rsid w:val="0067137E"/>
    <w:rsid w:val="00673000"/>
    <w:rsid w:val="0067689F"/>
    <w:rsid w:val="00682200"/>
    <w:rsid w:val="00682862"/>
    <w:rsid w:val="006855B5"/>
    <w:rsid w:val="00687B04"/>
    <w:rsid w:val="00690909"/>
    <w:rsid w:val="0069325C"/>
    <w:rsid w:val="00693908"/>
    <w:rsid w:val="0069582F"/>
    <w:rsid w:val="00695DCD"/>
    <w:rsid w:val="006A02A4"/>
    <w:rsid w:val="006A1FAF"/>
    <w:rsid w:val="006A564C"/>
    <w:rsid w:val="006B27AB"/>
    <w:rsid w:val="006B7EAE"/>
    <w:rsid w:val="006C0C34"/>
    <w:rsid w:val="006C128E"/>
    <w:rsid w:val="006C23DF"/>
    <w:rsid w:val="006C312E"/>
    <w:rsid w:val="006C42D0"/>
    <w:rsid w:val="006D18EB"/>
    <w:rsid w:val="006D1AA0"/>
    <w:rsid w:val="006D4929"/>
    <w:rsid w:val="006D52CA"/>
    <w:rsid w:val="006D53B9"/>
    <w:rsid w:val="006F00A3"/>
    <w:rsid w:val="006F1425"/>
    <w:rsid w:val="006F17B6"/>
    <w:rsid w:val="006F2071"/>
    <w:rsid w:val="006F2E50"/>
    <w:rsid w:val="006F7A8D"/>
    <w:rsid w:val="0070100E"/>
    <w:rsid w:val="007028EF"/>
    <w:rsid w:val="00702FCF"/>
    <w:rsid w:val="00711C1F"/>
    <w:rsid w:val="0071496E"/>
    <w:rsid w:val="00720C10"/>
    <w:rsid w:val="00722D98"/>
    <w:rsid w:val="00722E1A"/>
    <w:rsid w:val="00724428"/>
    <w:rsid w:val="00724AD1"/>
    <w:rsid w:val="00725824"/>
    <w:rsid w:val="00727ED7"/>
    <w:rsid w:val="0074091F"/>
    <w:rsid w:val="0075090C"/>
    <w:rsid w:val="00754C41"/>
    <w:rsid w:val="00756AF0"/>
    <w:rsid w:val="00761567"/>
    <w:rsid w:val="00766647"/>
    <w:rsid w:val="0077131A"/>
    <w:rsid w:val="0077183F"/>
    <w:rsid w:val="0077337C"/>
    <w:rsid w:val="00774ABF"/>
    <w:rsid w:val="00782690"/>
    <w:rsid w:val="0078290F"/>
    <w:rsid w:val="007857EA"/>
    <w:rsid w:val="00785BAF"/>
    <w:rsid w:val="0078626C"/>
    <w:rsid w:val="0078672E"/>
    <w:rsid w:val="00790540"/>
    <w:rsid w:val="00792548"/>
    <w:rsid w:val="0079273E"/>
    <w:rsid w:val="00792B9B"/>
    <w:rsid w:val="007948BD"/>
    <w:rsid w:val="007962A3"/>
    <w:rsid w:val="007A045E"/>
    <w:rsid w:val="007A0FC6"/>
    <w:rsid w:val="007A1099"/>
    <w:rsid w:val="007A19E4"/>
    <w:rsid w:val="007A2157"/>
    <w:rsid w:val="007B26C3"/>
    <w:rsid w:val="007B564D"/>
    <w:rsid w:val="007B74E7"/>
    <w:rsid w:val="007C1D54"/>
    <w:rsid w:val="007C4346"/>
    <w:rsid w:val="007D0007"/>
    <w:rsid w:val="007D1270"/>
    <w:rsid w:val="007D29EB"/>
    <w:rsid w:val="007D4C11"/>
    <w:rsid w:val="007D58BA"/>
    <w:rsid w:val="007D6A24"/>
    <w:rsid w:val="007D75A9"/>
    <w:rsid w:val="007E09AD"/>
    <w:rsid w:val="007E53D5"/>
    <w:rsid w:val="007E7FB6"/>
    <w:rsid w:val="007F22C2"/>
    <w:rsid w:val="007F30E7"/>
    <w:rsid w:val="007F3460"/>
    <w:rsid w:val="007F3D47"/>
    <w:rsid w:val="007F6761"/>
    <w:rsid w:val="007F6D12"/>
    <w:rsid w:val="00802FF4"/>
    <w:rsid w:val="00803376"/>
    <w:rsid w:val="00805826"/>
    <w:rsid w:val="0080759C"/>
    <w:rsid w:val="00807997"/>
    <w:rsid w:val="0081074D"/>
    <w:rsid w:val="00812986"/>
    <w:rsid w:val="00814082"/>
    <w:rsid w:val="00814C14"/>
    <w:rsid w:val="00815376"/>
    <w:rsid w:val="00816BC3"/>
    <w:rsid w:val="008219B2"/>
    <w:rsid w:val="00831DB4"/>
    <w:rsid w:val="0083216B"/>
    <w:rsid w:val="008326AF"/>
    <w:rsid w:val="00833D9A"/>
    <w:rsid w:val="0083490F"/>
    <w:rsid w:val="00834D82"/>
    <w:rsid w:val="00837B88"/>
    <w:rsid w:val="00841B03"/>
    <w:rsid w:val="00851625"/>
    <w:rsid w:val="00852A53"/>
    <w:rsid w:val="0085534C"/>
    <w:rsid w:val="008555DF"/>
    <w:rsid w:val="00856B1B"/>
    <w:rsid w:val="00861183"/>
    <w:rsid w:val="00862CB2"/>
    <w:rsid w:val="0086462C"/>
    <w:rsid w:val="00864CFD"/>
    <w:rsid w:val="00864D14"/>
    <w:rsid w:val="00865E68"/>
    <w:rsid w:val="00870A9D"/>
    <w:rsid w:val="00871D0B"/>
    <w:rsid w:val="00871FA6"/>
    <w:rsid w:val="00881EA0"/>
    <w:rsid w:val="00882407"/>
    <w:rsid w:val="0088356D"/>
    <w:rsid w:val="00884969"/>
    <w:rsid w:val="008920B8"/>
    <w:rsid w:val="00892DD3"/>
    <w:rsid w:val="00894C55"/>
    <w:rsid w:val="00895041"/>
    <w:rsid w:val="008958ED"/>
    <w:rsid w:val="00895B99"/>
    <w:rsid w:val="008961F4"/>
    <w:rsid w:val="008A0466"/>
    <w:rsid w:val="008A23E8"/>
    <w:rsid w:val="008A2652"/>
    <w:rsid w:val="008A46D6"/>
    <w:rsid w:val="008A7D37"/>
    <w:rsid w:val="008B0568"/>
    <w:rsid w:val="008B1A98"/>
    <w:rsid w:val="008B3EC6"/>
    <w:rsid w:val="008B4BD4"/>
    <w:rsid w:val="008C0EE1"/>
    <w:rsid w:val="008C3B85"/>
    <w:rsid w:val="008C6324"/>
    <w:rsid w:val="008D0EBF"/>
    <w:rsid w:val="008D1920"/>
    <w:rsid w:val="008D2FDA"/>
    <w:rsid w:val="008D53D7"/>
    <w:rsid w:val="008D6A25"/>
    <w:rsid w:val="008D771F"/>
    <w:rsid w:val="008E3D78"/>
    <w:rsid w:val="008E4347"/>
    <w:rsid w:val="008E559A"/>
    <w:rsid w:val="008F0232"/>
    <w:rsid w:val="008F443E"/>
    <w:rsid w:val="008F49F8"/>
    <w:rsid w:val="008F762F"/>
    <w:rsid w:val="009003EA"/>
    <w:rsid w:val="00904FB6"/>
    <w:rsid w:val="00905EEE"/>
    <w:rsid w:val="00907560"/>
    <w:rsid w:val="00912824"/>
    <w:rsid w:val="009141B0"/>
    <w:rsid w:val="0091561B"/>
    <w:rsid w:val="00916CBC"/>
    <w:rsid w:val="00921948"/>
    <w:rsid w:val="00926552"/>
    <w:rsid w:val="0093293D"/>
    <w:rsid w:val="00934BD1"/>
    <w:rsid w:val="00936238"/>
    <w:rsid w:val="00936DD7"/>
    <w:rsid w:val="00942AF7"/>
    <w:rsid w:val="00945C86"/>
    <w:rsid w:val="0094613C"/>
    <w:rsid w:val="009469DF"/>
    <w:rsid w:val="009470A6"/>
    <w:rsid w:val="009474E1"/>
    <w:rsid w:val="00951225"/>
    <w:rsid w:val="0095449F"/>
    <w:rsid w:val="00956490"/>
    <w:rsid w:val="0095671B"/>
    <w:rsid w:val="00956D8A"/>
    <w:rsid w:val="0096393D"/>
    <w:rsid w:val="00963E36"/>
    <w:rsid w:val="00967D72"/>
    <w:rsid w:val="009715A3"/>
    <w:rsid w:val="00974E0F"/>
    <w:rsid w:val="0097641F"/>
    <w:rsid w:val="00976D67"/>
    <w:rsid w:val="00980DA7"/>
    <w:rsid w:val="009824FB"/>
    <w:rsid w:val="0098279C"/>
    <w:rsid w:val="009832D9"/>
    <w:rsid w:val="0098359F"/>
    <w:rsid w:val="00984EA3"/>
    <w:rsid w:val="00990726"/>
    <w:rsid w:val="00990B44"/>
    <w:rsid w:val="00996F5B"/>
    <w:rsid w:val="009A5B5F"/>
    <w:rsid w:val="009A692B"/>
    <w:rsid w:val="009B1686"/>
    <w:rsid w:val="009B18B4"/>
    <w:rsid w:val="009C0B68"/>
    <w:rsid w:val="009C19A0"/>
    <w:rsid w:val="009C44D9"/>
    <w:rsid w:val="009C77DE"/>
    <w:rsid w:val="009D5F0E"/>
    <w:rsid w:val="009E3D67"/>
    <w:rsid w:val="009E4403"/>
    <w:rsid w:val="009F1337"/>
    <w:rsid w:val="00A03648"/>
    <w:rsid w:val="00A04430"/>
    <w:rsid w:val="00A07E0D"/>
    <w:rsid w:val="00A106C8"/>
    <w:rsid w:val="00A1618B"/>
    <w:rsid w:val="00A243A5"/>
    <w:rsid w:val="00A274CA"/>
    <w:rsid w:val="00A37BEE"/>
    <w:rsid w:val="00A454CD"/>
    <w:rsid w:val="00A5197B"/>
    <w:rsid w:val="00A51A95"/>
    <w:rsid w:val="00A51BC3"/>
    <w:rsid w:val="00A5339B"/>
    <w:rsid w:val="00A5388D"/>
    <w:rsid w:val="00A55BB3"/>
    <w:rsid w:val="00A57132"/>
    <w:rsid w:val="00A6519D"/>
    <w:rsid w:val="00A6590E"/>
    <w:rsid w:val="00A666BE"/>
    <w:rsid w:val="00A70275"/>
    <w:rsid w:val="00A71787"/>
    <w:rsid w:val="00A7496D"/>
    <w:rsid w:val="00A756B7"/>
    <w:rsid w:val="00A906D9"/>
    <w:rsid w:val="00A94F21"/>
    <w:rsid w:val="00A96AB3"/>
    <w:rsid w:val="00A97346"/>
    <w:rsid w:val="00A97C2F"/>
    <w:rsid w:val="00AA1A87"/>
    <w:rsid w:val="00AA3E92"/>
    <w:rsid w:val="00AA551E"/>
    <w:rsid w:val="00AA6743"/>
    <w:rsid w:val="00AA7A22"/>
    <w:rsid w:val="00AB1708"/>
    <w:rsid w:val="00AB280C"/>
    <w:rsid w:val="00AB3E6B"/>
    <w:rsid w:val="00AC1669"/>
    <w:rsid w:val="00AC1DE7"/>
    <w:rsid w:val="00AC5BF8"/>
    <w:rsid w:val="00AD1704"/>
    <w:rsid w:val="00AD2743"/>
    <w:rsid w:val="00AD6850"/>
    <w:rsid w:val="00AE0AB7"/>
    <w:rsid w:val="00AE19E8"/>
    <w:rsid w:val="00AE31D0"/>
    <w:rsid w:val="00AE3D72"/>
    <w:rsid w:val="00AE4EC9"/>
    <w:rsid w:val="00AE51D8"/>
    <w:rsid w:val="00AE538D"/>
    <w:rsid w:val="00AF0983"/>
    <w:rsid w:val="00AF3F96"/>
    <w:rsid w:val="00B01D4D"/>
    <w:rsid w:val="00B03878"/>
    <w:rsid w:val="00B07F7A"/>
    <w:rsid w:val="00B10D4F"/>
    <w:rsid w:val="00B11044"/>
    <w:rsid w:val="00B1231E"/>
    <w:rsid w:val="00B15342"/>
    <w:rsid w:val="00B15E23"/>
    <w:rsid w:val="00B16671"/>
    <w:rsid w:val="00B20578"/>
    <w:rsid w:val="00B207EB"/>
    <w:rsid w:val="00B20F92"/>
    <w:rsid w:val="00B2455C"/>
    <w:rsid w:val="00B24E3D"/>
    <w:rsid w:val="00B2658C"/>
    <w:rsid w:val="00B30634"/>
    <w:rsid w:val="00B3249D"/>
    <w:rsid w:val="00B362CB"/>
    <w:rsid w:val="00B417C3"/>
    <w:rsid w:val="00B47C78"/>
    <w:rsid w:val="00B50DC0"/>
    <w:rsid w:val="00B51C9A"/>
    <w:rsid w:val="00B523BD"/>
    <w:rsid w:val="00B56C72"/>
    <w:rsid w:val="00B60164"/>
    <w:rsid w:val="00B60412"/>
    <w:rsid w:val="00B60998"/>
    <w:rsid w:val="00B60A04"/>
    <w:rsid w:val="00B61C51"/>
    <w:rsid w:val="00B61D50"/>
    <w:rsid w:val="00B635C7"/>
    <w:rsid w:val="00B6585E"/>
    <w:rsid w:val="00B65FE1"/>
    <w:rsid w:val="00B67CAC"/>
    <w:rsid w:val="00B67F00"/>
    <w:rsid w:val="00B70F65"/>
    <w:rsid w:val="00B71580"/>
    <w:rsid w:val="00B7216D"/>
    <w:rsid w:val="00B722CB"/>
    <w:rsid w:val="00B72431"/>
    <w:rsid w:val="00B74B3B"/>
    <w:rsid w:val="00B80D73"/>
    <w:rsid w:val="00B81002"/>
    <w:rsid w:val="00B818AD"/>
    <w:rsid w:val="00B83B65"/>
    <w:rsid w:val="00B93D50"/>
    <w:rsid w:val="00B9522F"/>
    <w:rsid w:val="00B962ED"/>
    <w:rsid w:val="00B9737D"/>
    <w:rsid w:val="00BA0B54"/>
    <w:rsid w:val="00BA1346"/>
    <w:rsid w:val="00BA37F4"/>
    <w:rsid w:val="00BA4F08"/>
    <w:rsid w:val="00BA7082"/>
    <w:rsid w:val="00BA782B"/>
    <w:rsid w:val="00BB3D48"/>
    <w:rsid w:val="00BB57B8"/>
    <w:rsid w:val="00BB7184"/>
    <w:rsid w:val="00BC2E36"/>
    <w:rsid w:val="00BC3F0B"/>
    <w:rsid w:val="00BC52A5"/>
    <w:rsid w:val="00BC555C"/>
    <w:rsid w:val="00BD1100"/>
    <w:rsid w:val="00BD3E21"/>
    <w:rsid w:val="00BD48A9"/>
    <w:rsid w:val="00BD7F1C"/>
    <w:rsid w:val="00BE00DC"/>
    <w:rsid w:val="00BE041E"/>
    <w:rsid w:val="00BE083C"/>
    <w:rsid w:val="00BE124C"/>
    <w:rsid w:val="00BE5D62"/>
    <w:rsid w:val="00BE7E64"/>
    <w:rsid w:val="00BF0CD5"/>
    <w:rsid w:val="00BF417B"/>
    <w:rsid w:val="00BF6CA8"/>
    <w:rsid w:val="00BF788F"/>
    <w:rsid w:val="00C0028D"/>
    <w:rsid w:val="00C00A03"/>
    <w:rsid w:val="00C01B69"/>
    <w:rsid w:val="00C0378E"/>
    <w:rsid w:val="00C14E86"/>
    <w:rsid w:val="00C150B8"/>
    <w:rsid w:val="00C153C2"/>
    <w:rsid w:val="00C16CDC"/>
    <w:rsid w:val="00C17FC4"/>
    <w:rsid w:val="00C26088"/>
    <w:rsid w:val="00C262E3"/>
    <w:rsid w:val="00C31F75"/>
    <w:rsid w:val="00C32108"/>
    <w:rsid w:val="00C34586"/>
    <w:rsid w:val="00C37CAC"/>
    <w:rsid w:val="00C42A23"/>
    <w:rsid w:val="00C43232"/>
    <w:rsid w:val="00C44FAF"/>
    <w:rsid w:val="00C46916"/>
    <w:rsid w:val="00C54650"/>
    <w:rsid w:val="00C57765"/>
    <w:rsid w:val="00C578D9"/>
    <w:rsid w:val="00C630DD"/>
    <w:rsid w:val="00C64453"/>
    <w:rsid w:val="00C6540C"/>
    <w:rsid w:val="00C705FC"/>
    <w:rsid w:val="00C738A8"/>
    <w:rsid w:val="00C76DC3"/>
    <w:rsid w:val="00C81ADA"/>
    <w:rsid w:val="00C82A76"/>
    <w:rsid w:val="00C839CF"/>
    <w:rsid w:val="00C8556D"/>
    <w:rsid w:val="00C85D1B"/>
    <w:rsid w:val="00C87669"/>
    <w:rsid w:val="00C90773"/>
    <w:rsid w:val="00C909E9"/>
    <w:rsid w:val="00C91086"/>
    <w:rsid w:val="00C91450"/>
    <w:rsid w:val="00C930F2"/>
    <w:rsid w:val="00C93C36"/>
    <w:rsid w:val="00C94353"/>
    <w:rsid w:val="00C943CB"/>
    <w:rsid w:val="00C95A92"/>
    <w:rsid w:val="00C972AD"/>
    <w:rsid w:val="00C97C7A"/>
    <w:rsid w:val="00CA22D6"/>
    <w:rsid w:val="00CA45F6"/>
    <w:rsid w:val="00CA4D4D"/>
    <w:rsid w:val="00CA6003"/>
    <w:rsid w:val="00CA673A"/>
    <w:rsid w:val="00CA67CD"/>
    <w:rsid w:val="00CA74C2"/>
    <w:rsid w:val="00CB0AFA"/>
    <w:rsid w:val="00CB2DF3"/>
    <w:rsid w:val="00CB3127"/>
    <w:rsid w:val="00CB7044"/>
    <w:rsid w:val="00CC05D2"/>
    <w:rsid w:val="00CC1ECE"/>
    <w:rsid w:val="00CC543D"/>
    <w:rsid w:val="00CC5D10"/>
    <w:rsid w:val="00CC6078"/>
    <w:rsid w:val="00CC6104"/>
    <w:rsid w:val="00CC7A17"/>
    <w:rsid w:val="00CD02E7"/>
    <w:rsid w:val="00CD2CD2"/>
    <w:rsid w:val="00CD4D47"/>
    <w:rsid w:val="00CE715C"/>
    <w:rsid w:val="00CF0710"/>
    <w:rsid w:val="00CF5D0D"/>
    <w:rsid w:val="00CF60A6"/>
    <w:rsid w:val="00D0155F"/>
    <w:rsid w:val="00D04259"/>
    <w:rsid w:val="00D04766"/>
    <w:rsid w:val="00D05024"/>
    <w:rsid w:val="00D06CFA"/>
    <w:rsid w:val="00D104B9"/>
    <w:rsid w:val="00D15672"/>
    <w:rsid w:val="00D15B11"/>
    <w:rsid w:val="00D16790"/>
    <w:rsid w:val="00D21191"/>
    <w:rsid w:val="00D26B35"/>
    <w:rsid w:val="00D26EF2"/>
    <w:rsid w:val="00D31FF9"/>
    <w:rsid w:val="00D3598B"/>
    <w:rsid w:val="00D408DB"/>
    <w:rsid w:val="00D414BD"/>
    <w:rsid w:val="00D4554B"/>
    <w:rsid w:val="00D54F64"/>
    <w:rsid w:val="00D62AC4"/>
    <w:rsid w:val="00D642D9"/>
    <w:rsid w:val="00D64910"/>
    <w:rsid w:val="00D66335"/>
    <w:rsid w:val="00D7008B"/>
    <w:rsid w:val="00D710FA"/>
    <w:rsid w:val="00D723C6"/>
    <w:rsid w:val="00D73D79"/>
    <w:rsid w:val="00D74202"/>
    <w:rsid w:val="00D748DF"/>
    <w:rsid w:val="00D75282"/>
    <w:rsid w:val="00D75C63"/>
    <w:rsid w:val="00D77F39"/>
    <w:rsid w:val="00D8078C"/>
    <w:rsid w:val="00D8298F"/>
    <w:rsid w:val="00D831EB"/>
    <w:rsid w:val="00D837A9"/>
    <w:rsid w:val="00D8469E"/>
    <w:rsid w:val="00D90A8B"/>
    <w:rsid w:val="00D92C29"/>
    <w:rsid w:val="00D93860"/>
    <w:rsid w:val="00D93A93"/>
    <w:rsid w:val="00D96428"/>
    <w:rsid w:val="00DA4895"/>
    <w:rsid w:val="00DA4F52"/>
    <w:rsid w:val="00DA5D55"/>
    <w:rsid w:val="00DA6A3D"/>
    <w:rsid w:val="00DA6D98"/>
    <w:rsid w:val="00DA7FE3"/>
    <w:rsid w:val="00DB0A2E"/>
    <w:rsid w:val="00DB3912"/>
    <w:rsid w:val="00DC158B"/>
    <w:rsid w:val="00DC2E71"/>
    <w:rsid w:val="00DC3AAE"/>
    <w:rsid w:val="00DC6710"/>
    <w:rsid w:val="00DC7E7A"/>
    <w:rsid w:val="00DD0BAB"/>
    <w:rsid w:val="00DD35BC"/>
    <w:rsid w:val="00DD3FBC"/>
    <w:rsid w:val="00DD523B"/>
    <w:rsid w:val="00DD61DF"/>
    <w:rsid w:val="00DD65D9"/>
    <w:rsid w:val="00DD702A"/>
    <w:rsid w:val="00DE1E48"/>
    <w:rsid w:val="00DE1F98"/>
    <w:rsid w:val="00DE3A3A"/>
    <w:rsid w:val="00DE3DF0"/>
    <w:rsid w:val="00DE4404"/>
    <w:rsid w:val="00DE5A91"/>
    <w:rsid w:val="00DE6359"/>
    <w:rsid w:val="00DE68B1"/>
    <w:rsid w:val="00DF0354"/>
    <w:rsid w:val="00DF0D8F"/>
    <w:rsid w:val="00DF206D"/>
    <w:rsid w:val="00DF2A0E"/>
    <w:rsid w:val="00DF3F5F"/>
    <w:rsid w:val="00DF4FF6"/>
    <w:rsid w:val="00DF5049"/>
    <w:rsid w:val="00E01809"/>
    <w:rsid w:val="00E025E2"/>
    <w:rsid w:val="00E04135"/>
    <w:rsid w:val="00E04676"/>
    <w:rsid w:val="00E0573A"/>
    <w:rsid w:val="00E06763"/>
    <w:rsid w:val="00E11473"/>
    <w:rsid w:val="00E17E2B"/>
    <w:rsid w:val="00E207AE"/>
    <w:rsid w:val="00E207B8"/>
    <w:rsid w:val="00E2311F"/>
    <w:rsid w:val="00E254F2"/>
    <w:rsid w:val="00E26C8E"/>
    <w:rsid w:val="00E313B4"/>
    <w:rsid w:val="00E32E9B"/>
    <w:rsid w:val="00E34597"/>
    <w:rsid w:val="00E34B09"/>
    <w:rsid w:val="00E44343"/>
    <w:rsid w:val="00E44528"/>
    <w:rsid w:val="00E44B1B"/>
    <w:rsid w:val="00E45211"/>
    <w:rsid w:val="00E45ECD"/>
    <w:rsid w:val="00E462F3"/>
    <w:rsid w:val="00E4650F"/>
    <w:rsid w:val="00E505CD"/>
    <w:rsid w:val="00E5262B"/>
    <w:rsid w:val="00E6172A"/>
    <w:rsid w:val="00E67332"/>
    <w:rsid w:val="00E7606A"/>
    <w:rsid w:val="00E77EF6"/>
    <w:rsid w:val="00E80DB6"/>
    <w:rsid w:val="00E847FD"/>
    <w:rsid w:val="00E850C2"/>
    <w:rsid w:val="00E9200B"/>
    <w:rsid w:val="00E9432C"/>
    <w:rsid w:val="00E94939"/>
    <w:rsid w:val="00EA0668"/>
    <w:rsid w:val="00EA2DCD"/>
    <w:rsid w:val="00EA444D"/>
    <w:rsid w:val="00EA7B68"/>
    <w:rsid w:val="00EB0E32"/>
    <w:rsid w:val="00EB3767"/>
    <w:rsid w:val="00EB4932"/>
    <w:rsid w:val="00EB5F50"/>
    <w:rsid w:val="00EB65D2"/>
    <w:rsid w:val="00EB72A2"/>
    <w:rsid w:val="00EC1DE9"/>
    <w:rsid w:val="00EC304C"/>
    <w:rsid w:val="00ED0565"/>
    <w:rsid w:val="00ED54E1"/>
    <w:rsid w:val="00ED65D1"/>
    <w:rsid w:val="00EE0A45"/>
    <w:rsid w:val="00EE1B59"/>
    <w:rsid w:val="00EE206D"/>
    <w:rsid w:val="00EE31CD"/>
    <w:rsid w:val="00EE40C8"/>
    <w:rsid w:val="00EF28D9"/>
    <w:rsid w:val="00EF429C"/>
    <w:rsid w:val="00EF76E3"/>
    <w:rsid w:val="00EF77DA"/>
    <w:rsid w:val="00F118E0"/>
    <w:rsid w:val="00F15965"/>
    <w:rsid w:val="00F221E0"/>
    <w:rsid w:val="00F22452"/>
    <w:rsid w:val="00F2292D"/>
    <w:rsid w:val="00F2318E"/>
    <w:rsid w:val="00F26125"/>
    <w:rsid w:val="00F26B84"/>
    <w:rsid w:val="00F33EAE"/>
    <w:rsid w:val="00F35488"/>
    <w:rsid w:val="00F35E14"/>
    <w:rsid w:val="00F37048"/>
    <w:rsid w:val="00F42A7D"/>
    <w:rsid w:val="00F44B9F"/>
    <w:rsid w:val="00F5099E"/>
    <w:rsid w:val="00F51080"/>
    <w:rsid w:val="00F52D38"/>
    <w:rsid w:val="00F52DFA"/>
    <w:rsid w:val="00F53D7E"/>
    <w:rsid w:val="00F566D8"/>
    <w:rsid w:val="00F62E3E"/>
    <w:rsid w:val="00F64D9C"/>
    <w:rsid w:val="00F66BD4"/>
    <w:rsid w:val="00F70A88"/>
    <w:rsid w:val="00F711F2"/>
    <w:rsid w:val="00F72179"/>
    <w:rsid w:val="00F926D3"/>
    <w:rsid w:val="00F95749"/>
    <w:rsid w:val="00F95FD2"/>
    <w:rsid w:val="00F96493"/>
    <w:rsid w:val="00FA01DE"/>
    <w:rsid w:val="00FA025E"/>
    <w:rsid w:val="00FA1FCE"/>
    <w:rsid w:val="00FA211C"/>
    <w:rsid w:val="00FA2490"/>
    <w:rsid w:val="00FA5461"/>
    <w:rsid w:val="00FA56C5"/>
    <w:rsid w:val="00FB2BC2"/>
    <w:rsid w:val="00FB3C92"/>
    <w:rsid w:val="00FB59BB"/>
    <w:rsid w:val="00FB7910"/>
    <w:rsid w:val="00FB7954"/>
    <w:rsid w:val="00FC0B34"/>
    <w:rsid w:val="00FC318E"/>
    <w:rsid w:val="00FC5FB5"/>
    <w:rsid w:val="00FC62EB"/>
    <w:rsid w:val="00FD05B7"/>
    <w:rsid w:val="00FE2AC1"/>
    <w:rsid w:val="00FE378B"/>
    <w:rsid w:val="00FE5A00"/>
    <w:rsid w:val="00FE61F2"/>
    <w:rsid w:val="00FE7EAA"/>
    <w:rsid w:val="00FF13F9"/>
    <w:rsid w:val="00FF2E27"/>
    <w:rsid w:val="00FF395A"/>
    <w:rsid w:val="00FF7D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F45778"/>
  <w15:chartTrackingRefBased/>
  <w15:docId w15:val="{6A0713E2-D65C-498C-8C1E-1598936B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74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6C8"/>
  </w:style>
  <w:style w:type="paragraph" w:styleId="Footer">
    <w:name w:val="footer"/>
    <w:basedOn w:val="Normal"/>
    <w:link w:val="FooterChar"/>
    <w:uiPriority w:val="99"/>
    <w:unhideWhenUsed/>
    <w:rsid w:val="00A10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6C8"/>
  </w:style>
  <w:style w:type="paragraph" w:styleId="ListParagraph">
    <w:name w:val="List Paragraph"/>
    <w:basedOn w:val="Normal"/>
    <w:uiPriority w:val="34"/>
    <w:qFormat/>
    <w:rsid w:val="00A106C8"/>
    <w:pPr>
      <w:ind w:left="720"/>
      <w:contextualSpacing/>
    </w:pPr>
  </w:style>
  <w:style w:type="paragraph" w:styleId="FootnoteText">
    <w:name w:val="footnote text"/>
    <w:basedOn w:val="Normal"/>
    <w:link w:val="FootnoteTextChar"/>
    <w:uiPriority w:val="99"/>
    <w:semiHidden/>
    <w:unhideWhenUsed/>
    <w:rsid w:val="00D06C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CFA"/>
    <w:rPr>
      <w:sz w:val="20"/>
      <w:szCs w:val="20"/>
    </w:rPr>
  </w:style>
  <w:style w:type="character" w:styleId="FootnoteReference">
    <w:name w:val="footnote reference"/>
    <w:basedOn w:val="DefaultParagraphFont"/>
    <w:uiPriority w:val="99"/>
    <w:semiHidden/>
    <w:unhideWhenUsed/>
    <w:rsid w:val="00D06CFA"/>
    <w:rPr>
      <w:vertAlign w:val="superscript"/>
    </w:rPr>
  </w:style>
  <w:style w:type="paragraph" w:styleId="Bibliography">
    <w:name w:val="Bibliography"/>
    <w:basedOn w:val="Normal"/>
    <w:next w:val="Normal"/>
    <w:uiPriority w:val="37"/>
    <w:unhideWhenUsed/>
    <w:rsid w:val="005F267C"/>
  </w:style>
  <w:style w:type="character" w:styleId="EndnoteReference">
    <w:name w:val="endnote reference"/>
    <w:basedOn w:val="DefaultParagraphFont"/>
    <w:uiPriority w:val="99"/>
    <w:semiHidden/>
    <w:unhideWhenUsed/>
    <w:rsid w:val="007F3D47"/>
    <w:rPr>
      <w:vertAlign w:val="superscript"/>
    </w:rPr>
  </w:style>
  <w:style w:type="paragraph" w:styleId="Caption">
    <w:name w:val="caption"/>
    <w:basedOn w:val="Normal"/>
    <w:next w:val="Normal"/>
    <w:uiPriority w:val="35"/>
    <w:unhideWhenUsed/>
    <w:qFormat/>
    <w:rsid w:val="00E32E9B"/>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1674"/>
    <w:rPr>
      <w:color w:val="0563C1" w:themeColor="hyperlink"/>
      <w:u w:val="single"/>
    </w:rPr>
  </w:style>
  <w:style w:type="character" w:styleId="UnresolvedMention">
    <w:name w:val="Unresolved Mention"/>
    <w:basedOn w:val="DefaultParagraphFont"/>
    <w:uiPriority w:val="99"/>
    <w:semiHidden/>
    <w:unhideWhenUsed/>
    <w:rsid w:val="00141674"/>
    <w:rPr>
      <w:color w:val="605E5C"/>
      <w:shd w:val="clear" w:color="auto" w:fill="E1DFDD"/>
    </w:rPr>
  </w:style>
  <w:style w:type="character" w:styleId="FollowedHyperlink">
    <w:name w:val="FollowedHyperlink"/>
    <w:basedOn w:val="DefaultParagraphFont"/>
    <w:uiPriority w:val="99"/>
    <w:semiHidden/>
    <w:unhideWhenUsed/>
    <w:rsid w:val="00A07E0D"/>
    <w:rPr>
      <w:color w:val="954F72" w:themeColor="followedHyperlink"/>
      <w:u w:val="single"/>
    </w:rPr>
  </w:style>
  <w:style w:type="character" w:styleId="PlaceholderText">
    <w:name w:val="Placeholder Text"/>
    <w:basedOn w:val="DefaultParagraphFont"/>
    <w:uiPriority w:val="99"/>
    <w:semiHidden/>
    <w:rsid w:val="00B3249D"/>
    <w:rPr>
      <w:color w:val="808080"/>
    </w:rPr>
  </w:style>
  <w:style w:type="paragraph" w:styleId="BalloonText">
    <w:name w:val="Balloon Text"/>
    <w:basedOn w:val="Normal"/>
    <w:link w:val="BalloonTextChar"/>
    <w:uiPriority w:val="99"/>
    <w:semiHidden/>
    <w:unhideWhenUsed/>
    <w:rsid w:val="00802F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F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282664">
      <w:bodyDiv w:val="1"/>
      <w:marLeft w:val="0"/>
      <w:marRight w:val="0"/>
      <w:marTop w:val="0"/>
      <w:marBottom w:val="0"/>
      <w:divBdr>
        <w:top w:val="none" w:sz="0" w:space="0" w:color="auto"/>
        <w:left w:val="none" w:sz="0" w:space="0" w:color="auto"/>
        <w:bottom w:val="none" w:sz="0" w:space="0" w:color="auto"/>
        <w:right w:val="none" w:sz="0" w:space="0" w:color="auto"/>
      </w:divBdr>
    </w:div>
    <w:div w:id="512643943">
      <w:bodyDiv w:val="1"/>
      <w:marLeft w:val="0"/>
      <w:marRight w:val="0"/>
      <w:marTop w:val="0"/>
      <w:marBottom w:val="0"/>
      <w:divBdr>
        <w:top w:val="none" w:sz="0" w:space="0" w:color="auto"/>
        <w:left w:val="none" w:sz="0" w:space="0" w:color="auto"/>
        <w:bottom w:val="none" w:sz="0" w:space="0" w:color="auto"/>
        <w:right w:val="none" w:sz="0" w:space="0" w:color="auto"/>
      </w:divBdr>
      <w:divsChild>
        <w:div w:id="310445384">
          <w:marLeft w:val="0"/>
          <w:marRight w:val="0"/>
          <w:marTop w:val="0"/>
          <w:marBottom w:val="0"/>
          <w:divBdr>
            <w:top w:val="none" w:sz="0" w:space="0" w:color="auto"/>
            <w:left w:val="none" w:sz="0" w:space="0" w:color="auto"/>
            <w:bottom w:val="none" w:sz="0" w:space="0" w:color="auto"/>
            <w:right w:val="none" w:sz="0" w:space="0" w:color="auto"/>
          </w:divBdr>
        </w:div>
        <w:div w:id="1699814194">
          <w:marLeft w:val="0"/>
          <w:marRight w:val="0"/>
          <w:marTop w:val="0"/>
          <w:marBottom w:val="0"/>
          <w:divBdr>
            <w:top w:val="none" w:sz="0" w:space="0" w:color="auto"/>
            <w:left w:val="none" w:sz="0" w:space="0" w:color="auto"/>
            <w:bottom w:val="none" w:sz="0" w:space="0" w:color="auto"/>
            <w:right w:val="none" w:sz="0" w:space="0" w:color="auto"/>
          </w:divBdr>
          <w:divsChild>
            <w:div w:id="470295230">
              <w:marLeft w:val="0"/>
              <w:marRight w:val="0"/>
              <w:marTop w:val="0"/>
              <w:marBottom w:val="0"/>
              <w:divBdr>
                <w:top w:val="none" w:sz="0" w:space="0" w:color="auto"/>
                <w:left w:val="none" w:sz="0" w:space="0" w:color="auto"/>
                <w:bottom w:val="none" w:sz="0" w:space="0" w:color="auto"/>
                <w:right w:val="none" w:sz="0" w:space="0" w:color="auto"/>
              </w:divBdr>
              <w:divsChild>
                <w:div w:id="1360475958">
                  <w:marLeft w:val="0"/>
                  <w:marRight w:val="0"/>
                  <w:marTop w:val="0"/>
                  <w:marBottom w:val="0"/>
                  <w:divBdr>
                    <w:top w:val="none" w:sz="0" w:space="0" w:color="auto"/>
                    <w:left w:val="none" w:sz="0" w:space="0" w:color="auto"/>
                    <w:bottom w:val="none" w:sz="0" w:space="0" w:color="auto"/>
                    <w:right w:val="none" w:sz="0" w:space="0" w:color="auto"/>
                  </w:divBdr>
                  <w:divsChild>
                    <w:div w:id="993727355">
                      <w:marLeft w:val="0"/>
                      <w:marRight w:val="0"/>
                      <w:marTop w:val="0"/>
                      <w:marBottom w:val="0"/>
                      <w:divBdr>
                        <w:top w:val="none" w:sz="0" w:space="0" w:color="auto"/>
                        <w:left w:val="none" w:sz="0" w:space="0" w:color="auto"/>
                        <w:bottom w:val="none" w:sz="0" w:space="0" w:color="auto"/>
                        <w:right w:val="none" w:sz="0" w:space="0" w:color="auto"/>
                      </w:divBdr>
                      <w:divsChild>
                        <w:div w:id="16391862">
                          <w:marLeft w:val="0"/>
                          <w:marRight w:val="0"/>
                          <w:marTop w:val="0"/>
                          <w:marBottom w:val="0"/>
                          <w:divBdr>
                            <w:top w:val="none" w:sz="0" w:space="0" w:color="auto"/>
                            <w:left w:val="none" w:sz="0" w:space="0" w:color="auto"/>
                            <w:bottom w:val="none" w:sz="0" w:space="0" w:color="auto"/>
                            <w:right w:val="none" w:sz="0" w:space="0" w:color="auto"/>
                          </w:divBdr>
                          <w:divsChild>
                            <w:div w:id="442919630">
                              <w:marLeft w:val="0"/>
                              <w:marRight w:val="0"/>
                              <w:marTop w:val="0"/>
                              <w:marBottom w:val="0"/>
                              <w:divBdr>
                                <w:top w:val="none" w:sz="0" w:space="0" w:color="auto"/>
                                <w:left w:val="none" w:sz="0" w:space="0" w:color="auto"/>
                                <w:bottom w:val="none" w:sz="0" w:space="0" w:color="auto"/>
                                <w:right w:val="none" w:sz="0" w:space="0" w:color="auto"/>
                              </w:divBdr>
                              <w:divsChild>
                                <w:div w:id="1359040498">
                                  <w:marLeft w:val="0"/>
                                  <w:marRight w:val="0"/>
                                  <w:marTop w:val="0"/>
                                  <w:marBottom w:val="0"/>
                                  <w:divBdr>
                                    <w:top w:val="none" w:sz="0" w:space="0" w:color="auto"/>
                                    <w:left w:val="none" w:sz="0" w:space="0" w:color="auto"/>
                                    <w:bottom w:val="none" w:sz="0" w:space="0" w:color="auto"/>
                                    <w:right w:val="none" w:sz="0" w:space="0" w:color="auto"/>
                                  </w:divBdr>
                                  <w:divsChild>
                                    <w:div w:id="684937364">
                                      <w:marLeft w:val="0"/>
                                      <w:marRight w:val="0"/>
                                      <w:marTop w:val="0"/>
                                      <w:marBottom w:val="0"/>
                                      <w:divBdr>
                                        <w:top w:val="none" w:sz="0" w:space="0" w:color="auto"/>
                                        <w:left w:val="none" w:sz="0" w:space="0" w:color="auto"/>
                                        <w:bottom w:val="none" w:sz="0" w:space="0" w:color="auto"/>
                                        <w:right w:val="none" w:sz="0" w:space="0" w:color="auto"/>
                                      </w:divBdr>
                                      <w:divsChild>
                                        <w:div w:id="940987135">
                                          <w:marLeft w:val="0"/>
                                          <w:marRight w:val="0"/>
                                          <w:marTop w:val="0"/>
                                          <w:marBottom w:val="0"/>
                                          <w:divBdr>
                                            <w:top w:val="none" w:sz="0" w:space="0" w:color="auto"/>
                                            <w:left w:val="none" w:sz="0" w:space="0" w:color="auto"/>
                                            <w:bottom w:val="none" w:sz="0" w:space="0" w:color="auto"/>
                                            <w:right w:val="none" w:sz="0" w:space="0" w:color="auto"/>
                                          </w:divBdr>
                                          <w:divsChild>
                                            <w:div w:id="368727154">
                                              <w:marLeft w:val="0"/>
                                              <w:marRight w:val="0"/>
                                              <w:marTop w:val="0"/>
                                              <w:marBottom w:val="0"/>
                                              <w:divBdr>
                                                <w:top w:val="none" w:sz="0" w:space="0" w:color="auto"/>
                                                <w:left w:val="none" w:sz="0" w:space="0" w:color="auto"/>
                                                <w:bottom w:val="none" w:sz="0" w:space="0" w:color="auto"/>
                                                <w:right w:val="none" w:sz="0" w:space="0" w:color="auto"/>
                                              </w:divBdr>
                                              <w:divsChild>
                                                <w:div w:id="1041591958">
                                                  <w:marLeft w:val="0"/>
                                                  <w:marRight w:val="0"/>
                                                  <w:marTop w:val="0"/>
                                                  <w:marBottom w:val="0"/>
                                                  <w:divBdr>
                                                    <w:top w:val="none" w:sz="0" w:space="0" w:color="auto"/>
                                                    <w:left w:val="none" w:sz="0" w:space="0" w:color="auto"/>
                                                    <w:bottom w:val="none" w:sz="0" w:space="0" w:color="auto"/>
                                                    <w:right w:val="none" w:sz="0" w:space="0" w:color="auto"/>
                                                  </w:divBdr>
                                                  <w:divsChild>
                                                    <w:div w:id="239096009">
                                                      <w:marLeft w:val="0"/>
                                                      <w:marRight w:val="0"/>
                                                      <w:marTop w:val="0"/>
                                                      <w:marBottom w:val="0"/>
                                                      <w:divBdr>
                                                        <w:top w:val="none" w:sz="0" w:space="0" w:color="auto"/>
                                                        <w:left w:val="none" w:sz="0" w:space="0" w:color="auto"/>
                                                        <w:bottom w:val="none" w:sz="0" w:space="0" w:color="auto"/>
                                                        <w:right w:val="none" w:sz="0" w:space="0" w:color="auto"/>
                                                      </w:divBdr>
                                                      <w:divsChild>
                                                        <w:div w:id="1338727047">
                                                          <w:marLeft w:val="0"/>
                                                          <w:marRight w:val="0"/>
                                                          <w:marTop w:val="0"/>
                                                          <w:marBottom w:val="0"/>
                                                          <w:divBdr>
                                                            <w:top w:val="none" w:sz="0" w:space="0" w:color="auto"/>
                                                            <w:left w:val="none" w:sz="0" w:space="0" w:color="auto"/>
                                                            <w:bottom w:val="none" w:sz="0" w:space="0" w:color="auto"/>
                                                            <w:right w:val="none" w:sz="0" w:space="0" w:color="auto"/>
                                                          </w:divBdr>
                                                          <w:divsChild>
                                                            <w:div w:id="197356407">
                                                              <w:marLeft w:val="0"/>
                                                              <w:marRight w:val="0"/>
                                                              <w:marTop w:val="0"/>
                                                              <w:marBottom w:val="0"/>
                                                              <w:divBdr>
                                                                <w:top w:val="none" w:sz="0" w:space="0" w:color="auto"/>
                                                                <w:left w:val="none" w:sz="0" w:space="0" w:color="auto"/>
                                                                <w:bottom w:val="none" w:sz="0" w:space="0" w:color="auto"/>
                                                                <w:right w:val="none" w:sz="0" w:space="0" w:color="auto"/>
                                                              </w:divBdr>
                                                              <w:divsChild>
                                                                <w:div w:id="480579765">
                                                                  <w:marLeft w:val="0"/>
                                                                  <w:marRight w:val="0"/>
                                                                  <w:marTop w:val="0"/>
                                                                  <w:marBottom w:val="0"/>
                                                                  <w:divBdr>
                                                                    <w:top w:val="none" w:sz="0" w:space="0" w:color="auto"/>
                                                                    <w:left w:val="none" w:sz="0" w:space="0" w:color="auto"/>
                                                                    <w:bottom w:val="none" w:sz="0" w:space="0" w:color="auto"/>
                                                                    <w:right w:val="none" w:sz="0" w:space="0" w:color="auto"/>
                                                                  </w:divBdr>
                                                                  <w:divsChild>
                                                                    <w:div w:id="6585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8510938">
      <w:bodyDiv w:val="1"/>
      <w:marLeft w:val="0"/>
      <w:marRight w:val="0"/>
      <w:marTop w:val="0"/>
      <w:marBottom w:val="0"/>
      <w:divBdr>
        <w:top w:val="none" w:sz="0" w:space="0" w:color="auto"/>
        <w:left w:val="none" w:sz="0" w:space="0" w:color="auto"/>
        <w:bottom w:val="none" w:sz="0" w:space="0" w:color="auto"/>
        <w:right w:val="none" w:sz="0" w:space="0" w:color="auto"/>
      </w:divBdr>
    </w:div>
    <w:div w:id="1046872151">
      <w:bodyDiv w:val="1"/>
      <w:marLeft w:val="0"/>
      <w:marRight w:val="0"/>
      <w:marTop w:val="0"/>
      <w:marBottom w:val="0"/>
      <w:divBdr>
        <w:top w:val="none" w:sz="0" w:space="0" w:color="auto"/>
        <w:left w:val="none" w:sz="0" w:space="0" w:color="auto"/>
        <w:bottom w:val="none" w:sz="0" w:space="0" w:color="auto"/>
        <w:right w:val="none" w:sz="0" w:space="0" w:color="auto"/>
      </w:divBdr>
      <w:divsChild>
        <w:div w:id="1581406669">
          <w:marLeft w:val="0"/>
          <w:marRight w:val="0"/>
          <w:marTop w:val="0"/>
          <w:marBottom w:val="0"/>
          <w:divBdr>
            <w:top w:val="none" w:sz="0" w:space="0" w:color="auto"/>
            <w:left w:val="none" w:sz="0" w:space="0" w:color="auto"/>
            <w:bottom w:val="none" w:sz="0" w:space="0" w:color="auto"/>
            <w:right w:val="none" w:sz="0" w:space="0" w:color="auto"/>
          </w:divBdr>
          <w:divsChild>
            <w:div w:id="1041242790">
              <w:marLeft w:val="0"/>
              <w:marRight w:val="0"/>
              <w:marTop w:val="0"/>
              <w:marBottom w:val="0"/>
              <w:divBdr>
                <w:top w:val="none" w:sz="0" w:space="0" w:color="auto"/>
                <w:left w:val="none" w:sz="0" w:space="0" w:color="auto"/>
                <w:bottom w:val="none" w:sz="0" w:space="0" w:color="auto"/>
                <w:right w:val="none" w:sz="0" w:space="0" w:color="auto"/>
              </w:divBdr>
              <w:divsChild>
                <w:div w:id="66920839">
                  <w:marLeft w:val="0"/>
                  <w:marRight w:val="0"/>
                  <w:marTop w:val="0"/>
                  <w:marBottom w:val="0"/>
                  <w:divBdr>
                    <w:top w:val="none" w:sz="0" w:space="0" w:color="auto"/>
                    <w:left w:val="none" w:sz="0" w:space="0" w:color="auto"/>
                    <w:bottom w:val="none" w:sz="0" w:space="0" w:color="auto"/>
                    <w:right w:val="none" w:sz="0" w:space="0" w:color="auto"/>
                  </w:divBdr>
                  <w:divsChild>
                    <w:div w:id="1007947210">
                      <w:marLeft w:val="0"/>
                      <w:marRight w:val="0"/>
                      <w:marTop w:val="0"/>
                      <w:marBottom w:val="0"/>
                      <w:divBdr>
                        <w:top w:val="none" w:sz="0" w:space="0" w:color="auto"/>
                        <w:left w:val="none" w:sz="0" w:space="0" w:color="auto"/>
                        <w:bottom w:val="none" w:sz="0" w:space="0" w:color="auto"/>
                        <w:right w:val="none" w:sz="0" w:space="0" w:color="auto"/>
                      </w:divBdr>
                      <w:divsChild>
                        <w:div w:id="415513943">
                          <w:marLeft w:val="0"/>
                          <w:marRight w:val="0"/>
                          <w:marTop w:val="0"/>
                          <w:marBottom w:val="0"/>
                          <w:divBdr>
                            <w:top w:val="none" w:sz="0" w:space="0" w:color="auto"/>
                            <w:left w:val="none" w:sz="0" w:space="0" w:color="auto"/>
                            <w:bottom w:val="none" w:sz="0" w:space="0" w:color="auto"/>
                            <w:right w:val="none" w:sz="0" w:space="0" w:color="auto"/>
                          </w:divBdr>
                          <w:divsChild>
                            <w:div w:id="1592158930">
                              <w:marLeft w:val="0"/>
                              <w:marRight w:val="0"/>
                              <w:marTop w:val="0"/>
                              <w:marBottom w:val="0"/>
                              <w:divBdr>
                                <w:top w:val="none" w:sz="0" w:space="0" w:color="auto"/>
                                <w:left w:val="none" w:sz="0" w:space="0" w:color="auto"/>
                                <w:bottom w:val="none" w:sz="0" w:space="0" w:color="auto"/>
                                <w:right w:val="none" w:sz="0" w:space="0" w:color="auto"/>
                              </w:divBdr>
                              <w:divsChild>
                                <w:div w:id="1038118615">
                                  <w:marLeft w:val="0"/>
                                  <w:marRight w:val="0"/>
                                  <w:marTop w:val="0"/>
                                  <w:marBottom w:val="0"/>
                                  <w:divBdr>
                                    <w:top w:val="none" w:sz="0" w:space="0" w:color="auto"/>
                                    <w:left w:val="none" w:sz="0" w:space="0" w:color="auto"/>
                                    <w:bottom w:val="none" w:sz="0" w:space="0" w:color="auto"/>
                                    <w:right w:val="none" w:sz="0" w:space="0" w:color="auto"/>
                                  </w:divBdr>
                                  <w:divsChild>
                                    <w:div w:id="1625965471">
                                      <w:marLeft w:val="0"/>
                                      <w:marRight w:val="0"/>
                                      <w:marTop w:val="0"/>
                                      <w:marBottom w:val="0"/>
                                      <w:divBdr>
                                        <w:top w:val="none" w:sz="0" w:space="0" w:color="auto"/>
                                        <w:left w:val="none" w:sz="0" w:space="0" w:color="auto"/>
                                        <w:bottom w:val="none" w:sz="0" w:space="0" w:color="auto"/>
                                        <w:right w:val="none" w:sz="0" w:space="0" w:color="auto"/>
                                      </w:divBdr>
                                      <w:divsChild>
                                        <w:div w:id="3161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438049">
      <w:bodyDiv w:val="1"/>
      <w:marLeft w:val="0"/>
      <w:marRight w:val="0"/>
      <w:marTop w:val="0"/>
      <w:marBottom w:val="0"/>
      <w:divBdr>
        <w:top w:val="none" w:sz="0" w:space="0" w:color="auto"/>
        <w:left w:val="none" w:sz="0" w:space="0" w:color="auto"/>
        <w:bottom w:val="none" w:sz="0" w:space="0" w:color="auto"/>
        <w:right w:val="none" w:sz="0" w:space="0" w:color="auto"/>
      </w:divBdr>
    </w:div>
    <w:div w:id="17791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Macro-Enabled_Document.docm"/><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Word_Macro-Enabled_Document2.docm"/><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package" Target="embeddings/Microsoft_Word_Macro-Enabled_Document4.docm"/><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Word_Macro-Enabled_Document1.docm"/><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Word_Macro-Enabled_Document3.docm"/></Relationships>
</file>

<file path=word/_rels/footnotes.xml.rels><?xml version="1.0" encoding="UTF-8" standalone="yes"?>
<Relationships xmlns="http://schemas.openxmlformats.org/package/2006/relationships"><Relationship Id="rId2" Type="http://schemas.openxmlformats.org/officeDocument/2006/relationships/hyperlink" Target="https://pdfs.semanticscholar.org/d461/95270980a87c74f5ac45e4f1bffc5282af4d.pdf?_ga=2.244334789.1101175616.1578402412-372167066.1578402412" TargetMode="External"/><Relationship Id="rId1" Type="http://schemas.openxmlformats.org/officeDocument/2006/relationships/hyperlink" Target="https://pdfs.semanticscholar.org/d461/95270980a87c74f5ac45e4f1bffc5282af4d.pdf?_ga=2.244334789.1101175616.1578402412-372167066.1578402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Pages>39</Pages>
  <Words>9666</Words>
  <Characters>55100</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Godfrey</dc:creator>
  <cp:keywords/>
  <dc:description/>
  <cp:lastModifiedBy>Nicholas Godfrey</cp:lastModifiedBy>
  <cp:revision>6</cp:revision>
  <cp:lastPrinted>2020-08-28T06:44:00Z</cp:lastPrinted>
  <dcterms:created xsi:type="dcterms:W3CDTF">2020-10-03T03:15:00Z</dcterms:created>
  <dcterms:modified xsi:type="dcterms:W3CDTF">2020-10-04T01:10:00Z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id="AJnIXoyq"/&gt;&lt;style id="http://www.zotero.org/styles/australian-guide-to-legal-citation" hasBibliography="1" bibliographyStyleHasBeenSet="1"/&gt;&lt;prefs&gt;&lt;pref name="fieldType" value="Field"/&gt;&lt;pref name</vt:lpwstr>
  </property>
  <property fmtid="{D5CDD505-2E9C-101B-9397-08002B2CF9AE}" pid="3" name="ZOTERO_PREF_2">
    <vt:lpwstr>="noteType" value="1"/&gt;&lt;/prefs&gt;&lt;/data&gt;</vt:lpwstr>
  </property>
</Properties>
</file>