
<file path=[Content_Types].xml><?xml version="1.0" encoding="utf-8"?>
<Types xmlns="http://schemas.openxmlformats.org/package/2006/content-types">
  <Default Extension="docm" ContentType="application/vnd.ms-word.documen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BCE7A" w14:textId="6447D870" w:rsidR="001C1830" w:rsidRDefault="006F2E50" w:rsidP="001C1830">
      <w:pPr>
        <w:spacing w:line="480" w:lineRule="auto"/>
        <w:jc w:val="center"/>
        <w:rPr>
          <w:rFonts w:ascii="Times New Roman" w:hAnsi="Times New Roman" w:cs="Times New Roman"/>
          <w:b/>
          <w:bCs/>
          <w:sz w:val="36"/>
          <w:szCs w:val="36"/>
        </w:rPr>
      </w:pPr>
      <w:bookmarkStart w:id="0" w:name="_Hlk54767492"/>
      <w:r>
        <w:rPr>
          <w:rFonts w:ascii="Times New Roman" w:hAnsi="Times New Roman" w:cs="Times New Roman"/>
          <w:b/>
          <w:bCs/>
          <w:sz w:val="36"/>
          <w:szCs w:val="36"/>
        </w:rPr>
        <w:t>RULES AS CODE AND THE INTERPRETATIVE ROLE OF THE JUDICIARY</w:t>
      </w:r>
    </w:p>
    <w:bookmarkEnd w:id="0"/>
    <w:p w14:paraId="6C6E774F" w14:textId="0CBF00AF" w:rsidR="001C1830" w:rsidRDefault="00C95A92" w:rsidP="001C1830">
      <w:pPr>
        <w:spacing w:line="480" w:lineRule="auto"/>
        <w:jc w:val="center"/>
        <w:rPr>
          <w:rFonts w:ascii="Times New Roman" w:hAnsi="Times New Roman" w:cs="Times New Roman"/>
          <w:sz w:val="32"/>
          <w:szCs w:val="32"/>
        </w:rPr>
      </w:pPr>
      <w:r w:rsidRPr="00B67F00">
        <w:rPr>
          <w:rFonts w:ascii="Times New Roman" w:hAnsi="Times New Roman" w:cs="Times New Roman"/>
          <w:sz w:val="36"/>
          <w:szCs w:val="36"/>
        </w:rPr>
        <w:t>N</w:t>
      </w:r>
      <w:r w:rsidRPr="00B67F00">
        <w:rPr>
          <w:rFonts w:ascii="Times New Roman" w:hAnsi="Times New Roman" w:cs="Times New Roman"/>
          <w:sz w:val="32"/>
          <w:szCs w:val="32"/>
        </w:rPr>
        <w:t xml:space="preserve">ICHOLAS </w:t>
      </w:r>
      <w:r w:rsidRPr="00B67F00">
        <w:rPr>
          <w:rFonts w:ascii="Times New Roman" w:hAnsi="Times New Roman" w:cs="Times New Roman"/>
          <w:sz w:val="36"/>
          <w:szCs w:val="36"/>
        </w:rPr>
        <w:t>G</w:t>
      </w:r>
      <w:r w:rsidRPr="00B67F00">
        <w:rPr>
          <w:rFonts w:ascii="Times New Roman" w:hAnsi="Times New Roman" w:cs="Times New Roman"/>
          <w:sz w:val="32"/>
          <w:szCs w:val="32"/>
        </w:rPr>
        <w:t>ODFREY</w:t>
      </w:r>
      <w:r w:rsidR="00C76E04">
        <w:rPr>
          <w:rFonts w:ascii="Times New Roman" w:hAnsi="Times New Roman" w:cs="Times New Roman"/>
          <w:sz w:val="32"/>
          <w:szCs w:val="32"/>
        </w:rPr>
        <w:t xml:space="preserve"> </w:t>
      </w:r>
      <w:r w:rsidR="00C76E04" w:rsidRPr="00C76E04">
        <w:rPr>
          <w:rFonts w:ascii="Times New Roman" w:hAnsi="Times New Roman" w:cs="Times New Roman"/>
          <w:sz w:val="36"/>
          <w:szCs w:val="36"/>
        </w:rPr>
        <w:t>| N9478914</w:t>
      </w:r>
    </w:p>
    <w:p w14:paraId="45080942" w14:textId="3800620C" w:rsidR="00691AE5" w:rsidRPr="00AB3E6B" w:rsidRDefault="00691AE5" w:rsidP="00691AE5">
      <w:pPr>
        <w:jc w:val="center"/>
        <w:rPr>
          <w:rFonts w:ascii="Times New Roman" w:hAnsi="Times New Roman" w:cs="Times New Roman"/>
          <w:sz w:val="32"/>
          <w:szCs w:val="32"/>
        </w:rPr>
      </w:pPr>
      <w:r>
        <w:rPr>
          <w:rFonts w:ascii="Times New Roman" w:hAnsi="Times New Roman" w:cs="Times New Roman"/>
          <w:sz w:val="28"/>
          <w:szCs w:val="28"/>
        </w:rPr>
        <w:t>A</w:t>
      </w:r>
      <w:r>
        <w:rPr>
          <w:rFonts w:ascii="Times New Roman" w:hAnsi="Times New Roman" w:cs="Times New Roman"/>
          <w:sz w:val="24"/>
          <w:szCs w:val="24"/>
        </w:rPr>
        <w:t>BSTRACT</w:t>
      </w:r>
    </w:p>
    <w:p w14:paraId="2E5D3D5D" w14:textId="5C6B5CB9" w:rsidR="00AB3E6B" w:rsidRPr="00B33D38" w:rsidRDefault="00B33D38" w:rsidP="00691AE5">
      <w:pPr>
        <w:spacing w:line="480" w:lineRule="auto"/>
        <w:jc w:val="both"/>
        <w:rPr>
          <w:rFonts w:ascii="Times New Roman" w:hAnsi="Times New Roman" w:cs="Times New Roman"/>
          <w:sz w:val="20"/>
          <w:szCs w:val="20"/>
        </w:rPr>
      </w:pPr>
      <w:r w:rsidRPr="00B33D38">
        <w:rPr>
          <w:rFonts w:ascii="Times New Roman" w:hAnsi="Times New Roman" w:cs="Times New Roman"/>
          <w:sz w:val="20"/>
          <w:szCs w:val="20"/>
        </w:rPr>
        <w:t xml:space="preserve">Interest in </w:t>
      </w:r>
      <w:r w:rsidR="000A75FC" w:rsidRPr="00B33D38">
        <w:rPr>
          <w:rFonts w:ascii="Times New Roman" w:hAnsi="Times New Roman" w:cs="Times New Roman"/>
          <w:sz w:val="20"/>
          <w:szCs w:val="20"/>
        </w:rPr>
        <w:t>Rules as Code</w:t>
      </w:r>
      <w:r w:rsidRPr="00B33D38">
        <w:rPr>
          <w:rFonts w:ascii="Times New Roman" w:hAnsi="Times New Roman" w:cs="Times New Roman"/>
          <w:sz w:val="20"/>
          <w:szCs w:val="20"/>
        </w:rPr>
        <w:t xml:space="preserve"> (“RaC”), that is, the publication of legislation in a machine-consumable form, has grown significantly in recent years as Australia looks toward greater adoption of a ‘digital government’ philosophy, but while vast literature exists showing its viability in relatively straightforward cases, little has considered the constitutional and jurisprudential issues associated with various methods development and publication beyond categorising RaC as inherently aligned with the theory of legal formalism. The present article argues that approaching RaC from a strictly formalist or non-formalist perspective is unhelpful both in considering and developing RaC applications in public contexts. This was tested through the development of an application which applies provisions of the </w:t>
      </w:r>
      <w:r w:rsidRPr="00B33D38">
        <w:rPr>
          <w:rFonts w:ascii="Times New Roman" w:hAnsi="Times New Roman" w:cs="Times New Roman"/>
          <w:i/>
          <w:iCs/>
          <w:sz w:val="20"/>
          <w:szCs w:val="20"/>
        </w:rPr>
        <w:t xml:space="preserve">National Consumer Credit Protection Act 2009 </w:t>
      </w:r>
      <w:r w:rsidRPr="00B33D38">
        <w:rPr>
          <w:rFonts w:ascii="Times New Roman" w:hAnsi="Times New Roman" w:cs="Times New Roman"/>
          <w:sz w:val="20"/>
          <w:szCs w:val="20"/>
        </w:rPr>
        <w:t>(Cth), during the process of which it was determined that neither a strict formalist or non-formalist approach could adequately represent the plain-text legislation. An alternative approach is put forward which analogises the process of developing and publishing RaC to multilingual translation, and it is argued that this approach provides more valuable and relevant lessons for lawmakers and programmers considering RaC going forward.</w:t>
      </w:r>
    </w:p>
    <w:p w14:paraId="6B9E953F" w14:textId="77777777" w:rsidR="00691AE5" w:rsidRDefault="00691AE5" w:rsidP="00691AE5">
      <w:pPr>
        <w:spacing w:line="480" w:lineRule="auto"/>
        <w:jc w:val="both"/>
        <w:rPr>
          <w:rFonts w:ascii="Times New Roman" w:hAnsi="Times New Roman" w:cs="Times New Roman"/>
          <w:sz w:val="32"/>
          <w:szCs w:val="32"/>
        </w:rPr>
      </w:pPr>
    </w:p>
    <w:p w14:paraId="67368480" w14:textId="4C613554" w:rsidR="002228A5" w:rsidRPr="00AB3E6B" w:rsidRDefault="002228A5" w:rsidP="00AB3E6B">
      <w:pPr>
        <w:jc w:val="center"/>
        <w:rPr>
          <w:rFonts w:ascii="Times New Roman" w:hAnsi="Times New Roman" w:cs="Times New Roman"/>
          <w:sz w:val="32"/>
          <w:szCs w:val="32"/>
        </w:rPr>
      </w:pPr>
      <w:bookmarkStart w:id="1" w:name="_Hlk49697676"/>
      <w:r w:rsidRPr="00B67F00">
        <w:rPr>
          <w:rFonts w:ascii="Times New Roman" w:hAnsi="Times New Roman" w:cs="Times New Roman"/>
          <w:sz w:val="28"/>
          <w:szCs w:val="28"/>
        </w:rPr>
        <w:t>I</w:t>
      </w:r>
      <w:r w:rsidRPr="00B67F00">
        <w:rPr>
          <w:rFonts w:ascii="Times New Roman" w:hAnsi="Times New Roman" w:cs="Times New Roman"/>
          <w:sz w:val="28"/>
          <w:szCs w:val="28"/>
        </w:rPr>
        <w:tab/>
      </w:r>
      <w:r w:rsidR="007B26C3">
        <w:rPr>
          <w:rFonts w:ascii="Times New Roman" w:hAnsi="Times New Roman" w:cs="Times New Roman"/>
          <w:sz w:val="28"/>
          <w:szCs w:val="28"/>
        </w:rPr>
        <w:t>I</w:t>
      </w:r>
      <w:r w:rsidR="007B26C3">
        <w:rPr>
          <w:rFonts w:ascii="Times New Roman" w:hAnsi="Times New Roman" w:cs="Times New Roman"/>
          <w:sz w:val="24"/>
          <w:szCs w:val="24"/>
        </w:rPr>
        <w:t>NTRODUCTION</w:t>
      </w:r>
    </w:p>
    <w:bookmarkEnd w:id="1"/>
    <w:p w14:paraId="565BF945" w14:textId="667B8C04" w:rsidR="0028251D" w:rsidRDefault="00255421" w:rsidP="007B26C3">
      <w:pPr>
        <w:spacing w:line="480" w:lineRule="auto"/>
        <w:jc w:val="both"/>
        <w:rPr>
          <w:rFonts w:ascii="Times New Roman" w:hAnsi="Times New Roman" w:cs="Times New Roman"/>
        </w:rPr>
      </w:pPr>
      <w:r>
        <w:rPr>
          <w:rFonts w:ascii="Times New Roman" w:hAnsi="Times New Roman" w:cs="Times New Roman"/>
        </w:rPr>
        <w:t xml:space="preserve">This </w:t>
      </w:r>
      <w:r w:rsidR="0045475E">
        <w:rPr>
          <w:rFonts w:ascii="Times New Roman" w:hAnsi="Times New Roman" w:cs="Times New Roman"/>
        </w:rPr>
        <w:t>article</w:t>
      </w:r>
      <w:r>
        <w:rPr>
          <w:rFonts w:ascii="Times New Roman" w:hAnsi="Times New Roman" w:cs="Times New Roman"/>
        </w:rPr>
        <w:t xml:space="preserve"> seeks to explore</w:t>
      </w:r>
      <w:r w:rsidR="00D831EB">
        <w:rPr>
          <w:rFonts w:ascii="Times New Roman" w:hAnsi="Times New Roman" w:cs="Times New Roman"/>
        </w:rPr>
        <w:t xml:space="preserve"> how Rules as Code</w:t>
      </w:r>
      <w:r w:rsidR="00EE31CD">
        <w:rPr>
          <w:rFonts w:ascii="Times New Roman" w:hAnsi="Times New Roman" w:cs="Times New Roman"/>
        </w:rPr>
        <w:t xml:space="preserve"> (</w:t>
      </w:r>
      <w:r w:rsidR="00F53D7E">
        <w:rPr>
          <w:rFonts w:ascii="Times New Roman" w:hAnsi="Times New Roman" w:cs="Times New Roman"/>
        </w:rPr>
        <w:t>“</w:t>
      </w:r>
      <w:r w:rsidR="00EE31CD">
        <w:rPr>
          <w:rFonts w:ascii="Times New Roman" w:hAnsi="Times New Roman" w:cs="Times New Roman"/>
        </w:rPr>
        <w:t>RaC</w:t>
      </w:r>
      <w:r w:rsidR="00F53D7E">
        <w:rPr>
          <w:rFonts w:ascii="Times New Roman" w:hAnsi="Times New Roman" w:cs="Times New Roman"/>
        </w:rPr>
        <w:t>”</w:t>
      </w:r>
      <w:r w:rsidR="00EE31CD">
        <w:rPr>
          <w:rFonts w:ascii="Times New Roman" w:hAnsi="Times New Roman" w:cs="Times New Roman"/>
        </w:rPr>
        <w:t>)</w:t>
      </w:r>
      <w:r w:rsidR="00D831EB">
        <w:rPr>
          <w:rFonts w:ascii="Times New Roman" w:hAnsi="Times New Roman" w:cs="Times New Roman"/>
        </w:rPr>
        <w:t xml:space="preserve"> </w:t>
      </w:r>
      <w:r w:rsidR="00DB0A2E">
        <w:rPr>
          <w:rFonts w:ascii="Times New Roman" w:hAnsi="Times New Roman" w:cs="Times New Roman"/>
        </w:rPr>
        <w:t>might operate within Australia</w:t>
      </w:r>
      <w:r w:rsidR="00CC6104">
        <w:rPr>
          <w:rFonts w:ascii="Times New Roman" w:hAnsi="Times New Roman" w:cs="Times New Roman"/>
        </w:rPr>
        <w:t xml:space="preserve"> in a way which is compatible with the </w:t>
      </w:r>
      <w:r w:rsidR="009A692B">
        <w:rPr>
          <w:rFonts w:ascii="Times New Roman" w:hAnsi="Times New Roman" w:cs="Times New Roman"/>
        </w:rPr>
        <w:t>interpretative role of the judiciary</w:t>
      </w:r>
      <w:r w:rsidR="00CC6104">
        <w:rPr>
          <w:rFonts w:ascii="Times New Roman" w:hAnsi="Times New Roman" w:cs="Times New Roman"/>
        </w:rPr>
        <w:t xml:space="preserve">. In recent years, efforts </w:t>
      </w:r>
      <w:r w:rsidR="00C16CDC">
        <w:rPr>
          <w:rFonts w:ascii="Times New Roman" w:hAnsi="Times New Roman" w:cs="Times New Roman"/>
        </w:rPr>
        <w:t xml:space="preserve">to move further toward </w:t>
      </w:r>
      <w:r w:rsidR="00B851B8">
        <w:rPr>
          <w:rFonts w:ascii="Times New Roman" w:hAnsi="Times New Roman" w:cs="Times New Roman"/>
        </w:rPr>
        <w:t>digital government in the form of machine-consumable legislation</w:t>
      </w:r>
      <w:r w:rsidR="00C16CDC" w:rsidRPr="00DD0131">
        <w:rPr>
          <w:rStyle w:val="FootnoteReference"/>
        </w:rPr>
        <w:footnoteReference w:id="1"/>
      </w:r>
      <w:r w:rsidR="00CC6104">
        <w:rPr>
          <w:rFonts w:ascii="Times New Roman" w:hAnsi="Times New Roman" w:cs="Times New Roman"/>
        </w:rPr>
        <w:t xml:space="preserve"> have increased globally, </w:t>
      </w:r>
      <w:r w:rsidR="00EE31CD">
        <w:rPr>
          <w:rFonts w:ascii="Times New Roman" w:hAnsi="Times New Roman" w:cs="Times New Roman"/>
        </w:rPr>
        <w:t xml:space="preserve">though little response has been offered to sceptics </w:t>
      </w:r>
      <w:r w:rsidR="0086462C">
        <w:rPr>
          <w:rFonts w:ascii="Times New Roman" w:hAnsi="Times New Roman" w:cs="Times New Roman"/>
        </w:rPr>
        <w:t>wary</w:t>
      </w:r>
      <w:r w:rsidR="00EE31CD">
        <w:rPr>
          <w:rFonts w:ascii="Times New Roman" w:hAnsi="Times New Roman" w:cs="Times New Roman"/>
        </w:rPr>
        <w:t xml:space="preserve"> of how RaC might impact upon </w:t>
      </w:r>
      <w:r w:rsidR="006C23DF">
        <w:rPr>
          <w:rFonts w:ascii="Times New Roman" w:hAnsi="Times New Roman" w:cs="Times New Roman"/>
        </w:rPr>
        <w:t>the constitutional powers of the judiciary</w:t>
      </w:r>
      <w:r w:rsidR="00C16CDC">
        <w:rPr>
          <w:rFonts w:ascii="Times New Roman" w:hAnsi="Times New Roman" w:cs="Times New Roman"/>
        </w:rPr>
        <w:t xml:space="preserve">. </w:t>
      </w:r>
      <w:r w:rsidR="006F2E50">
        <w:rPr>
          <w:rFonts w:ascii="Times New Roman" w:hAnsi="Times New Roman" w:cs="Times New Roman"/>
        </w:rPr>
        <w:t>This</w:t>
      </w:r>
      <w:r w:rsidR="00C16CDC">
        <w:rPr>
          <w:rFonts w:ascii="Times New Roman" w:hAnsi="Times New Roman" w:cs="Times New Roman"/>
        </w:rPr>
        <w:t xml:space="preserve"> </w:t>
      </w:r>
      <w:r w:rsidR="0045475E">
        <w:rPr>
          <w:rFonts w:ascii="Times New Roman" w:hAnsi="Times New Roman" w:cs="Times New Roman"/>
        </w:rPr>
        <w:t>article</w:t>
      </w:r>
      <w:r w:rsidR="00C16CDC">
        <w:rPr>
          <w:rFonts w:ascii="Times New Roman" w:hAnsi="Times New Roman" w:cs="Times New Roman"/>
        </w:rPr>
        <w:t xml:space="preserve"> </w:t>
      </w:r>
      <w:r w:rsidR="0045475E">
        <w:rPr>
          <w:rFonts w:ascii="Times New Roman" w:hAnsi="Times New Roman" w:cs="Times New Roman"/>
        </w:rPr>
        <w:t>investigates</w:t>
      </w:r>
      <w:r w:rsidR="00C16CDC">
        <w:rPr>
          <w:rFonts w:ascii="Times New Roman" w:hAnsi="Times New Roman" w:cs="Times New Roman"/>
        </w:rPr>
        <w:t xml:space="preserve"> how RaC might inadvertently</w:t>
      </w:r>
      <w:r w:rsidR="0067689F">
        <w:rPr>
          <w:rFonts w:ascii="Times New Roman" w:hAnsi="Times New Roman" w:cs="Times New Roman"/>
        </w:rPr>
        <w:t xml:space="preserve"> and harmfully</w:t>
      </w:r>
      <w:r w:rsidR="00C16CDC">
        <w:rPr>
          <w:rFonts w:ascii="Times New Roman" w:hAnsi="Times New Roman" w:cs="Times New Roman"/>
        </w:rPr>
        <w:t xml:space="preserve"> extend</w:t>
      </w:r>
      <w:r w:rsidR="00FE2AC1">
        <w:rPr>
          <w:rFonts w:ascii="Times New Roman" w:hAnsi="Times New Roman" w:cs="Times New Roman"/>
        </w:rPr>
        <w:t xml:space="preserve"> </w:t>
      </w:r>
      <w:r w:rsidR="00FE2AC1">
        <w:rPr>
          <w:rFonts w:ascii="Times New Roman" w:hAnsi="Times New Roman" w:cs="Times New Roman"/>
        </w:rPr>
        <w:lastRenderedPageBreak/>
        <w:t xml:space="preserve">the judicial power of interpretation to programmers and </w:t>
      </w:r>
      <w:r w:rsidR="00C16CDC">
        <w:rPr>
          <w:rFonts w:ascii="Times New Roman" w:hAnsi="Times New Roman" w:cs="Times New Roman"/>
        </w:rPr>
        <w:t>discourage</w:t>
      </w:r>
      <w:r w:rsidR="009C19A0">
        <w:rPr>
          <w:rFonts w:ascii="Times New Roman" w:hAnsi="Times New Roman" w:cs="Times New Roman"/>
        </w:rPr>
        <w:t xml:space="preserve"> the drafting of discretionary clauses</w:t>
      </w:r>
      <w:r w:rsidR="00FE2AC1">
        <w:rPr>
          <w:rFonts w:ascii="Times New Roman" w:hAnsi="Times New Roman" w:cs="Times New Roman"/>
        </w:rPr>
        <w:t xml:space="preserve"> in order to accommodate digital conversion.</w:t>
      </w:r>
      <w:r w:rsidR="00566602">
        <w:rPr>
          <w:rFonts w:ascii="Times New Roman" w:hAnsi="Times New Roman" w:cs="Times New Roman"/>
        </w:rPr>
        <w:t xml:space="preserve"> It argues that approaching </w:t>
      </w:r>
      <w:r w:rsidR="00180D2D">
        <w:rPr>
          <w:rFonts w:ascii="Times New Roman" w:hAnsi="Times New Roman" w:cs="Times New Roman"/>
        </w:rPr>
        <w:t>RaC</w:t>
      </w:r>
      <w:r w:rsidR="00566602">
        <w:rPr>
          <w:rFonts w:ascii="Times New Roman" w:hAnsi="Times New Roman" w:cs="Times New Roman"/>
        </w:rPr>
        <w:t xml:space="preserve"> from a strictly legal formalist or non-formalist perspective is ineffective.</w:t>
      </w:r>
      <w:r w:rsidR="00FE2AC1">
        <w:rPr>
          <w:rFonts w:ascii="Times New Roman" w:hAnsi="Times New Roman" w:cs="Times New Roman"/>
        </w:rPr>
        <w:t xml:space="preserve"> </w:t>
      </w:r>
      <w:r w:rsidR="006F2E50">
        <w:rPr>
          <w:rFonts w:ascii="Times New Roman" w:hAnsi="Times New Roman" w:cs="Times New Roman"/>
        </w:rPr>
        <w:t>To this end, methods of encoding ambiguous clauses in</w:t>
      </w:r>
      <w:r w:rsidR="00563814">
        <w:rPr>
          <w:rFonts w:ascii="Times New Roman" w:hAnsi="Times New Roman" w:cs="Times New Roman"/>
        </w:rPr>
        <w:t xml:space="preserve"> </w:t>
      </w:r>
      <w:r w:rsidR="00F926D3">
        <w:rPr>
          <w:rFonts w:ascii="Times New Roman" w:hAnsi="Times New Roman" w:cs="Times New Roman"/>
        </w:rPr>
        <w:t xml:space="preserve">Chapter </w:t>
      </w:r>
      <w:r w:rsidR="00CA673A">
        <w:rPr>
          <w:rFonts w:ascii="Times New Roman" w:hAnsi="Times New Roman" w:cs="Times New Roman"/>
        </w:rPr>
        <w:t>III</w:t>
      </w:r>
      <w:r w:rsidR="00F926D3">
        <w:rPr>
          <w:rFonts w:ascii="Times New Roman" w:hAnsi="Times New Roman" w:cs="Times New Roman"/>
        </w:rPr>
        <w:t xml:space="preserve"> of the </w:t>
      </w:r>
      <w:r w:rsidR="00563814">
        <w:rPr>
          <w:rFonts w:ascii="Times New Roman" w:hAnsi="Times New Roman" w:cs="Times New Roman"/>
          <w:i/>
          <w:iCs/>
        </w:rPr>
        <w:t>National Consumer Credit Protection Act</w:t>
      </w:r>
      <w:r w:rsidR="003330D5">
        <w:rPr>
          <w:rFonts w:ascii="Times New Roman" w:hAnsi="Times New Roman" w:cs="Times New Roman"/>
          <w:i/>
          <w:iCs/>
        </w:rPr>
        <w:t xml:space="preserve"> </w:t>
      </w:r>
      <w:r w:rsidR="003330D5">
        <w:rPr>
          <w:rFonts w:ascii="Times New Roman" w:hAnsi="Times New Roman" w:cs="Times New Roman"/>
        </w:rPr>
        <w:t>(“</w:t>
      </w:r>
      <w:r w:rsidR="003330D5">
        <w:rPr>
          <w:rFonts w:ascii="Times New Roman" w:hAnsi="Times New Roman" w:cs="Times New Roman"/>
          <w:i/>
          <w:iCs/>
        </w:rPr>
        <w:t>National Credit Act”</w:t>
      </w:r>
      <w:r w:rsidR="003330D5">
        <w:rPr>
          <w:rFonts w:ascii="Times New Roman" w:hAnsi="Times New Roman" w:cs="Times New Roman"/>
        </w:rPr>
        <w:t>)</w:t>
      </w:r>
      <w:r w:rsidR="00EB65D2" w:rsidRPr="00DD0131">
        <w:rPr>
          <w:rStyle w:val="FootnoteReference"/>
        </w:rPr>
        <w:footnoteReference w:id="2"/>
      </w:r>
      <w:r w:rsidR="006F2E50">
        <w:rPr>
          <w:rFonts w:ascii="Times New Roman" w:hAnsi="Times New Roman" w:cs="Times New Roman"/>
        </w:rPr>
        <w:t xml:space="preserve"> </w:t>
      </w:r>
      <w:r w:rsidR="00691AE5">
        <w:rPr>
          <w:rFonts w:ascii="Times New Roman" w:hAnsi="Times New Roman" w:cs="Times New Roman"/>
        </w:rPr>
        <w:t>are</w:t>
      </w:r>
      <w:r w:rsidR="006F2E50">
        <w:rPr>
          <w:rFonts w:ascii="Times New Roman" w:hAnsi="Times New Roman" w:cs="Times New Roman"/>
        </w:rPr>
        <w:t xml:space="preserve"> tested and evaluated</w:t>
      </w:r>
      <w:r w:rsidR="0045475E">
        <w:rPr>
          <w:rFonts w:ascii="Times New Roman" w:hAnsi="Times New Roman" w:cs="Times New Roman"/>
        </w:rPr>
        <w:t xml:space="preserve"> with particular focus on the variations between formalist and non-formalist interpretative approaches</w:t>
      </w:r>
      <w:r w:rsidR="006F2E50">
        <w:rPr>
          <w:rFonts w:ascii="Times New Roman" w:hAnsi="Times New Roman" w:cs="Times New Roman"/>
        </w:rPr>
        <w:t>.</w:t>
      </w:r>
      <w:r w:rsidR="0028251D">
        <w:rPr>
          <w:rFonts w:ascii="Times New Roman" w:hAnsi="Times New Roman" w:cs="Times New Roman"/>
          <w:i/>
          <w:iCs/>
        </w:rPr>
        <w:t xml:space="preserve"> </w:t>
      </w:r>
      <w:r w:rsidR="00FF395A">
        <w:rPr>
          <w:rFonts w:ascii="Times New Roman" w:hAnsi="Times New Roman" w:cs="Times New Roman"/>
        </w:rPr>
        <w:t xml:space="preserve">Section II offers a broad overview of the </w:t>
      </w:r>
      <w:r w:rsidR="0045475E">
        <w:rPr>
          <w:rFonts w:ascii="Times New Roman" w:hAnsi="Times New Roman" w:cs="Times New Roman"/>
        </w:rPr>
        <w:t>topic</w:t>
      </w:r>
      <w:r w:rsidR="00FF395A">
        <w:rPr>
          <w:rFonts w:ascii="Times New Roman" w:hAnsi="Times New Roman" w:cs="Times New Roman"/>
        </w:rPr>
        <w:t>, acknowledging relevant literatures</w:t>
      </w:r>
      <w:r w:rsidR="0045475E">
        <w:rPr>
          <w:rFonts w:ascii="Times New Roman" w:hAnsi="Times New Roman" w:cs="Times New Roman"/>
        </w:rPr>
        <w:t>, while Section III outlines the methodologies attempted</w:t>
      </w:r>
      <w:r w:rsidR="00FF395A">
        <w:rPr>
          <w:rFonts w:ascii="Times New Roman" w:hAnsi="Times New Roman" w:cs="Times New Roman"/>
        </w:rPr>
        <w:t>. Section IV</w:t>
      </w:r>
      <w:r w:rsidR="0045475E">
        <w:rPr>
          <w:rFonts w:ascii="Times New Roman" w:hAnsi="Times New Roman" w:cs="Times New Roman"/>
        </w:rPr>
        <w:t xml:space="preserve"> summarises and evaluates the project’s findings </w:t>
      </w:r>
      <w:r w:rsidR="00566602">
        <w:rPr>
          <w:rFonts w:ascii="Times New Roman" w:hAnsi="Times New Roman" w:cs="Times New Roman"/>
        </w:rPr>
        <w:t>throughout the development of</w:t>
      </w:r>
      <w:r w:rsidR="0045475E">
        <w:rPr>
          <w:rFonts w:ascii="Times New Roman" w:hAnsi="Times New Roman" w:cs="Times New Roman"/>
        </w:rPr>
        <w:t xml:space="preserve"> </w:t>
      </w:r>
      <w:r w:rsidR="00BA7082">
        <w:rPr>
          <w:rFonts w:ascii="Times New Roman" w:hAnsi="Times New Roman" w:cs="Times New Roman"/>
        </w:rPr>
        <w:t>resultant application</w:t>
      </w:r>
      <w:r w:rsidR="00BA7082" w:rsidRPr="00DD0131">
        <w:rPr>
          <w:rStyle w:val="FootnoteReference"/>
        </w:rPr>
        <w:footnoteReference w:id="3"/>
      </w:r>
      <w:r w:rsidR="00566602">
        <w:rPr>
          <w:rFonts w:ascii="Times New Roman" w:hAnsi="Times New Roman" w:cs="Times New Roman"/>
        </w:rPr>
        <w:t xml:space="preserve"> and shows that reducing RaC to a strictly formalist or non-formalist tool is not possible</w:t>
      </w:r>
      <w:r w:rsidR="0045475E">
        <w:rPr>
          <w:rFonts w:ascii="Times New Roman" w:hAnsi="Times New Roman" w:cs="Times New Roman"/>
        </w:rPr>
        <w:t>.</w:t>
      </w:r>
      <w:r w:rsidR="00FF395A">
        <w:rPr>
          <w:rFonts w:ascii="Times New Roman" w:hAnsi="Times New Roman" w:cs="Times New Roman"/>
        </w:rPr>
        <w:t xml:space="preserve"> </w:t>
      </w:r>
      <w:r w:rsidR="0045475E">
        <w:rPr>
          <w:rFonts w:ascii="Times New Roman" w:hAnsi="Times New Roman" w:cs="Times New Roman"/>
        </w:rPr>
        <w:t xml:space="preserve">Section V posits that, in light of the project’s findings, alternative approaches might be better suited than that of the formalist vs non-formalist </w:t>
      </w:r>
      <w:r w:rsidR="00691AE5">
        <w:rPr>
          <w:rFonts w:ascii="Times New Roman" w:hAnsi="Times New Roman" w:cs="Times New Roman"/>
        </w:rPr>
        <w:t>debate</w:t>
      </w:r>
      <w:r w:rsidR="0045475E">
        <w:rPr>
          <w:rFonts w:ascii="Times New Roman" w:hAnsi="Times New Roman" w:cs="Times New Roman"/>
        </w:rPr>
        <w:t xml:space="preserve"> initially </w:t>
      </w:r>
      <w:r w:rsidR="00691AE5">
        <w:rPr>
          <w:rFonts w:ascii="Times New Roman" w:hAnsi="Times New Roman" w:cs="Times New Roman"/>
        </w:rPr>
        <w:t>discussed</w:t>
      </w:r>
      <w:r w:rsidR="0045475E">
        <w:rPr>
          <w:rFonts w:ascii="Times New Roman" w:hAnsi="Times New Roman" w:cs="Times New Roman"/>
        </w:rPr>
        <w:t>, focussing in particular on the lessons RaC advocates might learn from the legislative drafting process seen in multilingual jurisdictions.</w:t>
      </w:r>
      <w:r w:rsidR="00FF395A">
        <w:rPr>
          <w:rFonts w:ascii="Times New Roman" w:hAnsi="Times New Roman" w:cs="Times New Roman"/>
        </w:rPr>
        <w:t xml:space="preserve"> </w:t>
      </w:r>
      <w:r w:rsidR="00EE206D">
        <w:rPr>
          <w:rFonts w:ascii="Times New Roman" w:hAnsi="Times New Roman" w:cs="Times New Roman"/>
        </w:rPr>
        <w:t xml:space="preserve">Ultimately, </w:t>
      </w:r>
      <w:r w:rsidR="0045475E">
        <w:rPr>
          <w:rFonts w:ascii="Times New Roman" w:hAnsi="Times New Roman" w:cs="Times New Roman"/>
        </w:rPr>
        <w:t>this article seeks to address the question:</w:t>
      </w:r>
      <w:r w:rsidR="00EE206D">
        <w:rPr>
          <w:rFonts w:ascii="Times New Roman" w:hAnsi="Times New Roman" w:cs="Times New Roman"/>
        </w:rPr>
        <w:t xml:space="preserve"> </w:t>
      </w:r>
      <w:r w:rsidR="0028251D">
        <w:rPr>
          <w:rFonts w:ascii="Times New Roman" w:hAnsi="Times New Roman" w:cs="Times New Roman"/>
        </w:rPr>
        <w:t>i</w:t>
      </w:r>
      <w:r w:rsidR="0028251D" w:rsidRPr="00B67F00">
        <w:rPr>
          <w:rFonts w:ascii="Times New Roman" w:hAnsi="Times New Roman" w:cs="Times New Roman"/>
        </w:rPr>
        <w:t xml:space="preserve">s there a method with which to code ambiguous </w:t>
      </w:r>
      <w:r w:rsidR="0028251D">
        <w:rPr>
          <w:rFonts w:ascii="Times New Roman" w:hAnsi="Times New Roman" w:cs="Times New Roman"/>
        </w:rPr>
        <w:t xml:space="preserve">legal </w:t>
      </w:r>
      <w:r w:rsidR="0028251D" w:rsidRPr="00B67F00">
        <w:rPr>
          <w:rFonts w:ascii="Times New Roman" w:hAnsi="Times New Roman" w:cs="Times New Roman"/>
        </w:rPr>
        <w:t>terms in a way which respects th</w:t>
      </w:r>
      <w:r w:rsidR="000F2397">
        <w:rPr>
          <w:rFonts w:ascii="Times New Roman" w:hAnsi="Times New Roman" w:cs="Times New Roman"/>
        </w:rPr>
        <w:t>e</w:t>
      </w:r>
      <w:r w:rsidR="0028251D" w:rsidRPr="00B67F00">
        <w:rPr>
          <w:rFonts w:ascii="Times New Roman" w:hAnsi="Times New Roman" w:cs="Times New Roman"/>
        </w:rPr>
        <w:t xml:space="preserve"> </w:t>
      </w:r>
      <w:r w:rsidR="00AA551E">
        <w:rPr>
          <w:rFonts w:ascii="Times New Roman" w:hAnsi="Times New Roman" w:cs="Times New Roman"/>
        </w:rPr>
        <w:t>interpretative role of the</w:t>
      </w:r>
      <w:r w:rsidR="00B71580">
        <w:rPr>
          <w:rFonts w:ascii="Times New Roman" w:hAnsi="Times New Roman" w:cs="Times New Roman"/>
        </w:rPr>
        <w:t xml:space="preserve"> </w:t>
      </w:r>
      <w:r w:rsidR="000F2397">
        <w:rPr>
          <w:rFonts w:ascii="Times New Roman" w:hAnsi="Times New Roman" w:cs="Times New Roman"/>
        </w:rPr>
        <w:t>judiciary</w:t>
      </w:r>
      <w:r w:rsidR="0028251D" w:rsidRPr="00B67F00">
        <w:rPr>
          <w:rFonts w:ascii="Times New Roman" w:hAnsi="Times New Roman" w:cs="Times New Roman"/>
        </w:rPr>
        <w:t>?</w:t>
      </w:r>
    </w:p>
    <w:p w14:paraId="3BE64E74" w14:textId="77777777" w:rsidR="0015501B" w:rsidRPr="00B67F00" w:rsidRDefault="0015501B" w:rsidP="0028251D">
      <w:pPr>
        <w:spacing w:line="480" w:lineRule="auto"/>
        <w:rPr>
          <w:rFonts w:ascii="Times New Roman" w:hAnsi="Times New Roman" w:cs="Times New Roman"/>
        </w:rPr>
      </w:pPr>
    </w:p>
    <w:p w14:paraId="2FB0ED38" w14:textId="72912C00" w:rsidR="00D73D79" w:rsidRPr="00F9088F" w:rsidRDefault="002228A5" w:rsidP="00F9088F">
      <w:pPr>
        <w:spacing w:line="480" w:lineRule="auto"/>
        <w:jc w:val="center"/>
        <w:rPr>
          <w:rFonts w:ascii="Times New Roman" w:hAnsi="Times New Roman" w:cs="Times New Roman"/>
          <w:sz w:val="24"/>
          <w:szCs w:val="24"/>
        </w:rPr>
      </w:pPr>
      <w:r w:rsidRPr="00B67F00">
        <w:rPr>
          <w:rFonts w:ascii="Times New Roman" w:hAnsi="Times New Roman" w:cs="Times New Roman"/>
          <w:sz w:val="28"/>
          <w:szCs w:val="28"/>
        </w:rPr>
        <w:t>II</w:t>
      </w:r>
      <w:r w:rsidRPr="00B67F00">
        <w:rPr>
          <w:rFonts w:ascii="Times New Roman" w:hAnsi="Times New Roman" w:cs="Times New Roman"/>
          <w:sz w:val="28"/>
          <w:szCs w:val="28"/>
        </w:rPr>
        <w:tab/>
      </w:r>
      <w:r w:rsidR="00AD2743">
        <w:rPr>
          <w:rFonts w:ascii="Times New Roman" w:hAnsi="Times New Roman" w:cs="Times New Roman"/>
          <w:sz w:val="28"/>
          <w:szCs w:val="28"/>
        </w:rPr>
        <w:t>L</w:t>
      </w:r>
      <w:r w:rsidR="00AD2743">
        <w:rPr>
          <w:rFonts w:ascii="Times New Roman" w:hAnsi="Times New Roman" w:cs="Times New Roman"/>
          <w:sz w:val="24"/>
          <w:szCs w:val="24"/>
        </w:rPr>
        <w:t xml:space="preserve">ITERATURE </w:t>
      </w:r>
      <w:r w:rsidR="00AD2743" w:rsidRPr="00AD2743">
        <w:rPr>
          <w:rFonts w:ascii="Times New Roman" w:hAnsi="Times New Roman" w:cs="Times New Roman"/>
          <w:sz w:val="28"/>
          <w:szCs w:val="28"/>
        </w:rPr>
        <w:t>R</w:t>
      </w:r>
      <w:r w:rsidR="00AD2743">
        <w:rPr>
          <w:rFonts w:ascii="Times New Roman" w:hAnsi="Times New Roman" w:cs="Times New Roman"/>
          <w:sz w:val="24"/>
          <w:szCs w:val="24"/>
        </w:rPr>
        <w:t>EVIEW</w:t>
      </w:r>
    </w:p>
    <w:p w14:paraId="1FD12944" w14:textId="2DC536C1" w:rsidR="00AA551E" w:rsidRDefault="00566602" w:rsidP="007B26C3">
      <w:pPr>
        <w:spacing w:line="480" w:lineRule="auto"/>
        <w:jc w:val="both"/>
        <w:rPr>
          <w:rFonts w:ascii="Times New Roman" w:hAnsi="Times New Roman" w:cs="Times New Roman"/>
        </w:rPr>
      </w:pPr>
      <w:r>
        <w:rPr>
          <w:rFonts w:ascii="Times New Roman" w:hAnsi="Times New Roman" w:cs="Times New Roman"/>
        </w:rPr>
        <w:t>This section argues that</w:t>
      </w:r>
      <w:r w:rsidR="00127F2F">
        <w:rPr>
          <w:rFonts w:ascii="Times New Roman" w:hAnsi="Times New Roman" w:cs="Times New Roman"/>
        </w:rPr>
        <w:t xml:space="preserve"> while the relevant literatures show that the development and publication of RaC is a necessary evolution in light of the financial and legal pitfalls of individual commercial solutions, there are jurisprudential and constitutional issues surrounding its potential implementation in public contexts. </w:t>
      </w:r>
      <w:r w:rsidR="00AA551E">
        <w:rPr>
          <w:rFonts w:ascii="Times New Roman" w:hAnsi="Times New Roman" w:cs="Times New Roman"/>
        </w:rPr>
        <w:t>Subsection A explores how current and historical endeavours within the field of computational law have grown and provided valuable lessons for a future implementation of RaC. Subsection B considers one of</w:t>
      </w:r>
      <w:r w:rsidR="005523B9">
        <w:rPr>
          <w:rFonts w:ascii="Times New Roman" w:hAnsi="Times New Roman" w:cs="Times New Roman"/>
        </w:rPr>
        <w:t xml:space="preserve"> the</w:t>
      </w:r>
      <w:r w:rsidR="00AA551E">
        <w:rPr>
          <w:rFonts w:ascii="Times New Roman" w:hAnsi="Times New Roman" w:cs="Times New Roman"/>
        </w:rPr>
        <w:t xml:space="preserve"> key concerns arising from RaC with regard to the interpretative nature of the judiciary, this being the inherence of algorithms to align with </w:t>
      </w:r>
      <w:r w:rsidR="00C0378E">
        <w:rPr>
          <w:rFonts w:ascii="Times New Roman" w:hAnsi="Times New Roman" w:cs="Times New Roman"/>
        </w:rPr>
        <w:t>legal formalism</w:t>
      </w:r>
      <w:r w:rsidR="00AA551E">
        <w:rPr>
          <w:rFonts w:ascii="Times New Roman" w:hAnsi="Times New Roman" w:cs="Times New Roman"/>
        </w:rPr>
        <w:t xml:space="preserve">. Finally, Subsection C considers the act of interpreting and converting legislation to code with regards to the separation of </w:t>
      </w:r>
      <w:r w:rsidR="00AA551E">
        <w:rPr>
          <w:rFonts w:ascii="Times New Roman" w:hAnsi="Times New Roman" w:cs="Times New Roman"/>
        </w:rPr>
        <w:lastRenderedPageBreak/>
        <w:t>powers, drawing analogies to multilingual legislation</w:t>
      </w:r>
      <w:r w:rsidR="00AA551E" w:rsidRPr="00AF1FAB">
        <w:rPr>
          <w:rFonts w:ascii="Times New Roman" w:hAnsi="Times New Roman" w:cs="Times New Roman"/>
        </w:rPr>
        <w:t>.</w:t>
      </w:r>
      <w:r w:rsidR="00157A03" w:rsidRPr="00AF1FAB">
        <w:rPr>
          <w:rFonts w:ascii="Times New Roman" w:hAnsi="Times New Roman" w:cs="Times New Roman"/>
        </w:rPr>
        <w:t xml:space="preserve"> For these purposes, and for the remainder of the paper, it is acknowledged that while in practice, Australia does not fully adhere to a complete separation of powers, the generally adopted position among the relevant literature is one which considers this separation in full, and thus, it is with this</w:t>
      </w:r>
      <w:r w:rsidR="007A03CB" w:rsidRPr="00AF1FAB">
        <w:rPr>
          <w:rFonts w:ascii="Times New Roman" w:hAnsi="Times New Roman" w:cs="Times New Roman"/>
        </w:rPr>
        <w:t xml:space="preserve"> broader</w:t>
      </w:r>
      <w:r w:rsidR="00157A03" w:rsidRPr="00AF1FAB">
        <w:rPr>
          <w:rFonts w:ascii="Times New Roman" w:hAnsi="Times New Roman" w:cs="Times New Roman"/>
        </w:rPr>
        <w:t xml:space="preserve"> theoretical separation that this article</w:t>
      </w:r>
      <w:r w:rsidR="007A03CB" w:rsidRPr="00AF1FAB">
        <w:rPr>
          <w:rFonts w:ascii="Times New Roman" w:hAnsi="Times New Roman" w:cs="Times New Roman"/>
        </w:rPr>
        <w:t xml:space="preserve"> generally</w:t>
      </w:r>
      <w:r w:rsidR="00157A03" w:rsidRPr="00AF1FAB">
        <w:rPr>
          <w:rFonts w:ascii="Times New Roman" w:hAnsi="Times New Roman" w:cs="Times New Roman"/>
        </w:rPr>
        <w:t xml:space="preserve"> concerns itself.</w:t>
      </w:r>
      <w:r w:rsidR="00157A03">
        <w:rPr>
          <w:rFonts w:ascii="Times New Roman" w:hAnsi="Times New Roman" w:cs="Times New Roman"/>
        </w:rPr>
        <w:t xml:space="preserve"> </w:t>
      </w:r>
    </w:p>
    <w:p w14:paraId="729D972B" w14:textId="77777777" w:rsidR="00AD2743" w:rsidRDefault="00AD2743" w:rsidP="007B26C3">
      <w:pPr>
        <w:spacing w:line="480" w:lineRule="auto"/>
        <w:jc w:val="both"/>
        <w:rPr>
          <w:rFonts w:ascii="Times New Roman" w:hAnsi="Times New Roman" w:cs="Times New Roman"/>
        </w:rPr>
      </w:pPr>
    </w:p>
    <w:p w14:paraId="491705AC" w14:textId="3F2E6328" w:rsidR="00C95A92" w:rsidRPr="00B67F00" w:rsidRDefault="00AD2743" w:rsidP="00AD2743">
      <w:pPr>
        <w:spacing w:line="480" w:lineRule="auto"/>
        <w:jc w:val="center"/>
        <w:rPr>
          <w:rFonts w:ascii="Times New Roman" w:hAnsi="Times New Roman" w:cs="Times New Roman"/>
          <w:i/>
          <w:iCs/>
          <w:sz w:val="24"/>
          <w:szCs w:val="24"/>
        </w:rPr>
      </w:pPr>
      <w:r w:rsidRPr="00B67F00">
        <w:rPr>
          <w:rFonts w:ascii="Times New Roman" w:hAnsi="Times New Roman" w:cs="Times New Roman"/>
          <w:sz w:val="24"/>
          <w:szCs w:val="24"/>
        </w:rPr>
        <w:t xml:space="preserve">A </w:t>
      </w:r>
      <w:r w:rsidR="00AA6743" w:rsidRPr="00B67F00">
        <w:rPr>
          <w:rFonts w:ascii="Times New Roman" w:hAnsi="Times New Roman" w:cs="Times New Roman"/>
          <w:i/>
          <w:iCs/>
          <w:sz w:val="24"/>
          <w:szCs w:val="24"/>
        </w:rPr>
        <w:t>Computational Law</w:t>
      </w:r>
    </w:p>
    <w:p w14:paraId="7E59E9C1" w14:textId="38F4B5FA" w:rsidR="0094613C" w:rsidRDefault="00127F2F" w:rsidP="00E67332">
      <w:pPr>
        <w:spacing w:line="480" w:lineRule="auto"/>
        <w:jc w:val="both"/>
        <w:rPr>
          <w:rFonts w:ascii="Times New Roman" w:hAnsi="Times New Roman" w:cs="Times New Roman"/>
        </w:rPr>
      </w:pPr>
      <w:r>
        <w:rPr>
          <w:rFonts w:ascii="Times New Roman" w:hAnsi="Times New Roman" w:cs="Times New Roman"/>
        </w:rPr>
        <w:t>Generally, legal systems historically have historically and inherently displayed varying levels of computational potential</w:t>
      </w:r>
      <w:r>
        <w:rPr>
          <w:rStyle w:val="FootnoteReference"/>
          <w:rFonts w:ascii="Times New Roman" w:hAnsi="Times New Roman" w:cs="Times New Roman"/>
        </w:rPr>
        <w:footnoteReference w:id="4"/>
      </w:r>
      <w:r>
        <w:rPr>
          <w:rFonts w:ascii="Times New Roman" w:hAnsi="Times New Roman" w:cs="Times New Roman"/>
        </w:rPr>
        <w:t xml:space="preserve"> given reliance upon conditional statements.</w:t>
      </w:r>
      <w:r>
        <w:rPr>
          <w:rStyle w:val="FootnoteReference"/>
          <w:rFonts w:ascii="Times New Roman" w:hAnsi="Times New Roman" w:cs="Times New Roman"/>
        </w:rPr>
        <w:footnoteReference w:id="5"/>
      </w:r>
      <w:r>
        <w:rPr>
          <w:rFonts w:ascii="Times New Roman" w:hAnsi="Times New Roman" w:cs="Times New Roman"/>
        </w:rPr>
        <w:t xml:space="preserve"> T</w:t>
      </w:r>
      <w:r w:rsidR="0025612F" w:rsidRPr="00B67F00">
        <w:rPr>
          <w:rFonts w:ascii="Times New Roman" w:hAnsi="Times New Roman" w:cs="Times New Roman"/>
        </w:rPr>
        <w:t xml:space="preserve">he earliest </w:t>
      </w:r>
      <w:r w:rsidR="00273E91" w:rsidRPr="00B67F00">
        <w:rPr>
          <w:rFonts w:ascii="Times New Roman" w:hAnsi="Times New Roman" w:cs="Times New Roman"/>
        </w:rPr>
        <w:t>preserved</w:t>
      </w:r>
      <w:r w:rsidR="0025612F" w:rsidRPr="00B67F00">
        <w:rPr>
          <w:rFonts w:ascii="Times New Roman" w:hAnsi="Times New Roman" w:cs="Times New Roman"/>
        </w:rPr>
        <w:t xml:space="preserve"> legal code</w:t>
      </w:r>
      <w:r w:rsidR="00DF0354" w:rsidRPr="00B67F00">
        <w:rPr>
          <w:rFonts w:ascii="Times New Roman" w:hAnsi="Times New Roman" w:cs="Times New Roman"/>
        </w:rPr>
        <w:t xml:space="preserve">, </w:t>
      </w:r>
      <w:r w:rsidR="00273E91" w:rsidRPr="00B67F00">
        <w:rPr>
          <w:rFonts w:ascii="Times New Roman" w:hAnsi="Times New Roman" w:cs="Times New Roman"/>
        </w:rPr>
        <w:t>the Code of Ur-Nammu</w:t>
      </w:r>
      <w:r w:rsidR="005523B9">
        <w:rPr>
          <w:rFonts w:ascii="Times New Roman" w:hAnsi="Times New Roman" w:cs="Times New Roman"/>
        </w:rPr>
        <w:t>,</w:t>
      </w:r>
      <w:r w:rsidR="00273E91" w:rsidRPr="00B67F00">
        <w:rPr>
          <w:rFonts w:ascii="Times New Roman" w:hAnsi="Times New Roman" w:cs="Times New Roman"/>
        </w:rPr>
        <w:t xml:space="preserve"> </w:t>
      </w:r>
      <w:r w:rsidR="00A6519D">
        <w:rPr>
          <w:rFonts w:ascii="Times New Roman" w:hAnsi="Times New Roman" w:cs="Times New Roman"/>
        </w:rPr>
        <w:t>was</w:t>
      </w:r>
      <w:r w:rsidR="00273E91" w:rsidRPr="00B67F00">
        <w:rPr>
          <w:rFonts w:ascii="Times New Roman" w:hAnsi="Times New Roman" w:cs="Times New Roman"/>
        </w:rPr>
        <w:t xml:space="preserve"> </w:t>
      </w:r>
      <w:r w:rsidR="0025612F" w:rsidRPr="00B67F00">
        <w:rPr>
          <w:rFonts w:ascii="Times New Roman" w:hAnsi="Times New Roman" w:cs="Times New Roman"/>
        </w:rPr>
        <w:t xml:space="preserve">made up </w:t>
      </w:r>
      <w:r w:rsidR="00A6519D">
        <w:rPr>
          <w:rFonts w:ascii="Times New Roman" w:hAnsi="Times New Roman" w:cs="Times New Roman"/>
        </w:rPr>
        <w:t xml:space="preserve">almost </w:t>
      </w:r>
      <w:r w:rsidR="0025612F" w:rsidRPr="00B67F00">
        <w:rPr>
          <w:rFonts w:ascii="Times New Roman" w:hAnsi="Times New Roman" w:cs="Times New Roman"/>
        </w:rPr>
        <w:t>entirely of ‘If’ statements</w:t>
      </w:r>
      <w:r w:rsidR="00A6519D">
        <w:rPr>
          <w:rFonts w:ascii="Times New Roman" w:hAnsi="Times New Roman" w:cs="Times New Roman"/>
        </w:rPr>
        <w:t>,</w:t>
      </w:r>
      <w:r w:rsidR="004A270C" w:rsidRPr="00DD0131">
        <w:rPr>
          <w:rStyle w:val="FootnoteReference"/>
        </w:rPr>
        <w:footnoteReference w:id="6"/>
      </w:r>
      <w:r w:rsidR="00A6519D">
        <w:rPr>
          <w:rFonts w:ascii="Times New Roman" w:hAnsi="Times New Roman" w:cs="Times New Roman"/>
        </w:rPr>
        <w:t xml:space="preserve"> </w:t>
      </w:r>
      <w:r w:rsidR="00C262E3">
        <w:rPr>
          <w:rFonts w:ascii="Times New Roman" w:hAnsi="Times New Roman" w:cs="Times New Roman"/>
        </w:rPr>
        <w:t>while</w:t>
      </w:r>
      <w:r w:rsidR="00A37BEE">
        <w:rPr>
          <w:rFonts w:ascii="Times New Roman" w:hAnsi="Times New Roman" w:cs="Times New Roman"/>
        </w:rPr>
        <w:t xml:space="preserve"> </w:t>
      </w:r>
      <w:r w:rsidR="00C81ADA">
        <w:rPr>
          <w:rFonts w:ascii="Times New Roman" w:hAnsi="Times New Roman" w:cs="Times New Roman"/>
        </w:rPr>
        <w:t>co-father of calculus, Gottfried Leibniz</w:t>
      </w:r>
      <w:r w:rsidR="00041975">
        <w:rPr>
          <w:rFonts w:ascii="Times New Roman" w:hAnsi="Times New Roman" w:cs="Times New Roman"/>
        </w:rPr>
        <w:t>,</w:t>
      </w:r>
      <w:r w:rsidR="00B07F7A">
        <w:rPr>
          <w:rFonts w:ascii="Times New Roman" w:hAnsi="Times New Roman" w:cs="Times New Roman"/>
        </w:rPr>
        <w:t xml:space="preserve"> famously pursued </w:t>
      </w:r>
      <w:r w:rsidR="00314834">
        <w:rPr>
          <w:rFonts w:ascii="Times New Roman" w:hAnsi="Times New Roman" w:cs="Times New Roman"/>
        </w:rPr>
        <w:t xml:space="preserve">a </w:t>
      </w:r>
      <w:r w:rsidR="0069325C">
        <w:rPr>
          <w:rFonts w:ascii="Times New Roman" w:hAnsi="Times New Roman" w:cs="Times New Roman"/>
        </w:rPr>
        <w:t xml:space="preserve">precise method of </w:t>
      </w:r>
      <w:r w:rsidR="00041975">
        <w:rPr>
          <w:rFonts w:ascii="Times New Roman" w:hAnsi="Times New Roman" w:cs="Times New Roman"/>
        </w:rPr>
        <w:t>interacting with</w:t>
      </w:r>
      <w:r w:rsidR="00A454CD">
        <w:rPr>
          <w:rFonts w:ascii="Times New Roman" w:hAnsi="Times New Roman" w:cs="Times New Roman"/>
        </w:rPr>
        <w:t xml:space="preserve"> the law in computational terms</w:t>
      </w:r>
      <w:r w:rsidR="0069325C">
        <w:rPr>
          <w:rFonts w:ascii="Times New Roman" w:hAnsi="Times New Roman" w:cs="Times New Roman"/>
        </w:rPr>
        <w:t>.</w:t>
      </w:r>
      <w:r w:rsidR="004021B1" w:rsidRPr="00DD0131">
        <w:rPr>
          <w:rStyle w:val="FootnoteReference"/>
        </w:rPr>
        <w:footnoteReference w:id="7"/>
      </w:r>
      <w:r w:rsidR="00031E20" w:rsidRPr="00B67F00">
        <w:rPr>
          <w:rFonts w:ascii="Times New Roman" w:hAnsi="Times New Roman" w:cs="Times New Roman"/>
        </w:rPr>
        <w:t xml:space="preserve"> Late 20</w:t>
      </w:r>
      <w:r w:rsidR="00031E20" w:rsidRPr="00B67F00">
        <w:rPr>
          <w:rFonts w:ascii="Times New Roman" w:hAnsi="Times New Roman" w:cs="Times New Roman"/>
          <w:vertAlign w:val="superscript"/>
        </w:rPr>
        <w:t>th</w:t>
      </w:r>
      <w:r w:rsidR="00031E20" w:rsidRPr="00B67F00">
        <w:rPr>
          <w:rFonts w:ascii="Times New Roman" w:hAnsi="Times New Roman" w:cs="Times New Roman"/>
        </w:rPr>
        <w:t xml:space="preserve"> Century attempts at realising this potential th</w:t>
      </w:r>
      <w:r w:rsidR="00F22452">
        <w:rPr>
          <w:rFonts w:ascii="Times New Roman" w:hAnsi="Times New Roman" w:cs="Times New Roman"/>
        </w:rPr>
        <w:t>r</w:t>
      </w:r>
      <w:r w:rsidR="00031E20" w:rsidRPr="00B67F00">
        <w:rPr>
          <w:rFonts w:ascii="Times New Roman" w:hAnsi="Times New Roman" w:cs="Times New Roman"/>
        </w:rPr>
        <w:t xml:space="preserve">ough </w:t>
      </w:r>
      <w:r w:rsidR="00F22452">
        <w:rPr>
          <w:rFonts w:ascii="Times New Roman" w:hAnsi="Times New Roman" w:cs="Times New Roman"/>
        </w:rPr>
        <w:t>development of</w:t>
      </w:r>
      <w:r w:rsidR="00031E20" w:rsidRPr="00B67F00">
        <w:rPr>
          <w:rFonts w:ascii="Times New Roman" w:hAnsi="Times New Roman" w:cs="Times New Roman"/>
        </w:rPr>
        <w:t xml:space="preserve"> a normalised process of legal drafting</w:t>
      </w:r>
      <w:r w:rsidR="00F70A88" w:rsidRPr="00B67F00">
        <w:rPr>
          <w:rFonts w:ascii="Times New Roman" w:hAnsi="Times New Roman" w:cs="Times New Roman"/>
        </w:rPr>
        <w:t>, such as that hypothesised by Allen &amp; Engholm</w:t>
      </w:r>
      <w:r w:rsidR="00F70A88" w:rsidRPr="00DD0131">
        <w:rPr>
          <w:rStyle w:val="FootnoteReference"/>
        </w:rPr>
        <w:footnoteReference w:id="8"/>
      </w:r>
      <w:r w:rsidR="00F70A88" w:rsidRPr="00B67F00">
        <w:rPr>
          <w:rFonts w:ascii="Times New Roman" w:hAnsi="Times New Roman" w:cs="Times New Roman"/>
        </w:rPr>
        <w:t xml:space="preserve">, </w:t>
      </w:r>
      <w:r w:rsidR="00F534AD">
        <w:rPr>
          <w:rFonts w:ascii="Times New Roman" w:hAnsi="Times New Roman" w:cs="Times New Roman"/>
        </w:rPr>
        <w:t>highlighted  syntactic difficulties in the task and could be considered the</w:t>
      </w:r>
      <w:r w:rsidR="00F70A88" w:rsidRPr="00B67F00">
        <w:rPr>
          <w:rFonts w:ascii="Times New Roman" w:hAnsi="Times New Roman" w:cs="Times New Roman"/>
        </w:rPr>
        <w:t xml:space="preserve"> origins of the field now known as computational law.</w:t>
      </w:r>
      <w:r w:rsidR="00F534AD" w:rsidRPr="00DD0131">
        <w:rPr>
          <w:rStyle w:val="FootnoteReference"/>
        </w:rPr>
        <w:footnoteReference w:id="9"/>
      </w:r>
      <w:r w:rsidR="00720C10">
        <w:rPr>
          <w:rFonts w:ascii="Times New Roman" w:hAnsi="Times New Roman" w:cs="Times New Roman"/>
        </w:rPr>
        <w:t xml:space="preserve"> </w:t>
      </w:r>
    </w:p>
    <w:p w14:paraId="7C9440D1" w14:textId="26DF8B14" w:rsidR="00DF2A0E" w:rsidRDefault="0094613C" w:rsidP="00E67332">
      <w:pPr>
        <w:spacing w:line="480" w:lineRule="auto"/>
        <w:jc w:val="both"/>
        <w:rPr>
          <w:rFonts w:ascii="Times New Roman" w:hAnsi="Times New Roman" w:cs="Times New Roman"/>
        </w:rPr>
      </w:pPr>
      <w:r>
        <w:rPr>
          <w:rFonts w:ascii="Times New Roman" w:hAnsi="Times New Roman" w:cs="Times New Roman"/>
        </w:rPr>
        <w:t xml:space="preserve">In the 1980s, </w:t>
      </w:r>
      <w:r w:rsidR="00CD2CD2">
        <w:rPr>
          <w:rFonts w:ascii="Times New Roman" w:hAnsi="Times New Roman" w:cs="Times New Roman"/>
        </w:rPr>
        <w:t xml:space="preserve">efforts such as that of </w:t>
      </w:r>
      <w:r w:rsidR="00E313B4">
        <w:rPr>
          <w:rFonts w:ascii="Times New Roman" w:hAnsi="Times New Roman" w:cs="Times New Roman"/>
        </w:rPr>
        <w:t>Sergot et al</w:t>
      </w:r>
      <w:r w:rsidR="00693908">
        <w:rPr>
          <w:rFonts w:ascii="Times New Roman" w:hAnsi="Times New Roman" w:cs="Times New Roman"/>
        </w:rPr>
        <w:t>.</w:t>
      </w:r>
      <w:r w:rsidR="00693908" w:rsidRPr="00DD0131">
        <w:rPr>
          <w:rStyle w:val="FootnoteReference"/>
        </w:rPr>
        <w:footnoteReference w:id="10"/>
      </w:r>
      <w:r w:rsidR="00E313B4">
        <w:rPr>
          <w:rFonts w:ascii="Times New Roman" w:hAnsi="Times New Roman" w:cs="Times New Roman"/>
        </w:rPr>
        <w:t xml:space="preserve"> helped push the field forward by taking the theory of their predecessors and </w:t>
      </w:r>
      <w:r>
        <w:rPr>
          <w:rFonts w:ascii="Times New Roman" w:hAnsi="Times New Roman" w:cs="Times New Roman"/>
        </w:rPr>
        <w:t xml:space="preserve">converting an actual piece of legislation, the </w:t>
      </w:r>
      <w:r>
        <w:rPr>
          <w:rFonts w:ascii="Times New Roman" w:hAnsi="Times New Roman" w:cs="Times New Roman"/>
          <w:i/>
          <w:iCs/>
        </w:rPr>
        <w:t>British Nationality Act</w:t>
      </w:r>
      <w:r w:rsidR="00CB0AFA">
        <w:rPr>
          <w:rFonts w:ascii="Times New Roman" w:hAnsi="Times New Roman" w:cs="Times New Roman"/>
          <w:i/>
          <w:iCs/>
        </w:rPr>
        <w:t>,</w:t>
      </w:r>
      <w:r w:rsidR="00E04135" w:rsidRPr="00DD0131">
        <w:rPr>
          <w:rStyle w:val="FootnoteReference"/>
        </w:rPr>
        <w:footnoteReference w:id="11"/>
      </w:r>
      <w:r>
        <w:rPr>
          <w:rFonts w:ascii="Times New Roman" w:hAnsi="Times New Roman" w:cs="Times New Roman"/>
        </w:rPr>
        <w:t xml:space="preserve"> into code</w:t>
      </w:r>
      <w:r w:rsidR="00B2455C">
        <w:rPr>
          <w:rFonts w:ascii="Times New Roman" w:hAnsi="Times New Roman" w:cs="Times New Roman"/>
        </w:rPr>
        <w:t xml:space="preserve"> through standardised syntax and logical relationships.</w:t>
      </w:r>
      <w:r w:rsidR="00DD0131">
        <w:rPr>
          <w:rFonts w:ascii="Times New Roman" w:hAnsi="Times New Roman" w:cs="Times New Roman"/>
        </w:rPr>
        <w:t xml:space="preserve"> There</w:t>
      </w:r>
      <w:r w:rsidR="005B69BF">
        <w:rPr>
          <w:rFonts w:ascii="Times New Roman" w:hAnsi="Times New Roman" w:cs="Times New Roman"/>
        </w:rPr>
        <w:t xml:space="preserve">, some initial discrepancies between the </w:t>
      </w:r>
      <w:r w:rsidR="005B69BF">
        <w:rPr>
          <w:rFonts w:ascii="Times New Roman" w:hAnsi="Times New Roman" w:cs="Times New Roman"/>
        </w:rPr>
        <w:lastRenderedPageBreak/>
        <w:t xml:space="preserve">technical capabilities of code and </w:t>
      </w:r>
      <w:r w:rsidR="00647D8D">
        <w:rPr>
          <w:rFonts w:ascii="Times New Roman" w:hAnsi="Times New Roman" w:cs="Times New Roman"/>
        </w:rPr>
        <w:t xml:space="preserve">semiotics </w:t>
      </w:r>
      <w:r w:rsidR="000E1907">
        <w:rPr>
          <w:rFonts w:ascii="Times New Roman" w:hAnsi="Times New Roman" w:cs="Times New Roman"/>
        </w:rPr>
        <w:t>were</w:t>
      </w:r>
      <w:r w:rsidR="001C68A2">
        <w:rPr>
          <w:rFonts w:ascii="Times New Roman" w:hAnsi="Times New Roman" w:cs="Times New Roman"/>
        </w:rPr>
        <w:t xml:space="preserve"> initially</w:t>
      </w:r>
      <w:r w:rsidR="00647D8D">
        <w:rPr>
          <w:rFonts w:ascii="Times New Roman" w:hAnsi="Times New Roman" w:cs="Times New Roman"/>
        </w:rPr>
        <w:t xml:space="preserve"> highlighted</w:t>
      </w:r>
      <w:r w:rsidR="0063697C">
        <w:rPr>
          <w:rFonts w:ascii="Times New Roman" w:hAnsi="Times New Roman" w:cs="Times New Roman"/>
        </w:rPr>
        <w:t>, for</w:t>
      </w:r>
      <w:r w:rsidR="005A5494">
        <w:rPr>
          <w:rFonts w:ascii="Times New Roman" w:hAnsi="Times New Roman" w:cs="Times New Roman"/>
        </w:rPr>
        <w:t xml:space="preserve"> example, the tendency of a machine to assume </w:t>
      </w:r>
      <w:r w:rsidR="00C57765">
        <w:rPr>
          <w:rFonts w:ascii="Times New Roman" w:hAnsi="Times New Roman" w:cs="Times New Roman"/>
        </w:rPr>
        <w:t xml:space="preserve">an unanswered Boolean query to have a </w:t>
      </w:r>
      <w:r w:rsidR="005A5494">
        <w:rPr>
          <w:rFonts w:ascii="Times New Roman" w:hAnsi="Times New Roman" w:cs="Times New Roman"/>
        </w:rPr>
        <w:t>‘false’ value</w:t>
      </w:r>
      <w:r w:rsidR="00C57765">
        <w:rPr>
          <w:rFonts w:ascii="Times New Roman" w:hAnsi="Times New Roman" w:cs="Times New Roman"/>
        </w:rPr>
        <w:t xml:space="preserve"> by default</w:t>
      </w:r>
      <w:r w:rsidR="001C68A2">
        <w:rPr>
          <w:rFonts w:ascii="Times New Roman" w:hAnsi="Times New Roman" w:cs="Times New Roman"/>
        </w:rPr>
        <w:t xml:space="preserve"> </w:t>
      </w:r>
      <w:r w:rsidR="0063697C">
        <w:rPr>
          <w:rFonts w:ascii="Times New Roman" w:hAnsi="Times New Roman" w:cs="Times New Roman"/>
        </w:rPr>
        <w:t>conflicting</w:t>
      </w:r>
      <w:r w:rsidR="001C68A2">
        <w:rPr>
          <w:rFonts w:ascii="Times New Roman" w:hAnsi="Times New Roman" w:cs="Times New Roman"/>
        </w:rPr>
        <w:t xml:space="preserve"> with the natural human understanding of ‘unknown’</w:t>
      </w:r>
      <w:r w:rsidR="0063697C">
        <w:rPr>
          <w:rFonts w:ascii="Times New Roman" w:hAnsi="Times New Roman" w:cs="Times New Roman"/>
        </w:rPr>
        <w:t>.</w:t>
      </w:r>
      <w:r w:rsidR="0063697C" w:rsidRPr="00DD0131">
        <w:rPr>
          <w:rStyle w:val="FootnoteReference"/>
        </w:rPr>
        <w:footnoteReference w:id="12"/>
      </w:r>
      <w:r w:rsidR="0067137E">
        <w:rPr>
          <w:rFonts w:ascii="Times New Roman" w:hAnsi="Times New Roman" w:cs="Times New Roman"/>
        </w:rPr>
        <w:t xml:space="preserve"> </w:t>
      </w:r>
      <w:r w:rsidR="00635017">
        <w:rPr>
          <w:rFonts w:ascii="Times New Roman" w:hAnsi="Times New Roman" w:cs="Times New Roman"/>
        </w:rPr>
        <w:t>Further, Leith critiques the logic used by Sergo et al. in their conversion,</w:t>
      </w:r>
      <w:r w:rsidR="00635017" w:rsidRPr="00DD0131">
        <w:rPr>
          <w:rStyle w:val="FootnoteReference"/>
        </w:rPr>
        <w:footnoteReference w:id="13"/>
      </w:r>
      <w:r w:rsidR="00635017">
        <w:rPr>
          <w:rFonts w:ascii="Times New Roman" w:hAnsi="Times New Roman" w:cs="Times New Roman"/>
        </w:rPr>
        <w:t xml:space="preserve"> and questions whether a purely logical reading of the legislation is truly representative of the judiciary’s interpretation process</w:t>
      </w:r>
      <w:r w:rsidR="0018558A">
        <w:rPr>
          <w:rFonts w:ascii="Times New Roman" w:hAnsi="Times New Roman" w:cs="Times New Roman"/>
        </w:rPr>
        <w:t>,</w:t>
      </w:r>
      <w:r w:rsidR="00635017" w:rsidRPr="00DD0131">
        <w:rPr>
          <w:rStyle w:val="FootnoteReference"/>
        </w:rPr>
        <w:footnoteReference w:id="14"/>
      </w:r>
      <w:r w:rsidR="0018558A">
        <w:rPr>
          <w:rFonts w:ascii="Times New Roman" w:hAnsi="Times New Roman" w:cs="Times New Roman"/>
        </w:rPr>
        <w:t xml:space="preserve"> though the extra-curial words of French CJ would indicate this concern is unfounded in Australia</w:t>
      </w:r>
      <w:r w:rsidR="00180D2D">
        <w:rPr>
          <w:rFonts w:ascii="Times New Roman" w:hAnsi="Times New Roman" w:cs="Times New Roman"/>
        </w:rPr>
        <w:t>.</w:t>
      </w:r>
      <w:r w:rsidR="0018558A" w:rsidRPr="00DD0131">
        <w:rPr>
          <w:rStyle w:val="FootnoteReference"/>
        </w:rPr>
        <w:footnoteReference w:id="15"/>
      </w:r>
      <w:r w:rsidR="00635017">
        <w:rPr>
          <w:rFonts w:ascii="Times New Roman" w:hAnsi="Times New Roman" w:cs="Times New Roman"/>
        </w:rPr>
        <w:t xml:space="preserve"> </w:t>
      </w:r>
      <w:r w:rsidR="0018558A">
        <w:rPr>
          <w:rFonts w:ascii="Times New Roman" w:hAnsi="Times New Roman" w:cs="Times New Roman"/>
        </w:rPr>
        <w:t>Despite such critiques</w:t>
      </w:r>
      <w:r w:rsidR="00110E3E">
        <w:rPr>
          <w:rFonts w:ascii="Times New Roman" w:hAnsi="Times New Roman" w:cs="Times New Roman"/>
        </w:rPr>
        <w:t xml:space="preserve">, Sergo et al. </w:t>
      </w:r>
      <w:r w:rsidR="00EA444D">
        <w:rPr>
          <w:rFonts w:ascii="Times New Roman" w:hAnsi="Times New Roman" w:cs="Times New Roman"/>
        </w:rPr>
        <w:t>argued that their experiment proved a success</w:t>
      </w:r>
      <w:r w:rsidR="00635017">
        <w:rPr>
          <w:rFonts w:ascii="Times New Roman" w:hAnsi="Times New Roman" w:cs="Times New Roman"/>
        </w:rPr>
        <w:t xml:space="preserve"> within its limited scope</w:t>
      </w:r>
      <w:r w:rsidR="00EA444D">
        <w:rPr>
          <w:rFonts w:ascii="Times New Roman" w:hAnsi="Times New Roman" w:cs="Times New Roman"/>
        </w:rPr>
        <w:t>, serving as an example for future attempts at converting legal texts and processes into logic.</w:t>
      </w:r>
      <w:r w:rsidR="0093293D" w:rsidRPr="00DD0131">
        <w:rPr>
          <w:rStyle w:val="FootnoteReference"/>
        </w:rPr>
        <w:footnoteReference w:id="16"/>
      </w:r>
      <w:r w:rsidR="00DF2A0E">
        <w:rPr>
          <w:rFonts w:ascii="Times New Roman" w:hAnsi="Times New Roman" w:cs="Times New Roman"/>
        </w:rPr>
        <w:t xml:space="preserve"> Genesereth notes that </w:t>
      </w:r>
      <w:r w:rsidR="003E1916">
        <w:rPr>
          <w:rFonts w:ascii="Times New Roman" w:hAnsi="Times New Roman" w:cs="Times New Roman"/>
        </w:rPr>
        <w:t>Sergo et al.’s</w:t>
      </w:r>
      <w:r w:rsidR="00DF2A0E">
        <w:rPr>
          <w:rFonts w:ascii="Times New Roman" w:hAnsi="Times New Roman" w:cs="Times New Roman"/>
        </w:rPr>
        <w:t xml:space="preserve"> limitations</w:t>
      </w:r>
      <w:r w:rsidR="00DF2A0E" w:rsidRPr="00DF2A0E">
        <w:rPr>
          <w:rFonts w:ascii="Times New Roman" w:hAnsi="Times New Roman" w:cs="Times New Roman"/>
        </w:rPr>
        <w:t xml:space="preserve"> </w:t>
      </w:r>
      <w:r w:rsidR="003E1916">
        <w:rPr>
          <w:rFonts w:ascii="Times New Roman" w:hAnsi="Times New Roman" w:cs="Times New Roman"/>
        </w:rPr>
        <w:t>became manageable</w:t>
      </w:r>
      <w:r w:rsidR="00DF2A0E" w:rsidRPr="00DF2A0E">
        <w:rPr>
          <w:rFonts w:ascii="Times New Roman" w:hAnsi="Times New Roman" w:cs="Times New Roman"/>
        </w:rPr>
        <w:t xml:space="preserve"> </w:t>
      </w:r>
      <w:r w:rsidR="00DF2A0E">
        <w:rPr>
          <w:rFonts w:ascii="Times New Roman" w:hAnsi="Times New Roman" w:cs="Times New Roman"/>
        </w:rPr>
        <w:t>by the turn of the century</w:t>
      </w:r>
      <w:r w:rsidR="00DF2A0E" w:rsidRPr="00DF2A0E">
        <w:rPr>
          <w:rFonts w:ascii="Times New Roman" w:hAnsi="Times New Roman" w:cs="Times New Roman"/>
        </w:rPr>
        <w:t>,</w:t>
      </w:r>
      <w:r w:rsidR="00DF2A0E" w:rsidRPr="00DD0131">
        <w:rPr>
          <w:rStyle w:val="FootnoteReference"/>
        </w:rPr>
        <w:footnoteReference w:id="17"/>
      </w:r>
      <w:r w:rsidR="00DF2A0E" w:rsidRPr="00DF2A0E">
        <w:rPr>
          <w:rFonts w:ascii="Times New Roman" w:hAnsi="Times New Roman" w:cs="Times New Roman"/>
        </w:rPr>
        <w:t xml:space="preserve"> but</w:t>
      </w:r>
      <w:r w:rsidR="00DF2A0E">
        <w:rPr>
          <w:rFonts w:ascii="Times New Roman" w:hAnsi="Times New Roman" w:cs="Times New Roman"/>
        </w:rPr>
        <w:t xml:space="preserve"> raises broader and more inherent issues in the notion of </w:t>
      </w:r>
      <w:r w:rsidR="00DF2A0E" w:rsidRPr="00DF2A0E">
        <w:rPr>
          <w:rFonts w:ascii="Times New Roman" w:hAnsi="Times New Roman" w:cs="Times New Roman"/>
        </w:rPr>
        <w:t xml:space="preserve">RaC, such as </w:t>
      </w:r>
      <w:r w:rsidR="00DF2A0E">
        <w:rPr>
          <w:rFonts w:ascii="Times New Roman" w:hAnsi="Times New Roman" w:cs="Times New Roman"/>
        </w:rPr>
        <w:t>the</w:t>
      </w:r>
      <w:r w:rsidR="00DF2A0E" w:rsidRPr="00DF2A0E">
        <w:rPr>
          <w:rFonts w:ascii="Times New Roman" w:hAnsi="Times New Roman" w:cs="Times New Roman"/>
        </w:rPr>
        <w:t xml:space="preserve"> lack of interpretative or analytical skills in a computer program,</w:t>
      </w:r>
      <w:r w:rsidR="0093293D" w:rsidRPr="00DD0131">
        <w:rPr>
          <w:rStyle w:val="FootnoteReference"/>
        </w:rPr>
        <w:footnoteReference w:id="18"/>
      </w:r>
      <w:r w:rsidR="00DF2A0E" w:rsidRPr="00DF2A0E">
        <w:rPr>
          <w:rFonts w:ascii="Times New Roman" w:hAnsi="Times New Roman" w:cs="Times New Roman"/>
        </w:rPr>
        <w:t xml:space="preserve"> as well as the inherent formalist nature of algorithms.</w:t>
      </w:r>
      <w:r w:rsidR="0093293D" w:rsidRPr="00DD0131">
        <w:rPr>
          <w:rStyle w:val="FootnoteReference"/>
        </w:rPr>
        <w:footnoteReference w:id="19"/>
      </w:r>
      <w:r w:rsidR="00DF2A0E" w:rsidRPr="00DF2A0E">
        <w:rPr>
          <w:rFonts w:ascii="Times New Roman" w:hAnsi="Times New Roman" w:cs="Times New Roman"/>
        </w:rPr>
        <w:t xml:space="preserve"> Genesereth’s conclusion is that despite these limitations, RaC is still </w:t>
      </w:r>
      <w:r w:rsidR="00F53D7E">
        <w:rPr>
          <w:rFonts w:ascii="Times New Roman" w:hAnsi="Times New Roman" w:cs="Times New Roman"/>
        </w:rPr>
        <w:t>‘</w:t>
      </w:r>
      <w:r w:rsidR="00DF2A0E" w:rsidRPr="00DF2A0E">
        <w:rPr>
          <w:rFonts w:ascii="Times New Roman" w:hAnsi="Times New Roman" w:cs="Times New Roman"/>
        </w:rPr>
        <w:t xml:space="preserve">the next step in the evolution of </w:t>
      </w:r>
      <w:r w:rsidR="005C1CFC">
        <w:rPr>
          <w:rFonts w:ascii="Times New Roman" w:hAnsi="Times New Roman" w:cs="Times New Roman"/>
        </w:rPr>
        <w:t xml:space="preserve">the </w:t>
      </w:r>
      <w:r w:rsidR="00DF2A0E" w:rsidRPr="00DF2A0E">
        <w:rPr>
          <w:rFonts w:ascii="Times New Roman" w:hAnsi="Times New Roman" w:cs="Times New Roman"/>
        </w:rPr>
        <w:t>legal system</w:t>
      </w:r>
      <w:r w:rsidR="00F53D7E">
        <w:rPr>
          <w:rFonts w:ascii="Times New Roman" w:hAnsi="Times New Roman" w:cs="Times New Roman"/>
        </w:rPr>
        <w:t>’</w:t>
      </w:r>
      <w:r w:rsidR="005C1CFC" w:rsidRPr="00DD0131">
        <w:rPr>
          <w:rStyle w:val="FootnoteReference"/>
        </w:rPr>
        <w:footnoteReference w:id="20"/>
      </w:r>
      <w:r w:rsidR="00DF2A0E" w:rsidRPr="00DF2A0E">
        <w:rPr>
          <w:rFonts w:ascii="Times New Roman" w:hAnsi="Times New Roman" w:cs="Times New Roman"/>
        </w:rPr>
        <w:t xml:space="preserve"> and should be deployed in areas of law in which the aforementioned skills are not required. </w:t>
      </w:r>
    </w:p>
    <w:p w14:paraId="42654280" w14:textId="759CA7A0" w:rsidR="00F72179" w:rsidRDefault="00A55BB3" w:rsidP="00E67332">
      <w:pPr>
        <w:spacing w:line="480" w:lineRule="auto"/>
        <w:jc w:val="both"/>
        <w:rPr>
          <w:rFonts w:ascii="Times New Roman" w:hAnsi="Times New Roman" w:cs="Times New Roman"/>
        </w:rPr>
      </w:pPr>
      <w:r>
        <w:rPr>
          <w:rFonts w:ascii="Times New Roman" w:hAnsi="Times New Roman" w:cs="Times New Roman"/>
        </w:rPr>
        <w:t>Since the turn of the century</w:t>
      </w:r>
      <w:r w:rsidR="0093293D">
        <w:rPr>
          <w:rFonts w:ascii="Times New Roman" w:hAnsi="Times New Roman" w:cs="Times New Roman"/>
        </w:rPr>
        <w:t>,</w:t>
      </w:r>
      <w:r w:rsidR="008C6324">
        <w:rPr>
          <w:rFonts w:ascii="Times New Roman" w:hAnsi="Times New Roman" w:cs="Times New Roman"/>
        </w:rPr>
        <w:t xml:space="preserve"> </w:t>
      </w:r>
      <w:r w:rsidR="0093293D">
        <w:rPr>
          <w:rFonts w:ascii="Times New Roman" w:hAnsi="Times New Roman" w:cs="Times New Roman"/>
        </w:rPr>
        <w:t>machine-executable law</w:t>
      </w:r>
      <w:r w:rsidR="006619C0">
        <w:rPr>
          <w:rFonts w:ascii="Times New Roman" w:hAnsi="Times New Roman" w:cs="Times New Roman"/>
        </w:rPr>
        <w:t xml:space="preserve"> has been hypothesised </w:t>
      </w:r>
      <w:r w:rsidR="0093293D">
        <w:rPr>
          <w:rFonts w:ascii="Times New Roman" w:hAnsi="Times New Roman" w:cs="Times New Roman"/>
        </w:rPr>
        <w:t>through</w:t>
      </w:r>
      <w:r w:rsidR="008C6324">
        <w:rPr>
          <w:rFonts w:ascii="Times New Roman" w:hAnsi="Times New Roman" w:cs="Times New Roman"/>
        </w:rPr>
        <w:t xml:space="preserve"> several methods</w:t>
      </w:r>
      <w:r w:rsidR="00D75282">
        <w:rPr>
          <w:rFonts w:ascii="Times New Roman" w:hAnsi="Times New Roman" w:cs="Times New Roman"/>
        </w:rPr>
        <w:t xml:space="preserve">. </w:t>
      </w:r>
      <w:r w:rsidR="00DA7FE3">
        <w:rPr>
          <w:rFonts w:ascii="Times New Roman" w:hAnsi="Times New Roman" w:cs="Times New Roman"/>
        </w:rPr>
        <w:t>In pursuit of Leibniz’s envisioned computational legal framework, Wolfram</w:t>
      </w:r>
      <w:r w:rsidR="00EF28D9" w:rsidRPr="00DD0131">
        <w:rPr>
          <w:rStyle w:val="FootnoteReference"/>
        </w:rPr>
        <w:footnoteReference w:id="21"/>
      </w:r>
      <w:r w:rsidR="00DA7FE3">
        <w:rPr>
          <w:rFonts w:ascii="Times New Roman" w:hAnsi="Times New Roman" w:cs="Times New Roman"/>
        </w:rPr>
        <w:t xml:space="preserve"> </w:t>
      </w:r>
      <w:r w:rsidR="000D2708">
        <w:rPr>
          <w:rFonts w:ascii="Times New Roman" w:hAnsi="Times New Roman" w:cs="Times New Roman"/>
        </w:rPr>
        <w:t xml:space="preserve">advocates </w:t>
      </w:r>
      <w:r w:rsidR="00366718">
        <w:rPr>
          <w:rFonts w:ascii="Times New Roman" w:hAnsi="Times New Roman" w:cs="Times New Roman"/>
        </w:rPr>
        <w:t>for a natural language approach which would involve</w:t>
      </w:r>
      <w:r w:rsidR="00B207EB">
        <w:rPr>
          <w:rFonts w:ascii="Times New Roman" w:hAnsi="Times New Roman" w:cs="Times New Roman"/>
        </w:rPr>
        <w:t xml:space="preserve"> the manual classification of objects and legal concepts</w:t>
      </w:r>
      <w:r w:rsidR="00103FD1">
        <w:rPr>
          <w:rFonts w:ascii="Times New Roman" w:hAnsi="Times New Roman" w:cs="Times New Roman"/>
        </w:rPr>
        <w:t>,</w:t>
      </w:r>
      <w:r w:rsidR="00B15E23" w:rsidRPr="00DD0131">
        <w:rPr>
          <w:rStyle w:val="FootnoteReference"/>
        </w:rPr>
        <w:footnoteReference w:id="22"/>
      </w:r>
      <w:r w:rsidR="0018320B">
        <w:rPr>
          <w:rFonts w:ascii="Times New Roman" w:hAnsi="Times New Roman" w:cs="Times New Roman"/>
        </w:rPr>
        <w:t xml:space="preserve"> </w:t>
      </w:r>
      <w:r w:rsidR="00921948">
        <w:rPr>
          <w:rFonts w:ascii="Times New Roman" w:hAnsi="Times New Roman" w:cs="Times New Roman"/>
        </w:rPr>
        <w:t>while</w:t>
      </w:r>
      <w:r w:rsidR="00803376">
        <w:rPr>
          <w:rFonts w:ascii="Times New Roman" w:hAnsi="Times New Roman" w:cs="Times New Roman"/>
        </w:rPr>
        <w:t xml:space="preserve"> courts </w:t>
      </w:r>
      <w:r w:rsidR="007D6A24">
        <w:rPr>
          <w:rFonts w:ascii="Times New Roman" w:hAnsi="Times New Roman" w:cs="Times New Roman"/>
        </w:rPr>
        <w:t xml:space="preserve">in the United States </w:t>
      </w:r>
      <w:r w:rsidR="00803376">
        <w:rPr>
          <w:rFonts w:ascii="Times New Roman" w:hAnsi="Times New Roman" w:cs="Times New Roman"/>
        </w:rPr>
        <w:t>have adopted machine-learning</w:t>
      </w:r>
      <w:r w:rsidR="004E678C">
        <w:rPr>
          <w:rFonts w:ascii="Times New Roman" w:hAnsi="Times New Roman" w:cs="Times New Roman"/>
        </w:rPr>
        <w:t xml:space="preserve"> techniques to assist in tasks such as </w:t>
      </w:r>
      <w:r w:rsidR="004E678C">
        <w:rPr>
          <w:rFonts w:ascii="Times New Roman" w:hAnsi="Times New Roman" w:cs="Times New Roman"/>
        </w:rPr>
        <w:lastRenderedPageBreak/>
        <w:t>recidivism prediction</w:t>
      </w:r>
      <w:r w:rsidR="007D6A24">
        <w:rPr>
          <w:rFonts w:ascii="Times New Roman" w:hAnsi="Times New Roman" w:cs="Times New Roman"/>
        </w:rPr>
        <w:t>.</w:t>
      </w:r>
      <w:r w:rsidR="007D6A24" w:rsidRPr="00DD0131">
        <w:rPr>
          <w:rStyle w:val="FootnoteReference"/>
        </w:rPr>
        <w:footnoteReference w:id="23"/>
      </w:r>
      <w:r w:rsidR="001A7A16">
        <w:rPr>
          <w:rFonts w:ascii="Times New Roman" w:hAnsi="Times New Roman" w:cs="Times New Roman"/>
        </w:rPr>
        <w:t xml:space="preserve"> Ultimately, however, </w:t>
      </w:r>
      <w:r w:rsidR="00BA0B54">
        <w:rPr>
          <w:rFonts w:ascii="Times New Roman" w:hAnsi="Times New Roman" w:cs="Times New Roman"/>
        </w:rPr>
        <w:t xml:space="preserve">initial </w:t>
      </w:r>
      <w:r w:rsidR="001A7A16">
        <w:rPr>
          <w:rFonts w:ascii="Times New Roman" w:hAnsi="Times New Roman" w:cs="Times New Roman"/>
        </w:rPr>
        <w:t>efforts in developing a</w:t>
      </w:r>
      <w:r w:rsidR="005C1326">
        <w:rPr>
          <w:rFonts w:ascii="Times New Roman" w:hAnsi="Times New Roman" w:cs="Times New Roman"/>
        </w:rPr>
        <w:t>n</w:t>
      </w:r>
      <w:r w:rsidR="001A7A16">
        <w:rPr>
          <w:rFonts w:ascii="Times New Roman" w:hAnsi="Times New Roman" w:cs="Times New Roman"/>
        </w:rPr>
        <w:t xml:space="preserve"> RaC framework have </w:t>
      </w:r>
      <w:r w:rsidR="00792548">
        <w:rPr>
          <w:rFonts w:ascii="Times New Roman" w:hAnsi="Times New Roman" w:cs="Times New Roman"/>
        </w:rPr>
        <w:t xml:space="preserve">operated within a deterministic </w:t>
      </w:r>
      <w:r w:rsidR="00F53D7E">
        <w:rPr>
          <w:rFonts w:ascii="Times New Roman" w:hAnsi="Times New Roman" w:cs="Times New Roman"/>
        </w:rPr>
        <w:t>‘</w:t>
      </w:r>
      <w:r w:rsidR="00792548" w:rsidRPr="00722174">
        <w:rPr>
          <w:rFonts w:ascii="Times New Roman" w:hAnsi="Times New Roman" w:cs="Times New Roman"/>
          <w:i/>
          <w:iCs/>
        </w:rPr>
        <w:t>If x, then y</w:t>
      </w:r>
      <w:r w:rsidR="00F53D7E">
        <w:rPr>
          <w:rFonts w:ascii="Times New Roman" w:hAnsi="Times New Roman" w:cs="Times New Roman"/>
        </w:rPr>
        <w:t>’</w:t>
      </w:r>
      <w:r w:rsidR="00792548" w:rsidRPr="00792548">
        <w:rPr>
          <w:rFonts w:ascii="Times New Roman" w:hAnsi="Times New Roman" w:cs="Times New Roman"/>
        </w:rPr>
        <w:t xml:space="preserve"> logic.</w:t>
      </w:r>
      <w:r w:rsidR="00792548" w:rsidRPr="00DD0131">
        <w:rPr>
          <w:rStyle w:val="FootnoteReference"/>
        </w:rPr>
        <w:footnoteReference w:id="24"/>
      </w:r>
      <w:r w:rsidR="00792548">
        <w:rPr>
          <w:rFonts w:ascii="Times New Roman" w:hAnsi="Times New Roman" w:cs="Times New Roman"/>
        </w:rPr>
        <w:t xml:space="preserve"> </w:t>
      </w:r>
    </w:p>
    <w:p w14:paraId="69733296" w14:textId="722C9F4F" w:rsidR="00BD1100" w:rsidRDefault="00B15E23" w:rsidP="00E67332">
      <w:pPr>
        <w:spacing w:line="480" w:lineRule="auto"/>
        <w:jc w:val="both"/>
        <w:rPr>
          <w:rFonts w:ascii="Times New Roman" w:hAnsi="Times New Roman" w:cs="Times New Roman"/>
        </w:rPr>
      </w:pPr>
      <w:r>
        <w:rPr>
          <w:rFonts w:ascii="Times New Roman" w:hAnsi="Times New Roman" w:cs="Times New Roman"/>
        </w:rPr>
        <w:t>Over the last decade</w:t>
      </w:r>
      <w:r w:rsidR="00881EA0">
        <w:rPr>
          <w:rFonts w:ascii="Times New Roman" w:hAnsi="Times New Roman" w:cs="Times New Roman"/>
        </w:rPr>
        <w:t>,</w:t>
      </w:r>
      <w:r w:rsidR="00493F52">
        <w:rPr>
          <w:rFonts w:ascii="Times New Roman" w:hAnsi="Times New Roman" w:cs="Times New Roman"/>
        </w:rPr>
        <w:t xml:space="preserve"> focus </w:t>
      </w:r>
      <w:r w:rsidR="00DF2A0E">
        <w:rPr>
          <w:rFonts w:ascii="Times New Roman" w:hAnsi="Times New Roman" w:cs="Times New Roman"/>
        </w:rPr>
        <w:t>has</w:t>
      </w:r>
      <w:r w:rsidR="00493F52">
        <w:rPr>
          <w:rFonts w:ascii="Times New Roman" w:hAnsi="Times New Roman" w:cs="Times New Roman"/>
        </w:rPr>
        <w:t xml:space="preserve"> moved from </w:t>
      </w:r>
      <w:r w:rsidR="00C14E86">
        <w:rPr>
          <w:rFonts w:ascii="Times New Roman" w:hAnsi="Times New Roman" w:cs="Times New Roman"/>
        </w:rPr>
        <w:t xml:space="preserve">programming theoretical conversions of the law to mapping out the processes by which </w:t>
      </w:r>
      <w:r w:rsidR="0065753A">
        <w:rPr>
          <w:rFonts w:ascii="Times New Roman" w:hAnsi="Times New Roman" w:cs="Times New Roman"/>
        </w:rPr>
        <w:t>computational law</w:t>
      </w:r>
      <w:r w:rsidR="00C14E86">
        <w:rPr>
          <w:rFonts w:ascii="Times New Roman" w:hAnsi="Times New Roman" w:cs="Times New Roman"/>
        </w:rPr>
        <w:t xml:space="preserve"> could be </w:t>
      </w:r>
      <w:r w:rsidR="0065753A">
        <w:rPr>
          <w:rFonts w:ascii="Times New Roman" w:hAnsi="Times New Roman" w:cs="Times New Roman"/>
        </w:rPr>
        <w:t xml:space="preserve">practically </w:t>
      </w:r>
      <w:r w:rsidR="00C14E86">
        <w:rPr>
          <w:rFonts w:ascii="Times New Roman" w:hAnsi="Times New Roman" w:cs="Times New Roman"/>
        </w:rPr>
        <w:t>implemented</w:t>
      </w:r>
      <w:r w:rsidR="0065753A">
        <w:rPr>
          <w:rFonts w:ascii="Times New Roman" w:hAnsi="Times New Roman" w:cs="Times New Roman"/>
        </w:rPr>
        <w:t>.</w:t>
      </w:r>
      <w:r w:rsidR="00881EA0">
        <w:rPr>
          <w:rFonts w:ascii="Times New Roman" w:hAnsi="Times New Roman" w:cs="Times New Roman"/>
        </w:rPr>
        <w:t xml:space="preserve"> Indeed, fragmented solutions </w:t>
      </w:r>
      <w:r w:rsidR="00B24E3D">
        <w:rPr>
          <w:rFonts w:ascii="Times New Roman" w:hAnsi="Times New Roman" w:cs="Times New Roman"/>
        </w:rPr>
        <w:t xml:space="preserve">are already being rapidly </w:t>
      </w:r>
      <w:r w:rsidR="00FA56C5">
        <w:rPr>
          <w:rFonts w:ascii="Times New Roman" w:hAnsi="Times New Roman" w:cs="Times New Roman"/>
        </w:rPr>
        <w:t>introduced particularly</w:t>
      </w:r>
      <w:r w:rsidR="00B24E3D">
        <w:rPr>
          <w:rFonts w:ascii="Times New Roman" w:hAnsi="Times New Roman" w:cs="Times New Roman"/>
        </w:rPr>
        <w:t xml:space="preserve"> in the </w:t>
      </w:r>
      <w:r w:rsidR="00FA56C5">
        <w:rPr>
          <w:rFonts w:ascii="Times New Roman" w:hAnsi="Times New Roman" w:cs="Times New Roman"/>
        </w:rPr>
        <w:t>financial</w:t>
      </w:r>
      <w:r w:rsidR="00B24E3D">
        <w:rPr>
          <w:rFonts w:ascii="Times New Roman" w:hAnsi="Times New Roman" w:cs="Times New Roman"/>
        </w:rPr>
        <w:t xml:space="preserve"> sector, </w:t>
      </w:r>
      <w:r w:rsidR="00E850C2">
        <w:rPr>
          <w:rFonts w:ascii="Times New Roman" w:hAnsi="Times New Roman" w:cs="Times New Roman"/>
        </w:rPr>
        <w:t xml:space="preserve">with </w:t>
      </w:r>
      <w:r w:rsidR="00FA56C5">
        <w:rPr>
          <w:rFonts w:ascii="Times New Roman" w:hAnsi="Times New Roman" w:cs="Times New Roman"/>
        </w:rPr>
        <w:t xml:space="preserve">Juniper Research </w:t>
      </w:r>
      <w:r w:rsidR="0049437A">
        <w:rPr>
          <w:rFonts w:ascii="Times New Roman" w:hAnsi="Times New Roman" w:cs="Times New Roman"/>
        </w:rPr>
        <w:t>forecasting</w:t>
      </w:r>
      <w:r w:rsidR="00FA56C5">
        <w:rPr>
          <w:rFonts w:ascii="Times New Roman" w:hAnsi="Times New Roman" w:cs="Times New Roman"/>
        </w:rPr>
        <w:t xml:space="preserve"> an increase from</w:t>
      </w:r>
      <w:r w:rsidR="00F52D38">
        <w:rPr>
          <w:rFonts w:ascii="Times New Roman" w:hAnsi="Times New Roman" w:cs="Times New Roman"/>
        </w:rPr>
        <w:t xml:space="preserve"> USD</w:t>
      </w:r>
      <w:r w:rsidR="00FA56C5">
        <w:rPr>
          <w:rFonts w:ascii="Times New Roman" w:hAnsi="Times New Roman" w:cs="Times New Roman"/>
        </w:rPr>
        <w:t xml:space="preserve"> $277</w:t>
      </w:r>
      <w:r w:rsidR="0049437A">
        <w:rPr>
          <w:rFonts w:ascii="Times New Roman" w:hAnsi="Times New Roman" w:cs="Times New Roman"/>
        </w:rPr>
        <w:t>bn to $316bn g</w:t>
      </w:r>
      <w:r w:rsidR="00FA56C5">
        <w:rPr>
          <w:rFonts w:ascii="Times New Roman" w:hAnsi="Times New Roman" w:cs="Times New Roman"/>
        </w:rPr>
        <w:t>lobal annual expenditure by banks on compliance and regulatory obligations</w:t>
      </w:r>
      <w:r w:rsidR="0049437A">
        <w:rPr>
          <w:rFonts w:ascii="Times New Roman" w:hAnsi="Times New Roman" w:cs="Times New Roman"/>
        </w:rPr>
        <w:t xml:space="preserve"> between 2019 and 2024.</w:t>
      </w:r>
      <w:r w:rsidR="0049437A" w:rsidRPr="00DD0131">
        <w:rPr>
          <w:rStyle w:val="FootnoteReference"/>
        </w:rPr>
        <w:footnoteReference w:id="25"/>
      </w:r>
      <w:r w:rsidR="0049437A">
        <w:rPr>
          <w:rFonts w:ascii="Times New Roman" w:hAnsi="Times New Roman" w:cs="Times New Roman"/>
        </w:rPr>
        <w:t xml:space="preserve"> In light of the </w:t>
      </w:r>
      <w:r w:rsidR="005B5B97">
        <w:rPr>
          <w:rFonts w:ascii="Times New Roman" w:hAnsi="Times New Roman" w:cs="Times New Roman"/>
        </w:rPr>
        <w:t>Hayne Royal Commission</w:t>
      </w:r>
      <w:r w:rsidR="005B5B97" w:rsidRPr="00DD0131">
        <w:rPr>
          <w:rStyle w:val="FootnoteReference"/>
        </w:rPr>
        <w:footnoteReference w:id="26"/>
      </w:r>
      <w:r w:rsidR="005B5B97">
        <w:rPr>
          <w:rFonts w:ascii="Times New Roman" w:hAnsi="Times New Roman" w:cs="Times New Roman"/>
        </w:rPr>
        <w:t xml:space="preserve"> and Westpac’s ongoing dispute with AUSTRAC,</w:t>
      </w:r>
      <w:r w:rsidR="005B5B97" w:rsidRPr="00DD0131">
        <w:rPr>
          <w:rStyle w:val="FootnoteReference"/>
        </w:rPr>
        <w:footnoteReference w:id="27"/>
      </w:r>
      <w:r w:rsidR="005B5B97">
        <w:rPr>
          <w:rFonts w:ascii="Times New Roman" w:hAnsi="Times New Roman" w:cs="Times New Roman"/>
        </w:rPr>
        <w:t xml:space="preserve"> Australia’s own compliance expenditure </w:t>
      </w:r>
      <w:r w:rsidR="007D1270">
        <w:rPr>
          <w:rFonts w:ascii="Times New Roman" w:hAnsi="Times New Roman" w:cs="Times New Roman"/>
        </w:rPr>
        <w:t>can be expected to</w:t>
      </w:r>
      <w:r w:rsidR="005B5B97">
        <w:rPr>
          <w:rFonts w:ascii="Times New Roman" w:hAnsi="Times New Roman" w:cs="Times New Roman"/>
        </w:rPr>
        <w:t xml:space="preserve"> face proportionally similar growth, </w:t>
      </w:r>
      <w:r w:rsidR="0077337C">
        <w:rPr>
          <w:rFonts w:ascii="Times New Roman" w:hAnsi="Times New Roman" w:cs="Times New Roman"/>
        </w:rPr>
        <w:t>threatening</w:t>
      </w:r>
      <w:r w:rsidR="005B5B97">
        <w:rPr>
          <w:rFonts w:ascii="Times New Roman" w:hAnsi="Times New Roman" w:cs="Times New Roman"/>
        </w:rPr>
        <w:t xml:space="preserve"> </w:t>
      </w:r>
      <w:r w:rsidR="00505ACC">
        <w:rPr>
          <w:rFonts w:ascii="Times New Roman" w:hAnsi="Times New Roman" w:cs="Times New Roman"/>
        </w:rPr>
        <w:t>the sustainability of</w:t>
      </w:r>
      <w:r w:rsidR="005B5B97">
        <w:rPr>
          <w:rFonts w:ascii="Times New Roman" w:hAnsi="Times New Roman" w:cs="Times New Roman"/>
        </w:rPr>
        <w:t xml:space="preserve"> a non-significant portion of smaller financial services.</w:t>
      </w:r>
      <w:r w:rsidR="005B5B97" w:rsidRPr="00DD0131">
        <w:rPr>
          <w:rStyle w:val="FootnoteReference"/>
        </w:rPr>
        <w:footnoteReference w:id="28"/>
      </w:r>
      <w:r w:rsidR="00951225">
        <w:rPr>
          <w:rFonts w:ascii="Times New Roman" w:hAnsi="Times New Roman" w:cs="Times New Roman"/>
        </w:rPr>
        <w:t xml:space="preserve"> </w:t>
      </w:r>
      <w:r w:rsidR="0027456E">
        <w:rPr>
          <w:rFonts w:ascii="Times New Roman" w:hAnsi="Times New Roman" w:cs="Times New Roman"/>
        </w:rPr>
        <w:t xml:space="preserve">Beyond the financial costs however, the OECD </w:t>
      </w:r>
      <w:r w:rsidR="00FC318E">
        <w:rPr>
          <w:rFonts w:ascii="Times New Roman" w:hAnsi="Times New Roman" w:cs="Times New Roman"/>
        </w:rPr>
        <w:t>identify</w:t>
      </w:r>
      <w:r w:rsidR="0062032A">
        <w:rPr>
          <w:rFonts w:ascii="Times New Roman" w:hAnsi="Times New Roman" w:cs="Times New Roman"/>
        </w:rPr>
        <w:t xml:space="preserve"> a serious legal risk</w:t>
      </w:r>
      <w:r w:rsidR="00D21191">
        <w:rPr>
          <w:rFonts w:ascii="Times New Roman" w:hAnsi="Times New Roman" w:cs="Times New Roman"/>
        </w:rPr>
        <w:t xml:space="preserve"> in a status quo which sees each individual private entit</w:t>
      </w:r>
      <w:r w:rsidR="005523B9">
        <w:rPr>
          <w:rFonts w:ascii="Times New Roman" w:hAnsi="Times New Roman" w:cs="Times New Roman"/>
        </w:rPr>
        <w:t>ies</w:t>
      </w:r>
      <w:r w:rsidR="00163055">
        <w:rPr>
          <w:rFonts w:ascii="Times New Roman" w:hAnsi="Times New Roman" w:cs="Times New Roman"/>
        </w:rPr>
        <w:t xml:space="preserve"> separately interpreting the law in their own ways</w:t>
      </w:r>
      <w:r w:rsidR="00B65FE1">
        <w:rPr>
          <w:rFonts w:ascii="Times New Roman" w:hAnsi="Times New Roman" w:cs="Times New Roman"/>
        </w:rPr>
        <w:t xml:space="preserve">, resulting in a variety of software solutions which </w:t>
      </w:r>
      <w:r w:rsidR="005B3737">
        <w:rPr>
          <w:rFonts w:ascii="Times New Roman" w:hAnsi="Times New Roman" w:cs="Times New Roman"/>
        </w:rPr>
        <w:t>make up both legal and technical ‘black boxes’ through proprietary protection and software structure respectively,</w:t>
      </w:r>
      <w:r w:rsidR="005B3737" w:rsidRPr="00DD0131">
        <w:rPr>
          <w:rStyle w:val="FootnoteReference"/>
        </w:rPr>
        <w:footnoteReference w:id="29"/>
      </w:r>
      <w:r w:rsidR="005B3737">
        <w:rPr>
          <w:rFonts w:ascii="Times New Roman" w:hAnsi="Times New Roman" w:cs="Times New Roman"/>
        </w:rPr>
        <w:t xml:space="preserve"> </w:t>
      </w:r>
      <w:r w:rsidR="00CA6003">
        <w:rPr>
          <w:rFonts w:ascii="Times New Roman" w:hAnsi="Times New Roman" w:cs="Times New Roman"/>
        </w:rPr>
        <w:t xml:space="preserve">and therefore cannot </w:t>
      </w:r>
      <w:r w:rsidR="00CA6003">
        <w:rPr>
          <w:rFonts w:ascii="Times New Roman" w:hAnsi="Times New Roman" w:cs="Times New Roman"/>
        </w:rPr>
        <w:lastRenderedPageBreak/>
        <w:t>be</w:t>
      </w:r>
      <w:r w:rsidR="005B3737">
        <w:rPr>
          <w:rFonts w:ascii="Times New Roman" w:hAnsi="Times New Roman" w:cs="Times New Roman"/>
        </w:rPr>
        <w:t xml:space="preserve"> </w:t>
      </w:r>
      <w:r w:rsidR="00CA6003">
        <w:rPr>
          <w:rFonts w:ascii="Times New Roman" w:hAnsi="Times New Roman" w:cs="Times New Roman"/>
        </w:rPr>
        <w:t>checked by external legal experts.</w:t>
      </w:r>
      <w:r w:rsidR="000753C1" w:rsidRPr="00DD0131">
        <w:rPr>
          <w:rStyle w:val="FootnoteReference"/>
        </w:rPr>
        <w:footnoteReference w:id="30"/>
      </w:r>
      <w:r w:rsidR="00016F9C">
        <w:rPr>
          <w:rFonts w:ascii="Times New Roman" w:hAnsi="Times New Roman" w:cs="Times New Roman"/>
        </w:rPr>
        <w:t xml:space="preserve"> Indeed, such cases have arisen in the United States, in which not even the judicial figures relying on such tools in their sentencing were privy to its inner mechanisms.</w:t>
      </w:r>
      <w:r w:rsidR="00016F9C" w:rsidRPr="00DD0131">
        <w:rPr>
          <w:rStyle w:val="FootnoteReference"/>
        </w:rPr>
        <w:footnoteReference w:id="31"/>
      </w:r>
      <w:r w:rsidR="00CB7044">
        <w:rPr>
          <w:rFonts w:ascii="Times New Roman" w:hAnsi="Times New Roman" w:cs="Times New Roman"/>
        </w:rPr>
        <w:t xml:space="preserve"> </w:t>
      </w:r>
      <w:r w:rsidR="009F1337">
        <w:rPr>
          <w:rFonts w:ascii="Times New Roman" w:hAnsi="Times New Roman" w:cs="Times New Roman"/>
        </w:rPr>
        <w:t>I</w:t>
      </w:r>
      <w:r w:rsidR="00A70275">
        <w:rPr>
          <w:rFonts w:ascii="Times New Roman" w:hAnsi="Times New Roman" w:cs="Times New Roman"/>
        </w:rPr>
        <w:t xml:space="preserve">t is </w:t>
      </w:r>
      <w:r w:rsidR="00DC7E7A">
        <w:rPr>
          <w:rFonts w:ascii="Times New Roman" w:hAnsi="Times New Roman" w:cs="Times New Roman"/>
        </w:rPr>
        <w:t>therefore no surprise</w:t>
      </w:r>
      <w:r w:rsidR="00A70275">
        <w:rPr>
          <w:rFonts w:ascii="Times New Roman" w:hAnsi="Times New Roman" w:cs="Times New Roman"/>
        </w:rPr>
        <w:t xml:space="preserve"> that the </w:t>
      </w:r>
      <w:r w:rsidR="00DD0131">
        <w:rPr>
          <w:rFonts w:ascii="Times New Roman" w:hAnsi="Times New Roman" w:cs="Times New Roman"/>
        </w:rPr>
        <w:t>RaC</w:t>
      </w:r>
      <w:r w:rsidR="00A70275">
        <w:rPr>
          <w:rFonts w:ascii="Times New Roman" w:hAnsi="Times New Roman" w:cs="Times New Roman"/>
        </w:rPr>
        <w:t xml:space="preserve"> initiative is being pursued in a variety of forms worldwide,</w:t>
      </w:r>
      <w:r w:rsidR="00BE124C" w:rsidRPr="00DD0131">
        <w:rPr>
          <w:rStyle w:val="FootnoteReference"/>
        </w:rPr>
        <w:footnoteReference w:id="32"/>
      </w:r>
      <w:r w:rsidR="00D31FF9">
        <w:rPr>
          <w:rFonts w:ascii="Times New Roman" w:hAnsi="Times New Roman" w:cs="Times New Roman"/>
        </w:rPr>
        <w:t xml:space="preserve"> though such reforms carry with them risks as well.</w:t>
      </w:r>
    </w:p>
    <w:p w14:paraId="1472B286" w14:textId="311CA87E" w:rsidR="00BB57B8" w:rsidRDefault="00BB57B8" w:rsidP="00E67332">
      <w:pPr>
        <w:spacing w:line="480" w:lineRule="auto"/>
        <w:jc w:val="both"/>
        <w:rPr>
          <w:rFonts w:ascii="Times New Roman" w:hAnsi="Times New Roman" w:cs="Times New Roman"/>
        </w:rPr>
      </w:pPr>
      <w:r>
        <w:rPr>
          <w:rFonts w:ascii="Times New Roman" w:hAnsi="Times New Roman" w:cs="Times New Roman"/>
        </w:rPr>
        <w:t xml:space="preserve">Though </w:t>
      </w:r>
      <w:r w:rsidR="00831DB4">
        <w:rPr>
          <w:rFonts w:ascii="Times New Roman" w:hAnsi="Times New Roman" w:cs="Times New Roman"/>
        </w:rPr>
        <w:t xml:space="preserve">an RaC framework is yet to be installed in a significant </w:t>
      </w:r>
      <w:r w:rsidR="00BC555C">
        <w:rPr>
          <w:rFonts w:ascii="Times New Roman" w:hAnsi="Times New Roman" w:cs="Times New Roman"/>
        </w:rPr>
        <w:t xml:space="preserve">sense </w:t>
      </w:r>
      <w:r w:rsidR="00B15E23">
        <w:rPr>
          <w:rFonts w:ascii="Times New Roman" w:hAnsi="Times New Roman" w:cs="Times New Roman"/>
        </w:rPr>
        <w:t>by any government administration</w:t>
      </w:r>
      <w:r w:rsidR="00BC555C">
        <w:rPr>
          <w:rFonts w:ascii="Times New Roman" w:hAnsi="Times New Roman" w:cs="Times New Roman"/>
        </w:rPr>
        <w:t xml:space="preserve">, logic and data-driven </w:t>
      </w:r>
      <w:r w:rsidR="00C37CAC">
        <w:rPr>
          <w:rFonts w:ascii="Times New Roman" w:hAnsi="Times New Roman" w:cs="Times New Roman"/>
        </w:rPr>
        <w:t xml:space="preserve">legal decision-making software is being deployed </w:t>
      </w:r>
      <w:r w:rsidR="00BF0CD5">
        <w:rPr>
          <w:rFonts w:ascii="Times New Roman" w:hAnsi="Times New Roman" w:cs="Times New Roman"/>
        </w:rPr>
        <w:t>both commercially and publicly at a rapid pace, providing lessons to be considered in any potential RaC implementation.</w:t>
      </w:r>
      <w:r w:rsidR="003E2D56">
        <w:rPr>
          <w:rFonts w:ascii="Times New Roman" w:hAnsi="Times New Roman" w:cs="Times New Roman"/>
        </w:rPr>
        <w:t xml:space="preserve"> </w:t>
      </w:r>
      <w:r w:rsidR="00B15E23">
        <w:rPr>
          <w:rFonts w:ascii="Times New Roman" w:hAnsi="Times New Roman" w:cs="Times New Roman"/>
        </w:rPr>
        <w:t>Critics such as Starr</w:t>
      </w:r>
      <w:r w:rsidR="00141674">
        <w:rPr>
          <w:rFonts w:ascii="Times New Roman" w:hAnsi="Times New Roman" w:cs="Times New Roman"/>
        </w:rPr>
        <w:t>,</w:t>
      </w:r>
      <w:r w:rsidR="00B15E23" w:rsidRPr="00DD0131">
        <w:rPr>
          <w:rStyle w:val="FootnoteReference"/>
        </w:rPr>
        <w:footnoteReference w:id="33"/>
      </w:r>
      <w:r w:rsidR="00141674">
        <w:rPr>
          <w:rFonts w:ascii="Times New Roman" w:hAnsi="Times New Roman" w:cs="Times New Roman"/>
        </w:rPr>
        <w:t xml:space="preserve"> Liu, Lin &amp; Chen</w:t>
      </w:r>
      <w:r w:rsidR="00141674" w:rsidRPr="00DD0131">
        <w:rPr>
          <w:rStyle w:val="FootnoteReference"/>
        </w:rPr>
        <w:footnoteReference w:id="34"/>
      </w:r>
      <w:r w:rsidR="00141674">
        <w:rPr>
          <w:rFonts w:ascii="Times New Roman" w:hAnsi="Times New Roman" w:cs="Times New Roman"/>
        </w:rPr>
        <w:t xml:space="preserve"> and</w:t>
      </w:r>
      <w:r w:rsidR="00B15E23">
        <w:rPr>
          <w:rFonts w:ascii="Times New Roman" w:hAnsi="Times New Roman" w:cs="Times New Roman"/>
        </w:rPr>
        <w:t xml:space="preserve"> Larson et al.</w:t>
      </w:r>
      <w:r w:rsidR="00B15E23" w:rsidRPr="00DD0131">
        <w:rPr>
          <w:rStyle w:val="FootnoteReference"/>
        </w:rPr>
        <w:footnoteReference w:id="35"/>
      </w:r>
      <w:r w:rsidR="00B6585E">
        <w:rPr>
          <w:rFonts w:ascii="Times New Roman" w:hAnsi="Times New Roman" w:cs="Times New Roman"/>
        </w:rPr>
        <w:t xml:space="preserve"> highlight the potential</w:t>
      </w:r>
      <w:r w:rsidR="00990B44">
        <w:rPr>
          <w:rFonts w:ascii="Times New Roman" w:hAnsi="Times New Roman" w:cs="Times New Roman"/>
        </w:rPr>
        <w:t xml:space="preserve"> for </w:t>
      </w:r>
      <w:r w:rsidR="008D771F">
        <w:rPr>
          <w:rFonts w:ascii="Times New Roman" w:hAnsi="Times New Roman" w:cs="Times New Roman"/>
        </w:rPr>
        <w:t xml:space="preserve">automated decision-making to exacerbate </w:t>
      </w:r>
      <w:r w:rsidR="00301598">
        <w:rPr>
          <w:rFonts w:ascii="Times New Roman" w:hAnsi="Times New Roman" w:cs="Times New Roman"/>
        </w:rPr>
        <w:t xml:space="preserve">discriminatory </w:t>
      </w:r>
      <w:r w:rsidR="00AE3D72">
        <w:rPr>
          <w:rFonts w:ascii="Times New Roman" w:hAnsi="Times New Roman" w:cs="Times New Roman"/>
        </w:rPr>
        <w:t>biases already present in society</w:t>
      </w:r>
      <w:r w:rsidR="008C0EE1">
        <w:rPr>
          <w:rFonts w:ascii="Times New Roman" w:hAnsi="Times New Roman" w:cs="Times New Roman"/>
        </w:rPr>
        <w:t xml:space="preserve"> </w:t>
      </w:r>
      <w:r w:rsidR="00C738A8">
        <w:rPr>
          <w:rFonts w:ascii="Times New Roman" w:hAnsi="Times New Roman" w:cs="Times New Roman"/>
        </w:rPr>
        <w:t>through the use of inherently skewed data in training artificial intelligence,</w:t>
      </w:r>
      <w:r w:rsidR="00B15E23" w:rsidRPr="00DD0131">
        <w:rPr>
          <w:rStyle w:val="FootnoteReference"/>
        </w:rPr>
        <w:footnoteReference w:id="36"/>
      </w:r>
      <w:r w:rsidR="0081074D" w:rsidRPr="0081074D">
        <w:rPr>
          <w:rStyle w:val="FootnoteReference"/>
          <w:rFonts w:ascii="Times New Roman" w:hAnsi="Times New Roman" w:cs="Times New Roman"/>
        </w:rPr>
        <w:t xml:space="preserve"> </w:t>
      </w:r>
      <w:r w:rsidR="00340D75">
        <w:rPr>
          <w:rFonts w:ascii="Times New Roman" w:hAnsi="Times New Roman" w:cs="Times New Roman"/>
        </w:rPr>
        <w:t>and such concerns translate to</w:t>
      </w:r>
      <w:r w:rsidR="00C738A8">
        <w:rPr>
          <w:rFonts w:ascii="Times New Roman" w:hAnsi="Times New Roman" w:cs="Times New Roman"/>
        </w:rPr>
        <w:t xml:space="preserve"> rules engines</w:t>
      </w:r>
      <w:r w:rsidR="00340D75">
        <w:rPr>
          <w:rFonts w:ascii="Times New Roman" w:hAnsi="Times New Roman" w:cs="Times New Roman"/>
        </w:rPr>
        <w:t xml:space="preserve"> via the risk of</w:t>
      </w:r>
      <w:r w:rsidR="00C738A8">
        <w:rPr>
          <w:rFonts w:ascii="Times New Roman" w:hAnsi="Times New Roman" w:cs="Times New Roman"/>
        </w:rPr>
        <w:t xml:space="preserve"> </w:t>
      </w:r>
      <w:r w:rsidR="00DA4895">
        <w:rPr>
          <w:rFonts w:ascii="Times New Roman" w:hAnsi="Times New Roman" w:cs="Times New Roman"/>
        </w:rPr>
        <w:t>ignoring</w:t>
      </w:r>
      <w:r w:rsidR="00D77F39">
        <w:rPr>
          <w:rFonts w:ascii="Times New Roman" w:hAnsi="Times New Roman" w:cs="Times New Roman"/>
        </w:rPr>
        <w:t xml:space="preserve"> the constantly evolving nature of social norms by programming the law statically according to the norms at the time.</w:t>
      </w:r>
      <w:r w:rsidR="00CC1ECE">
        <w:rPr>
          <w:rFonts w:ascii="Times New Roman" w:hAnsi="Times New Roman" w:cs="Times New Roman"/>
        </w:rPr>
        <w:t xml:space="preserve"> A 2017</w:t>
      </w:r>
      <w:r w:rsidR="00D04766">
        <w:rPr>
          <w:rFonts w:ascii="Times New Roman" w:hAnsi="Times New Roman" w:cs="Times New Roman"/>
        </w:rPr>
        <w:t xml:space="preserve"> investigation </w:t>
      </w:r>
      <w:r w:rsidR="007D4C11">
        <w:rPr>
          <w:rFonts w:ascii="Times New Roman" w:hAnsi="Times New Roman" w:cs="Times New Roman"/>
        </w:rPr>
        <w:t xml:space="preserve">conducted by </w:t>
      </w:r>
      <w:r w:rsidR="007D4C11">
        <w:rPr>
          <w:rFonts w:ascii="Times New Roman" w:hAnsi="Times New Roman" w:cs="Times New Roman"/>
          <w:i/>
          <w:iCs/>
        </w:rPr>
        <w:t xml:space="preserve">ProPublica </w:t>
      </w:r>
      <w:r w:rsidR="00D75C63">
        <w:rPr>
          <w:rFonts w:ascii="Times New Roman" w:hAnsi="Times New Roman" w:cs="Times New Roman"/>
        </w:rPr>
        <w:t>found significant</w:t>
      </w:r>
      <w:r w:rsidR="00D8078C">
        <w:rPr>
          <w:rFonts w:ascii="Times New Roman" w:hAnsi="Times New Roman" w:cs="Times New Roman"/>
        </w:rPr>
        <w:t xml:space="preserve"> racial bias in </w:t>
      </w:r>
      <w:r w:rsidR="00D75C63">
        <w:rPr>
          <w:rFonts w:ascii="Times New Roman" w:hAnsi="Times New Roman" w:cs="Times New Roman"/>
        </w:rPr>
        <w:t xml:space="preserve">the conclusions of </w:t>
      </w:r>
      <w:r w:rsidR="004F44A9">
        <w:rPr>
          <w:rFonts w:ascii="Times New Roman" w:hAnsi="Times New Roman" w:cs="Times New Roman"/>
        </w:rPr>
        <w:t>COMPAS</w:t>
      </w:r>
      <w:r w:rsidR="00E7606A">
        <w:rPr>
          <w:rFonts w:ascii="Times New Roman" w:hAnsi="Times New Roman" w:cs="Times New Roman"/>
        </w:rPr>
        <w:t>,</w:t>
      </w:r>
      <w:r w:rsidR="00401EF6" w:rsidRPr="00DD0131">
        <w:rPr>
          <w:rStyle w:val="FootnoteReference"/>
        </w:rPr>
        <w:footnoteReference w:id="37"/>
      </w:r>
      <w:r w:rsidR="00E7606A">
        <w:rPr>
          <w:rFonts w:ascii="Times New Roman" w:hAnsi="Times New Roman" w:cs="Times New Roman"/>
        </w:rPr>
        <w:t xml:space="preserve"> a</w:t>
      </w:r>
      <w:r w:rsidR="00D8078C">
        <w:rPr>
          <w:rFonts w:ascii="Times New Roman" w:hAnsi="Times New Roman" w:cs="Times New Roman"/>
        </w:rPr>
        <w:t>n</w:t>
      </w:r>
      <w:r w:rsidR="00E7606A">
        <w:rPr>
          <w:rFonts w:ascii="Times New Roman" w:hAnsi="Times New Roman" w:cs="Times New Roman"/>
        </w:rPr>
        <w:t xml:space="preserve"> algorithm employed by various courts in the United States</w:t>
      </w:r>
      <w:r w:rsidR="00D8078C">
        <w:rPr>
          <w:rFonts w:ascii="Times New Roman" w:hAnsi="Times New Roman" w:cs="Times New Roman"/>
        </w:rPr>
        <w:t xml:space="preserve"> to assist judges in predicting recidivism</w:t>
      </w:r>
      <w:r w:rsidR="007D4C11">
        <w:rPr>
          <w:rFonts w:ascii="Times New Roman" w:hAnsi="Times New Roman" w:cs="Times New Roman"/>
        </w:rPr>
        <w:t xml:space="preserve">, </w:t>
      </w:r>
      <w:r w:rsidR="00724AD1">
        <w:rPr>
          <w:rFonts w:ascii="Times New Roman" w:hAnsi="Times New Roman" w:cs="Times New Roman"/>
        </w:rPr>
        <w:t>despite no explicit referral to race</w:t>
      </w:r>
      <w:r w:rsidR="00DD3FBC">
        <w:rPr>
          <w:rFonts w:ascii="Times New Roman" w:hAnsi="Times New Roman" w:cs="Times New Roman"/>
        </w:rPr>
        <w:t xml:space="preserve"> in the </w:t>
      </w:r>
      <w:r w:rsidR="00DD3FBC">
        <w:rPr>
          <w:rFonts w:ascii="Times New Roman" w:hAnsi="Times New Roman" w:cs="Times New Roman"/>
        </w:rPr>
        <w:lastRenderedPageBreak/>
        <w:t>algorithm itself.</w:t>
      </w:r>
      <w:r w:rsidR="00DD3FBC" w:rsidRPr="00DD0131">
        <w:rPr>
          <w:rStyle w:val="FootnoteReference"/>
        </w:rPr>
        <w:footnoteReference w:id="38"/>
      </w:r>
      <w:r w:rsidR="00DD3FBC">
        <w:rPr>
          <w:rFonts w:ascii="Times New Roman" w:hAnsi="Times New Roman" w:cs="Times New Roman"/>
        </w:rPr>
        <w:t xml:space="preserve"> </w:t>
      </w:r>
      <w:r w:rsidR="00AD1704">
        <w:rPr>
          <w:rFonts w:ascii="Times New Roman" w:hAnsi="Times New Roman" w:cs="Times New Roman"/>
        </w:rPr>
        <w:t>Such unintentional biases, scholars argue, result from the correlation</w:t>
      </w:r>
      <w:r w:rsidR="0050264F">
        <w:rPr>
          <w:rFonts w:ascii="Times New Roman" w:hAnsi="Times New Roman" w:cs="Times New Roman"/>
        </w:rPr>
        <w:t xml:space="preserve"> of race with variables such as socioeconomic status,</w:t>
      </w:r>
      <w:r w:rsidR="00BD3E21" w:rsidRPr="00DD0131">
        <w:rPr>
          <w:rStyle w:val="FootnoteReference"/>
        </w:rPr>
        <w:footnoteReference w:id="39"/>
      </w:r>
      <w:r w:rsidR="0050264F">
        <w:rPr>
          <w:rFonts w:ascii="Times New Roman" w:hAnsi="Times New Roman" w:cs="Times New Roman"/>
        </w:rPr>
        <w:t xml:space="preserve"> a relationship which is in itself indicative of current societal norms not being appropriate foundations upon which law should be statically programmed.</w:t>
      </w:r>
    </w:p>
    <w:p w14:paraId="55A15396" w14:textId="22BD300E" w:rsidR="00DE1E48" w:rsidRDefault="00DE1E48" w:rsidP="00E67332">
      <w:pPr>
        <w:spacing w:line="480" w:lineRule="auto"/>
        <w:jc w:val="both"/>
        <w:rPr>
          <w:rFonts w:ascii="Times New Roman" w:hAnsi="Times New Roman" w:cs="Times New Roman"/>
        </w:rPr>
      </w:pPr>
    </w:p>
    <w:p w14:paraId="6847940B" w14:textId="216A9F23" w:rsidR="00C95A92" w:rsidRPr="00B67F00" w:rsidRDefault="00AD2743" w:rsidP="00AD2743">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t>B</w:t>
      </w:r>
      <w:r w:rsidRPr="00B67F00">
        <w:rPr>
          <w:rFonts w:ascii="Times New Roman" w:hAnsi="Times New Roman" w:cs="Times New Roman"/>
          <w:sz w:val="24"/>
          <w:szCs w:val="24"/>
        </w:rPr>
        <w:t xml:space="preserve"> </w:t>
      </w:r>
      <w:r w:rsidR="00C95A92" w:rsidRPr="00B67F00">
        <w:rPr>
          <w:rFonts w:ascii="Times New Roman" w:hAnsi="Times New Roman" w:cs="Times New Roman"/>
          <w:i/>
          <w:iCs/>
          <w:sz w:val="24"/>
          <w:szCs w:val="24"/>
        </w:rPr>
        <w:t>The Formalist Nature of Code</w:t>
      </w:r>
    </w:p>
    <w:p w14:paraId="25CF447B" w14:textId="79AB42ED" w:rsidR="00C95A92" w:rsidRDefault="00C95A92" w:rsidP="00AA6743">
      <w:pPr>
        <w:spacing w:line="480" w:lineRule="auto"/>
        <w:jc w:val="both"/>
        <w:rPr>
          <w:rFonts w:ascii="Times New Roman" w:hAnsi="Times New Roman" w:cs="Times New Roman"/>
        </w:rPr>
      </w:pPr>
      <w:r w:rsidRPr="00B67F00">
        <w:rPr>
          <w:rFonts w:ascii="Times New Roman" w:hAnsi="Times New Roman" w:cs="Times New Roman"/>
        </w:rPr>
        <w:t>While literature proposing technical and social methods of implementing RaC is abundant and fast growing, there is little addressing the question of whether such developments should in fact occur from a jurisprudential perspective.</w:t>
      </w:r>
      <w:r w:rsidR="001B55D8" w:rsidRPr="00B67F00">
        <w:rPr>
          <w:rFonts w:ascii="Times New Roman" w:hAnsi="Times New Roman" w:cs="Times New Roman"/>
        </w:rPr>
        <w:t xml:space="preserve"> </w:t>
      </w:r>
      <w:r w:rsidR="00203194" w:rsidRPr="00B67F00">
        <w:rPr>
          <w:rFonts w:ascii="Times New Roman" w:hAnsi="Times New Roman" w:cs="Times New Roman"/>
        </w:rPr>
        <w:t xml:space="preserve">As an inherent consequence of the </w:t>
      </w:r>
      <w:r w:rsidR="00216F5F">
        <w:rPr>
          <w:rFonts w:ascii="Times New Roman" w:hAnsi="Times New Roman" w:cs="Times New Roman"/>
        </w:rPr>
        <w:t>deterministic</w:t>
      </w:r>
      <w:r w:rsidR="00203194" w:rsidRPr="00B67F00">
        <w:rPr>
          <w:rFonts w:ascii="Times New Roman" w:hAnsi="Times New Roman" w:cs="Times New Roman"/>
        </w:rPr>
        <w:t xml:space="preserve"> nature of algorithms, t</w:t>
      </w:r>
      <w:r w:rsidR="001B55D8" w:rsidRPr="00B67F00">
        <w:rPr>
          <w:rFonts w:ascii="Times New Roman" w:hAnsi="Times New Roman" w:cs="Times New Roman"/>
        </w:rPr>
        <w:t xml:space="preserve">he field of computational law </w:t>
      </w:r>
      <w:r w:rsidR="004827CE" w:rsidRPr="00B67F00">
        <w:rPr>
          <w:rFonts w:ascii="Times New Roman" w:hAnsi="Times New Roman" w:cs="Times New Roman"/>
        </w:rPr>
        <w:t>naturally aligns with the theory of legal formalism,</w:t>
      </w:r>
      <w:r w:rsidR="00203194" w:rsidRPr="00DD0131">
        <w:rPr>
          <w:rStyle w:val="FootnoteReference"/>
        </w:rPr>
        <w:footnoteReference w:id="40"/>
      </w:r>
      <w:r w:rsidR="00203194" w:rsidRPr="00B67F00">
        <w:rPr>
          <w:rFonts w:ascii="Times New Roman" w:hAnsi="Times New Roman" w:cs="Times New Roman"/>
        </w:rPr>
        <w:t xml:space="preserve"> a normative theory of </w:t>
      </w:r>
      <w:r w:rsidR="00B61C51">
        <w:rPr>
          <w:rFonts w:ascii="Times New Roman" w:hAnsi="Times New Roman" w:cs="Times New Roman"/>
        </w:rPr>
        <w:t>jurisprudence</w:t>
      </w:r>
      <w:r w:rsidR="00203194" w:rsidRPr="00B67F00">
        <w:rPr>
          <w:rFonts w:ascii="Times New Roman" w:hAnsi="Times New Roman" w:cs="Times New Roman"/>
        </w:rPr>
        <w:t xml:space="preserve"> </w:t>
      </w:r>
      <w:r w:rsidR="005833AB">
        <w:rPr>
          <w:rFonts w:ascii="Times New Roman" w:hAnsi="Times New Roman" w:cs="Times New Roman"/>
        </w:rPr>
        <w:t xml:space="preserve">encouraging strict adherence </w:t>
      </w:r>
      <w:r w:rsidR="002B590E">
        <w:rPr>
          <w:rFonts w:ascii="Times New Roman" w:hAnsi="Times New Roman" w:cs="Times New Roman"/>
        </w:rPr>
        <w:t xml:space="preserve">only </w:t>
      </w:r>
      <w:r w:rsidR="005833AB">
        <w:rPr>
          <w:rFonts w:ascii="Times New Roman" w:hAnsi="Times New Roman" w:cs="Times New Roman"/>
        </w:rPr>
        <w:t>to the law, as opposed to contextual</w:t>
      </w:r>
      <w:r w:rsidR="002B590E">
        <w:rPr>
          <w:rFonts w:ascii="Times New Roman" w:hAnsi="Times New Roman" w:cs="Times New Roman"/>
        </w:rPr>
        <w:t xml:space="preserve"> or heuristic considerations</w:t>
      </w:r>
      <w:r w:rsidR="00203194" w:rsidRPr="00B67F00">
        <w:rPr>
          <w:rFonts w:ascii="Times New Roman" w:hAnsi="Times New Roman" w:cs="Times New Roman"/>
        </w:rPr>
        <w:t>.</w:t>
      </w:r>
      <w:r w:rsidR="00347F81" w:rsidRPr="00DD0131">
        <w:rPr>
          <w:rStyle w:val="FootnoteReference"/>
        </w:rPr>
        <w:footnoteReference w:id="41"/>
      </w:r>
      <w:r w:rsidR="00203194" w:rsidRPr="00B67F00">
        <w:rPr>
          <w:rFonts w:ascii="Times New Roman" w:hAnsi="Times New Roman" w:cs="Times New Roman"/>
        </w:rPr>
        <w:t xml:space="preserve"> Indeed, formalism has been described numerous times as the ‘autonomous’ theory of adjudication</w:t>
      </w:r>
      <w:r w:rsidR="00DE4404" w:rsidRPr="00B67F00">
        <w:rPr>
          <w:rFonts w:ascii="Times New Roman" w:hAnsi="Times New Roman" w:cs="Times New Roman"/>
        </w:rPr>
        <w:t>.</w:t>
      </w:r>
      <w:r w:rsidR="00203194" w:rsidRPr="00DD0131">
        <w:rPr>
          <w:rStyle w:val="FootnoteReference"/>
        </w:rPr>
        <w:footnoteReference w:id="42"/>
      </w:r>
      <w:r w:rsidR="00203194" w:rsidRPr="00B67F00">
        <w:rPr>
          <w:rFonts w:ascii="Times New Roman" w:hAnsi="Times New Roman" w:cs="Times New Roman"/>
        </w:rPr>
        <w:t xml:space="preserve"> </w:t>
      </w:r>
      <w:r w:rsidR="00593EC2">
        <w:rPr>
          <w:rFonts w:ascii="Times New Roman" w:hAnsi="Times New Roman" w:cs="Times New Roman"/>
        </w:rPr>
        <w:t xml:space="preserve">It is acknowledged that the theory of legal formalism is one with a wide number of varying interpretations, and thus for the purposes of this article, the facets which are common across most variations, namely a strict and technical interpretation of the law in which the judiciary is expected not to create law, but to find the ‘right’ interpretation, are considered. </w:t>
      </w:r>
      <w:r w:rsidR="0095449F" w:rsidRPr="00B67F00">
        <w:rPr>
          <w:rFonts w:ascii="Times New Roman" w:hAnsi="Times New Roman" w:cs="Times New Roman"/>
        </w:rPr>
        <w:t xml:space="preserve">McIntrye </w:t>
      </w:r>
      <w:r w:rsidR="0095449F">
        <w:rPr>
          <w:rFonts w:ascii="Times New Roman" w:hAnsi="Times New Roman" w:cs="Times New Roman"/>
        </w:rPr>
        <w:t xml:space="preserve">corroborates </w:t>
      </w:r>
      <w:r w:rsidR="00180D2D">
        <w:rPr>
          <w:rFonts w:ascii="Times New Roman" w:hAnsi="Times New Roman" w:cs="Times New Roman"/>
        </w:rPr>
        <w:t>concerns of RaC aligning with formalism</w:t>
      </w:r>
      <w:r w:rsidR="0095449F">
        <w:rPr>
          <w:rFonts w:ascii="Times New Roman" w:hAnsi="Times New Roman" w:cs="Times New Roman"/>
        </w:rPr>
        <w:t xml:space="preserve"> in his</w:t>
      </w:r>
      <w:r w:rsidR="00DE4404" w:rsidRPr="00B67F00">
        <w:rPr>
          <w:rFonts w:ascii="Times New Roman" w:hAnsi="Times New Roman" w:cs="Times New Roman"/>
        </w:rPr>
        <w:t xml:space="preserve"> critique of digital government,</w:t>
      </w:r>
      <w:r w:rsidRPr="00B67F00">
        <w:rPr>
          <w:rFonts w:ascii="Times New Roman" w:hAnsi="Times New Roman" w:cs="Times New Roman"/>
        </w:rPr>
        <w:t xml:space="preserve"> </w:t>
      </w:r>
      <w:r w:rsidR="0095449F">
        <w:rPr>
          <w:rFonts w:ascii="Times New Roman" w:hAnsi="Times New Roman" w:cs="Times New Roman"/>
        </w:rPr>
        <w:t>highlighting</w:t>
      </w:r>
      <w:r w:rsidR="00DE4404" w:rsidRPr="00B67F00">
        <w:rPr>
          <w:rFonts w:ascii="Times New Roman" w:hAnsi="Times New Roman" w:cs="Times New Roman"/>
        </w:rPr>
        <w:t xml:space="preserve"> the dangers of discouraging judicial discretion clauses for the sake of accommodating RaC</w:t>
      </w:r>
      <w:r w:rsidRPr="00DD0131">
        <w:rPr>
          <w:rStyle w:val="FootnoteReference"/>
        </w:rPr>
        <w:footnoteReference w:id="43"/>
      </w:r>
      <w:r w:rsidR="001665EA">
        <w:rPr>
          <w:rFonts w:ascii="Times New Roman" w:hAnsi="Times New Roman" w:cs="Times New Roman"/>
        </w:rPr>
        <w:t xml:space="preserve"> and</w:t>
      </w:r>
      <w:r w:rsidR="00DE4404" w:rsidRPr="00B67F00">
        <w:rPr>
          <w:rFonts w:ascii="Times New Roman" w:hAnsi="Times New Roman" w:cs="Times New Roman"/>
        </w:rPr>
        <w:t xml:space="preserve"> disparagingly </w:t>
      </w:r>
      <w:r w:rsidR="00DE4404" w:rsidRPr="00B67F00">
        <w:rPr>
          <w:rFonts w:ascii="Times New Roman" w:hAnsi="Times New Roman" w:cs="Times New Roman"/>
        </w:rPr>
        <w:lastRenderedPageBreak/>
        <w:t xml:space="preserve">comparing such hypothetical legislation </w:t>
      </w:r>
      <w:r w:rsidR="005D2AD9" w:rsidRPr="00B67F00">
        <w:rPr>
          <w:rFonts w:ascii="Times New Roman" w:hAnsi="Times New Roman" w:cs="Times New Roman"/>
        </w:rPr>
        <w:t xml:space="preserve">to </w:t>
      </w:r>
      <w:r w:rsidR="00DE4404" w:rsidRPr="00B67F00">
        <w:rPr>
          <w:rFonts w:ascii="Times New Roman" w:hAnsi="Times New Roman" w:cs="Times New Roman"/>
        </w:rPr>
        <w:t>the</w:t>
      </w:r>
      <w:r w:rsidR="005D2AD9" w:rsidRPr="00B67F00">
        <w:rPr>
          <w:rFonts w:ascii="Times New Roman" w:hAnsi="Times New Roman" w:cs="Times New Roman"/>
        </w:rPr>
        <w:t xml:space="preserve"> early</w:t>
      </w:r>
      <w:r w:rsidR="00DE4404" w:rsidRPr="00B67F00">
        <w:rPr>
          <w:rFonts w:ascii="Times New Roman" w:hAnsi="Times New Roman" w:cs="Times New Roman"/>
        </w:rPr>
        <w:t xml:space="preserve"> Napoleonic Code</w:t>
      </w:r>
      <w:r w:rsidR="00DE4404" w:rsidRPr="00DD0131">
        <w:rPr>
          <w:rStyle w:val="FootnoteReference"/>
        </w:rPr>
        <w:footnoteReference w:id="44"/>
      </w:r>
      <w:r w:rsidR="00DE4404" w:rsidRPr="00B67F00">
        <w:rPr>
          <w:rFonts w:ascii="Times New Roman" w:hAnsi="Times New Roman" w:cs="Times New Roman"/>
        </w:rPr>
        <w:t xml:space="preserve"> </w:t>
      </w:r>
      <w:r w:rsidR="005D2AD9" w:rsidRPr="00B67F00">
        <w:rPr>
          <w:rFonts w:ascii="Times New Roman" w:hAnsi="Times New Roman" w:cs="Times New Roman"/>
        </w:rPr>
        <w:t>which stripped</w:t>
      </w:r>
      <w:r w:rsidR="00DE4404" w:rsidRPr="00B67F00">
        <w:rPr>
          <w:rFonts w:ascii="Times New Roman" w:hAnsi="Times New Roman" w:cs="Times New Roman"/>
        </w:rPr>
        <w:t xml:space="preserve"> the judiciary </w:t>
      </w:r>
      <w:r w:rsidR="005D2AD9" w:rsidRPr="00B67F00">
        <w:rPr>
          <w:rFonts w:ascii="Times New Roman" w:hAnsi="Times New Roman" w:cs="Times New Roman"/>
        </w:rPr>
        <w:t>of any law-making powers.</w:t>
      </w:r>
      <w:r w:rsidR="005D2AD9" w:rsidRPr="00DD0131">
        <w:rPr>
          <w:rStyle w:val="FootnoteReference"/>
        </w:rPr>
        <w:footnoteReference w:id="45"/>
      </w:r>
      <w:r w:rsidR="00A906D9" w:rsidRPr="00B67F00">
        <w:rPr>
          <w:rFonts w:ascii="Times New Roman" w:hAnsi="Times New Roman" w:cs="Times New Roman"/>
        </w:rPr>
        <w:t xml:space="preserve"> </w:t>
      </w:r>
    </w:p>
    <w:p w14:paraId="6FD29053" w14:textId="713814B4" w:rsidR="00942AF7" w:rsidRDefault="00942AF7" w:rsidP="00AA6743">
      <w:pPr>
        <w:spacing w:line="480" w:lineRule="auto"/>
        <w:jc w:val="both"/>
        <w:rPr>
          <w:rFonts w:ascii="Times New Roman" w:hAnsi="Times New Roman" w:cs="Times New Roman"/>
        </w:rPr>
      </w:pPr>
      <w:r>
        <w:rPr>
          <w:rFonts w:ascii="Times New Roman" w:hAnsi="Times New Roman" w:cs="Times New Roman"/>
        </w:rPr>
        <w:t>Though the</w:t>
      </w:r>
      <w:r w:rsidR="00271665">
        <w:rPr>
          <w:rFonts w:ascii="Times New Roman" w:hAnsi="Times New Roman" w:cs="Times New Roman"/>
        </w:rPr>
        <w:t xml:space="preserve"> </w:t>
      </w:r>
      <w:r w:rsidR="00DC2E71">
        <w:rPr>
          <w:rFonts w:ascii="Times New Roman" w:hAnsi="Times New Roman" w:cs="Times New Roman"/>
        </w:rPr>
        <w:t xml:space="preserve">modern </w:t>
      </w:r>
      <w:r w:rsidR="00807997">
        <w:rPr>
          <w:rFonts w:ascii="Times New Roman" w:hAnsi="Times New Roman" w:cs="Times New Roman"/>
        </w:rPr>
        <w:t xml:space="preserve">debate between </w:t>
      </w:r>
      <w:r w:rsidR="00DC2E71">
        <w:rPr>
          <w:rFonts w:ascii="Times New Roman" w:hAnsi="Times New Roman" w:cs="Times New Roman"/>
        </w:rPr>
        <w:t>legal</w:t>
      </w:r>
      <w:r w:rsidR="008A23E8">
        <w:rPr>
          <w:rFonts w:ascii="Times New Roman" w:hAnsi="Times New Roman" w:cs="Times New Roman"/>
        </w:rPr>
        <w:t xml:space="preserve"> formalism </w:t>
      </w:r>
      <w:r w:rsidR="00807997">
        <w:rPr>
          <w:rFonts w:ascii="Times New Roman" w:hAnsi="Times New Roman" w:cs="Times New Roman"/>
        </w:rPr>
        <w:t>and</w:t>
      </w:r>
      <w:r w:rsidR="008A23E8">
        <w:rPr>
          <w:rFonts w:ascii="Times New Roman" w:hAnsi="Times New Roman" w:cs="Times New Roman"/>
        </w:rPr>
        <w:t xml:space="preserve"> its arguable antithesis, legal </w:t>
      </w:r>
      <w:r w:rsidR="00A5339B">
        <w:rPr>
          <w:rFonts w:ascii="Times New Roman" w:hAnsi="Times New Roman" w:cs="Times New Roman"/>
        </w:rPr>
        <w:t>realism,</w:t>
      </w:r>
      <w:r w:rsidR="008A23E8">
        <w:rPr>
          <w:rFonts w:ascii="Times New Roman" w:hAnsi="Times New Roman" w:cs="Times New Roman"/>
        </w:rPr>
        <w:t xml:space="preserve"> began</w:t>
      </w:r>
      <w:r w:rsidR="00A94F21">
        <w:rPr>
          <w:rFonts w:ascii="Times New Roman" w:hAnsi="Times New Roman" w:cs="Times New Roman"/>
        </w:rPr>
        <w:t xml:space="preserve"> in 1905</w:t>
      </w:r>
      <w:r w:rsidR="00D837BC" w:rsidRPr="00DD0131">
        <w:rPr>
          <w:rStyle w:val="FootnoteReference"/>
        </w:rPr>
        <w:footnoteReference w:id="46"/>
      </w:r>
      <w:r w:rsidR="008A23E8">
        <w:rPr>
          <w:rFonts w:ascii="Times New Roman" w:hAnsi="Times New Roman" w:cs="Times New Roman"/>
        </w:rPr>
        <w:t xml:space="preserve"> </w:t>
      </w:r>
      <w:r w:rsidR="001A5B1E">
        <w:rPr>
          <w:rFonts w:ascii="Times New Roman" w:hAnsi="Times New Roman" w:cs="Times New Roman"/>
        </w:rPr>
        <w:t xml:space="preserve">with </w:t>
      </w:r>
      <w:r w:rsidR="004F0ACE">
        <w:rPr>
          <w:rFonts w:ascii="Times New Roman" w:hAnsi="Times New Roman" w:cs="Times New Roman"/>
        </w:rPr>
        <w:t>Justice Holmes’ dissent in the US Supreme Court’s</w:t>
      </w:r>
      <w:r w:rsidR="00B30634">
        <w:rPr>
          <w:rFonts w:ascii="Times New Roman" w:hAnsi="Times New Roman" w:cs="Times New Roman"/>
        </w:rPr>
        <w:t xml:space="preserve"> (“USSC”)</w:t>
      </w:r>
      <w:r w:rsidR="004F0ACE">
        <w:rPr>
          <w:rFonts w:ascii="Times New Roman" w:hAnsi="Times New Roman" w:cs="Times New Roman"/>
        </w:rPr>
        <w:t xml:space="preserve"> </w:t>
      </w:r>
      <w:r w:rsidR="004F0ACE">
        <w:rPr>
          <w:rFonts w:ascii="Times New Roman" w:hAnsi="Times New Roman" w:cs="Times New Roman"/>
          <w:i/>
          <w:iCs/>
        </w:rPr>
        <w:t>Lochner v New York</w:t>
      </w:r>
      <w:r w:rsidR="002B6326">
        <w:rPr>
          <w:rFonts w:ascii="Times New Roman" w:hAnsi="Times New Roman" w:cs="Times New Roman"/>
          <w:i/>
          <w:iCs/>
        </w:rPr>
        <w:t>,</w:t>
      </w:r>
      <w:r w:rsidR="002B6326" w:rsidRPr="00DD0131">
        <w:rPr>
          <w:rStyle w:val="FootnoteReference"/>
        </w:rPr>
        <w:footnoteReference w:id="47"/>
      </w:r>
      <w:r w:rsidR="002B6326">
        <w:rPr>
          <w:rFonts w:ascii="Times New Roman" w:hAnsi="Times New Roman" w:cs="Times New Roman"/>
          <w:i/>
          <w:iCs/>
        </w:rPr>
        <w:t xml:space="preserve"> </w:t>
      </w:r>
      <w:r w:rsidR="005B3737">
        <w:rPr>
          <w:rFonts w:ascii="Times New Roman" w:hAnsi="Times New Roman" w:cs="Times New Roman"/>
        </w:rPr>
        <w:t xml:space="preserve">much of the Australian discussion surrounding </w:t>
      </w:r>
      <w:r w:rsidR="002B6326">
        <w:rPr>
          <w:rFonts w:ascii="Times New Roman" w:hAnsi="Times New Roman" w:cs="Times New Roman"/>
        </w:rPr>
        <w:t xml:space="preserve">the issue </w:t>
      </w:r>
      <w:r w:rsidR="005B3737">
        <w:rPr>
          <w:rFonts w:ascii="Times New Roman" w:hAnsi="Times New Roman" w:cs="Times New Roman"/>
        </w:rPr>
        <w:t xml:space="preserve">refers to </w:t>
      </w:r>
      <w:r w:rsidR="00724428">
        <w:rPr>
          <w:rFonts w:ascii="Times New Roman" w:hAnsi="Times New Roman" w:cs="Times New Roman"/>
        </w:rPr>
        <w:t>Chief Justice Dixon</w:t>
      </w:r>
      <w:r w:rsidR="005B3737">
        <w:rPr>
          <w:rFonts w:ascii="Times New Roman" w:hAnsi="Times New Roman" w:cs="Times New Roman"/>
        </w:rPr>
        <w:t>’s</w:t>
      </w:r>
      <w:r w:rsidR="00724428">
        <w:rPr>
          <w:rFonts w:ascii="Times New Roman" w:hAnsi="Times New Roman" w:cs="Times New Roman"/>
        </w:rPr>
        <w:t xml:space="preserve"> </w:t>
      </w:r>
      <w:r w:rsidR="005B3737">
        <w:rPr>
          <w:rFonts w:ascii="Times New Roman" w:hAnsi="Times New Roman" w:cs="Times New Roman"/>
        </w:rPr>
        <w:t>proclamation</w:t>
      </w:r>
      <w:r w:rsidR="00724428">
        <w:rPr>
          <w:rFonts w:ascii="Times New Roman" w:hAnsi="Times New Roman" w:cs="Times New Roman"/>
        </w:rPr>
        <w:t xml:space="preserve"> that </w:t>
      </w:r>
      <w:r w:rsidR="00F53D7E">
        <w:rPr>
          <w:rFonts w:ascii="Times New Roman" w:hAnsi="Times New Roman" w:cs="Times New Roman"/>
        </w:rPr>
        <w:t>‘</w:t>
      </w:r>
      <w:r w:rsidR="00724428">
        <w:rPr>
          <w:rFonts w:ascii="Times New Roman" w:hAnsi="Times New Roman" w:cs="Times New Roman"/>
        </w:rPr>
        <w:t xml:space="preserve">there is no safer guide to judicial decisions in significant conflicts than a </w:t>
      </w:r>
      <w:r w:rsidR="00546900">
        <w:rPr>
          <w:rFonts w:ascii="Times New Roman" w:hAnsi="Times New Roman" w:cs="Times New Roman"/>
        </w:rPr>
        <w:t>strict and complete legalism.</w:t>
      </w:r>
      <w:r w:rsidR="00F53D7E">
        <w:rPr>
          <w:rFonts w:ascii="Times New Roman" w:hAnsi="Times New Roman" w:cs="Times New Roman"/>
        </w:rPr>
        <w:t>’</w:t>
      </w:r>
      <w:r w:rsidR="00546900" w:rsidRPr="00DD0131">
        <w:rPr>
          <w:rStyle w:val="FootnoteReference"/>
        </w:rPr>
        <w:footnoteReference w:id="48"/>
      </w:r>
      <w:r w:rsidR="007D0007">
        <w:rPr>
          <w:rFonts w:ascii="Times New Roman" w:hAnsi="Times New Roman" w:cs="Times New Roman"/>
        </w:rPr>
        <w:t xml:space="preserve"> </w:t>
      </w:r>
      <w:r w:rsidR="00807997">
        <w:rPr>
          <w:rFonts w:ascii="Times New Roman" w:hAnsi="Times New Roman" w:cs="Times New Roman"/>
        </w:rPr>
        <w:t>While</w:t>
      </w:r>
      <w:r w:rsidR="007D0007">
        <w:rPr>
          <w:rFonts w:ascii="Times New Roman" w:hAnsi="Times New Roman" w:cs="Times New Roman"/>
        </w:rPr>
        <w:t xml:space="preserve"> the statement’s context</w:t>
      </w:r>
      <w:r w:rsidR="00AE19E8">
        <w:rPr>
          <w:rFonts w:ascii="Times New Roman" w:hAnsi="Times New Roman" w:cs="Times New Roman"/>
        </w:rPr>
        <w:t xml:space="preserve"> as well as</w:t>
      </w:r>
      <w:r w:rsidR="007D0007">
        <w:rPr>
          <w:rFonts w:ascii="Times New Roman" w:hAnsi="Times New Roman" w:cs="Times New Roman"/>
        </w:rPr>
        <w:t xml:space="preserve"> decisions</w:t>
      </w:r>
      <w:r w:rsidR="00C42A23" w:rsidRPr="00DD0131">
        <w:rPr>
          <w:rStyle w:val="FootnoteReference"/>
        </w:rPr>
        <w:footnoteReference w:id="49"/>
      </w:r>
      <w:r w:rsidR="00C42A23">
        <w:rPr>
          <w:rFonts w:ascii="Times New Roman" w:hAnsi="Times New Roman" w:cs="Times New Roman"/>
        </w:rPr>
        <w:t xml:space="preserve"> and statements</w:t>
      </w:r>
      <w:r w:rsidR="00C42A23" w:rsidRPr="00DD0131">
        <w:rPr>
          <w:rStyle w:val="FootnoteReference"/>
        </w:rPr>
        <w:footnoteReference w:id="50"/>
      </w:r>
      <w:r w:rsidR="007D0007">
        <w:rPr>
          <w:rFonts w:ascii="Times New Roman" w:hAnsi="Times New Roman" w:cs="Times New Roman"/>
        </w:rPr>
        <w:t xml:space="preserve"> throughout Dixon CJ’s career would suggest he was speaking</w:t>
      </w:r>
      <w:r w:rsidR="007B74E7">
        <w:rPr>
          <w:rFonts w:ascii="Times New Roman" w:hAnsi="Times New Roman" w:cs="Times New Roman"/>
        </w:rPr>
        <w:t xml:space="preserve"> </w:t>
      </w:r>
      <w:r w:rsidR="00AE19E8">
        <w:rPr>
          <w:rFonts w:ascii="Times New Roman" w:hAnsi="Times New Roman" w:cs="Times New Roman"/>
        </w:rPr>
        <w:t xml:space="preserve">specifically </w:t>
      </w:r>
      <w:r w:rsidR="007B74E7">
        <w:rPr>
          <w:rFonts w:ascii="Times New Roman" w:hAnsi="Times New Roman" w:cs="Times New Roman"/>
        </w:rPr>
        <w:t xml:space="preserve">with regard to </w:t>
      </w:r>
      <w:r w:rsidR="002A5A60">
        <w:rPr>
          <w:rFonts w:ascii="Times New Roman" w:hAnsi="Times New Roman" w:cs="Times New Roman"/>
        </w:rPr>
        <w:t>federal disputes</w:t>
      </w:r>
      <w:r w:rsidR="00B15E23">
        <w:rPr>
          <w:rFonts w:ascii="Times New Roman" w:hAnsi="Times New Roman" w:cs="Times New Roman"/>
        </w:rPr>
        <w:t xml:space="preserve"> and arguably not endorsing American legal formalism</w:t>
      </w:r>
      <w:r w:rsidR="00C0028D">
        <w:rPr>
          <w:rFonts w:ascii="Times New Roman" w:hAnsi="Times New Roman" w:cs="Times New Roman"/>
        </w:rPr>
        <w:t>,</w:t>
      </w:r>
      <w:r w:rsidR="00107D13" w:rsidRPr="00DD0131">
        <w:rPr>
          <w:rStyle w:val="FootnoteReference"/>
        </w:rPr>
        <w:footnoteReference w:id="51"/>
      </w:r>
      <w:r w:rsidR="00A243A5">
        <w:rPr>
          <w:rFonts w:ascii="Times New Roman" w:hAnsi="Times New Roman" w:cs="Times New Roman"/>
        </w:rPr>
        <w:t xml:space="preserve"> his words would </w:t>
      </w:r>
      <w:r w:rsidR="00B15E23">
        <w:rPr>
          <w:rFonts w:ascii="Times New Roman" w:hAnsi="Times New Roman" w:cs="Times New Roman"/>
        </w:rPr>
        <w:t>influence the</w:t>
      </w:r>
      <w:r w:rsidR="00F42A7D">
        <w:rPr>
          <w:rFonts w:ascii="Times New Roman" w:hAnsi="Times New Roman" w:cs="Times New Roman"/>
        </w:rPr>
        <w:t xml:space="preserve"> Australian legal community</w:t>
      </w:r>
      <w:r w:rsidR="00B15E23">
        <w:rPr>
          <w:rFonts w:ascii="Times New Roman" w:hAnsi="Times New Roman" w:cs="Times New Roman"/>
        </w:rPr>
        <w:t xml:space="preserve"> toward the philosophy</w:t>
      </w:r>
      <w:r w:rsidR="00F42A7D">
        <w:rPr>
          <w:rFonts w:ascii="Times New Roman" w:hAnsi="Times New Roman" w:cs="Times New Roman"/>
        </w:rPr>
        <w:t xml:space="preserve"> for much of the 20</w:t>
      </w:r>
      <w:r w:rsidR="00F42A7D" w:rsidRPr="00F42A7D">
        <w:rPr>
          <w:rFonts w:ascii="Times New Roman" w:hAnsi="Times New Roman" w:cs="Times New Roman"/>
          <w:vertAlign w:val="superscript"/>
        </w:rPr>
        <w:t>th</w:t>
      </w:r>
      <w:r w:rsidR="00F42A7D">
        <w:rPr>
          <w:rFonts w:ascii="Times New Roman" w:hAnsi="Times New Roman" w:cs="Times New Roman"/>
        </w:rPr>
        <w:t xml:space="preserve"> Century.</w:t>
      </w:r>
      <w:r w:rsidR="00F42A7D" w:rsidRPr="00DD0131">
        <w:rPr>
          <w:rStyle w:val="FootnoteReference"/>
        </w:rPr>
        <w:footnoteReference w:id="52"/>
      </w:r>
      <w:r w:rsidR="003B26DF">
        <w:rPr>
          <w:rFonts w:ascii="Times New Roman" w:hAnsi="Times New Roman" w:cs="Times New Roman"/>
        </w:rPr>
        <w:t xml:space="preserve"> </w:t>
      </w:r>
      <w:r w:rsidR="00AE19E8">
        <w:rPr>
          <w:rFonts w:ascii="Times New Roman" w:hAnsi="Times New Roman" w:cs="Times New Roman"/>
        </w:rPr>
        <w:t>Presently</w:t>
      </w:r>
      <w:r w:rsidR="00A51BC3">
        <w:rPr>
          <w:rFonts w:ascii="Times New Roman" w:hAnsi="Times New Roman" w:cs="Times New Roman"/>
        </w:rPr>
        <w:t>, however, the</w:t>
      </w:r>
      <w:r w:rsidR="00180D2D">
        <w:rPr>
          <w:rFonts w:ascii="Times New Roman" w:hAnsi="Times New Roman" w:cs="Times New Roman"/>
        </w:rPr>
        <w:t xml:space="preserve"> generally</w:t>
      </w:r>
      <w:r w:rsidR="00A51BC3">
        <w:rPr>
          <w:rFonts w:ascii="Times New Roman" w:hAnsi="Times New Roman" w:cs="Times New Roman"/>
        </w:rPr>
        <w:t xml:space="preserve"> </w:t>
      </w:r>
      <w:r w:rsidR="00DD0131">
        <w:rPr>
          <w:rFonts w:ascii="Times New Roman" w:hAnsi="Times New Roman" w:cs="Times New Roman"/>
        </w:rPr>
        <w:t>accepted orthodox approach</w:t>
      </w:r>
      <w:r w:rsidR="00A51BC3">
        <w:rPr>
          <w:rFonts w:ascii="Times New Roman" w:hAnsi="Times New Roman" w:cs="Times New Roman"/>
        </w:rPr>
        <w:t xml:space="preserve"> </w:t>
      </w:r>
      <w:r w:rsidR="00DD0131">
        <w:rPr>
          <w:rFonts w:ascii="Times New Roman" w:hAnsi="Times New Roman" w:cs="Times New Roman"/>
        </w:rPr>
        <w:t>acknowledges</w:t>
      </w:r>
      <w:r w:rsidR="00A51BC3">
        <w:rPr>
          <w:rFonts w:ascii="Times New Roman" w:hAnsi="Times New Roman" w:cs="Times New Roman"/>
        </w:rPr>
        <w:t xml:space="preserve"> that by </w:t>
      </w:r>
      <w:r w:rsidR="00DD35BC">
        <w:rPr>
          <w:rFonts w:ascii="Times New Roman" w:hAnsi="Times New Roman" w:cs="Times New Roman"/>
        </w:rPr>
        <w:t xml:space="preserve">the nature of </w:t>
      </w:r>
      <w:r w:rsidR="00DD0131">
        <w:rPr>
          <w:rFonts w:ascii="Times New Roman" w:hAnsi="Times New Roman" w:cs="Times New Roman"/>
        </w:rPr>
        <w:t>the Australian</w:t>
      </w:r>
      <w:r w:rsidR="00DD35BC">
        <w:rPr>
          <w:rFonts w:ascii="Times New Roman" w:hAnsi="Times New Roman" w:cs="Times New Roman"/>
        </w:rPr>
        <w:t xml:space="preserve"> legal system, </w:t>
      </w:r>
      <w:r w:rsidR="00DD0131">
        <w:rPr>
          <w:rFonts w:ascii="Times New Roman" w:hAnsi="Times New Roman" w:cs="Times New Roman"/>
        </w:rPr>
        <w:t>its</w:t>
      </w:r>
      <w:r w:rsidR="00DD35BC">
        <w:rPr>
          <w:rFonts w:ascii="Times New Roman" w:hAnsi="Times New Roman" w:cs="Times New Roman"/>
        </w:rPr>
        <w:t xml:space="preserve"> judiciary must adhere to a </w:t>
      </w:r>
      <w:r w:rsidR="00BC52A5">
        <w:rPr>
          <w:rFonts w:ascii="Times New Roman" w:hAnsi="Times New Roman" w:cs="Times New Roman"/>
        </w:rPr>
        <w:t>relatively heuristic, non-formalist jurisprudence</w:t>
      </w:r>
      <w:r w:rsidR="00B7712D">
        <w:rPr>
          <w:rFonts w:ascii="Times New Roman" w:hAnsi="Times New Roman" w:cs="Times New Roman"/>
        </w:rPr>
        <w:t>,</w:t>
      </w:r>
      <w:r w:rsidR="00C42A23" w:rsidRPr="00DD0131">
        <w:rPr>
          <w:rStyle w:val="FootnoteReference"/>
        </w:rPr>
        <w:footnoteReference w:id="53"/>
      </w:r>
      <w:r w:rsidR="00B7712D">
        <w:rPr>
          <w:rFonts w:ascii="Times New Roman" w:hAnsi="Times New Roman" w:cs="Times New Roman"/>
        </w:rPr>
        <w:t xml:space="preserve"> aligning to the principles of modern statutory interpretation.</w:t>
      </w:r>
      <w:r w:rsidR="00B7712D" w:rsidRPr="00DD0131">
        <w:rPr>
          <w:rStyle w:val="FootnoteReference"/>
        </w:rPr>
        <w:footnoteReference w:id="54"/>
      </w:r>
      <w:r w:rsidR="002E79BE">
        <w:rPr>
          <w:rFonts w:ascii="Times New Roman" w:hAnsi="Times New Roman" w:cs="Times New Roman"/>
        </w:rPr>
        <w:t xml:space="preserve"> </w:t>
      </w:r>
      <w:r w:rsidR="00EB72A2">
        <w:rPr>
          <w:rFonts w:ascii="Times New Roman" w:hAnsi="Times New Roman" w:cs="Times New Roman"/>
        </w:rPr>
        <w:t xml:space="preserve">Justice Kirby, argues that ‘real’ judges must operate from a place which is ‘neither </w:t>
      </w:r>
      <w:r w:rsidR="00EB72A2">
        <w:rPr>
          <w:rFonts w:ascii="Times New Roman" w:hAnsi="Times New Roman" w:cs="Times New Roman"/>
        </w:rPr>
        <w:lastRenderedPageBreak/>
        <w:t>wholly mechanical, nor excessively creative’,</w:t>
      </w:r>
      <w:r w:rsidR="00EB72A2" w:rsidRPr="00DD0131">
        <w:rPr>
          <w:rStyle w:val="FootnoteReference"/>
        </w:rPr>
        <w:footnoteReference w:id="55"/>
      </w:r>
      <w:r w:rsidR="00EB72A2">
        <w:rPr>
          <w:rFonts w:ascii="Times New Roman" w:hAnsi="Times New Roman" w:cs="Times New Roman"/>
        </w:rPr>
        <w:t xml:space="preserve"> corroborating notion</w:t>
      </w:r>
      <w:r w:rsidR="005B3737">
        <w:rPr>
          <w:rFonts w:ascii="Times New Roman" w:hAnsi="Times New Roman" w:cs="Times New Roman"/>
        </w:rPr>
        <w:t>s</w:t>
      </w:r>
      <w:r w:rsidR="00EB72A2">
        <w:rPr>
          <w:rFonts w:ascii="Times New Roman" w:hAnsi="Times New Roman" w:cs="Times New Roman"/>
        </w:rPr>
        <w:t xml:space="preserve"> of a contemporary non-formalist stance of the Australian judiciary.</w:t>
      </w:r>
    </w:p>
    <w:p w14:paraId="08117E31" w14:textId="7D9B401F" w:rsidR="003C4FEA" w:rsidRPr="00695DCD" w:rsidRDefault="00C0028D" w:rsidP="00AA6743">
      <w:pPr>
        <w:spacing w:line="480" w:lineRule="auto"/>
        <w:jc w:val="both"/>
        <w:rPr>
          <w:rFonts w:ascii="Times New Roman" w:hAnsi="Times New Roman" w:cs="Times New Roman"/>
        </w:rPr>
      </w:pPr>
      <w:r>
        <w:rPr>
          <w:rFonts w:ascii="Times New Roman" w:hAnsi="Times New Roman" w:cs="Times New Roman"/>
        </w:rPr>
        <w:t>Putting aside</w:t>
      </w:r>
      <w:r w:rsidR="00A1618B">
        <w:rPr>
          <w:rFonts w:ascii="Times New Roman" w:hAnsi="Times New Roman" w:cs="Times New Roman"/>
        </w:rPr>
        <w:t xml:space="preserve"> </w:t>
      </w:r>
      <w:r w:rsidR="00756AF0">
        <w:rPr>
          <w:rFonts w:ascii="Times New Roman" w:hAnsi="Times New Roman" w:cs="Times New Roman"/>
        </w:rPr>
        <w:t xml:space="preserve">the </w:t>
      </w:r>
      <w:r w:rsidR="00A1618B">
        <w:rPr>
          <w:rFonts w:ascii="Times New Roman" w:hAnsi="Times New Roman" w:cs="Times New Roman"/>
        </w:rPr>
        <w:t xml:space="preserve">alignment of the Australian judiciary, </w:t>
      </w:r>
      <w:r w:rsidR="00756AF0">
        <w:rPr>
          <w:rFonts w:ascii="Times New Roman" w:hAnsi="Times New Roman" w:cs="Times New Roman"/>
        </w:rPr>
        <w:t xml:space="preserve">formalism is challenged by </w:t>
      </w:r>
      <w:r w:rsidR="00A1618B">
        <w:rPr>
          <w:rFonts w:ascii="Times New Roman" w:hAnsi="Times New Roman" w:cs="Times New Roman"/>
        </w:rPr>
        <w:t>scholars and jurists alike</w:t>
      </w:r>
      <w:r w:rsidR="00756AF0">
        <w:rPr>
          <w:rFonts w:ascii="Times New Roman" w:hAnsi="Times New Roman" w:cs="Times New Roman"/>
        </w:rPr>
        <w:t xml:space="preserve">, who </w:t>
      </w:r>
      <w:r w:rsidR="00A1618B">
        <w:rPr>
          <w:rFonts w:ascii="Times New Roman" w:hAnsi="Times New Roman" w:cs="Times New Roman"/>
        </w:rPr>
        <w:t xml:space="preserve">generally argue that a strictly formalist stance is detrimental to the </w:t>
      </w:r>
      <w:r w:rsidR="008958ED">
        <w:rPr>
          <w:rFonts w:ascii="Times New Roman" w:hAnsi="Times New Roman" w:cs="Times New Roman"/>
        </w:rPr>
        <w:t>rule of law.</w:t>
      </w:r>
      <w:r w:rsidR="00756AF0" w:rsidRPr="00DD0131">
        <w:rPr>
          <w:rStyle w:val="FootnoteReference"/>
        </w:rPr>
        <w:footnoteReference w:id="56"/>
      </w:r>
      <w:r w:rsidR="008958ED">
        <w:rPr>
          <w:rFonts w:ascii="Times New Roman" w:hAnsi="Times New Roman" w:cs="Times New Roman"/>
        </w:rPr>
        <w:t xml:space="preserve"> Matczak </w:t>
      </w:r>
      <w:r w:rsidR="006D18EB">
        <w:rPr>
          <w:rFonts w:ascii="Times New Roman" w:hAnsi="Times New Roman" w:cs="Times New Roman"/>
        </w:rPr>
        <w:t xml:space="preserve">argues </w:t>
      </w:r>
      <w:r w:rsidR="009A692B">
        <w:rPr>
          <w:rFonts w:ascii="Times New Roman" w:hAnsi="Times New Roman" w:cs="Times New Roman"/>
        </w:rPr>
        <w:t xml:space="preserve">that because </w:t>
      </w:r>
      <w:r w:rsidR="006D18EB">
        <w:rPr>
          <w:rFonts w:ascii="Times New Roman" w:hAnsi="Times New Roman" w:cs="Times New Roman"/>
        </w:rPr>
        <w:t>formalism leads to outcomes which are un</w:t>
      </w:r>
      <w:r w:rsidR="00F95FD2">
        <w:rPr>
          <w:rFonts w:ascii="Times New Roman" w:hAnsi="Times New Roman" w:cs="Times New Roman"/>
        </w:rPr>
        <w:t>predictable in the context of societal norms,</w:t>
      </w:r>
      <w:r w:rsidR="0039451E" w:rsidRPr="00DD0131">
        <w:rPr>
          <w:rStyle w:val="FootnoteReference"/>
        </w:rPr>
        <w:footnoteReference w:id="57"/>
      </w:r>
      <w:r w:rsidR="00F95FD2">
        <w:rPr>
          <w:rFonts w:ascii="Times New Roman" w:hAnsi="Times New Roman" w:cs="Times New Roman"/>
        </w:rPr>
        <w:t xml:space="preserve"> </w:t>
      </w:r>
      <w:r w:rsidR="009A692B">
        <w:rPr>
          <w:rFonts w:ascii="Times New Roman" w:hAnsi="Times New Roman" w:cs="Times New Roman"/>
        </w:rPr>
        <w:t>it is</w:t>
      </w:r>
      <w:r w:rsidR="00F95FD2">
        <w:rPr>
          <w:rFonts w:ascii="Times New Roman" w:hAnsi="Times New Roman" w:cs="Times New Roman"/>
        </w:rPr>
        <w:t xml:space="preserve"> therefore </w:t>
      </w:r>
      <w:r w:rsidR="0091561B">
        <w:rPr>
          <w:rFonts w:ascii="Times New Roman" w:hAnsi="Times New Roman" w:cs="Times New Roman"/>
        </w:rPr>
        <w:t>in</w:t>
      </w:r>
      <w:r w:rsidR="00F95FD2">
        <w:rPr>
          <w:rFonts w:ascii="Times New Roman" w:hAnsi="Times New Roman" w:cs="Times New Roman"/>
        </w:rPr>
        <w:t>compatible with the rule of law.</w:t>
      </w:r>
      <w:r w:rsidR="00496CAB" w:rsidRPr="00DD0131">
        <w:rPr>
          <w:rStyle w:val="FootnoteReference"/>
        </w:rPr>
        <w:footnoteReference w:id="58"/>
      </w:r>
      <w:r w:rsidR="00F95FD2">
        <w:rPr>
          <w:rFonts w:ascii="Times New Roman" w:hAnsi="Times New Roman" w:cs="Times New Roman"/>
        </w:rPr>
        <w:t xml:space="preserve"> </w:t>
      </w:r>
      <w:r w:rsidR="00B11044">
        <w:rPr>
          <w:rFonts w:ascii="Times New Roman" w:hAnsi="Times New Roman" w:cs="Times New Roman"/>
        </w:rPr>
        <w:t xml:space="preserve">He </w:t>
      </w:r>
      <w:r w:rsidR="006D18EB">
        <w:rPr>
          <w:rFonts w:ascii="Times New Roman" w:hAnsi="Times New Roman" w:cs="Times New Roman"/>
        </w:rPr>
        <w:t>illustrates</w:t>
      </w:r>
      <w:r w:rsidR="00B11044">
        <w:rPr>
          <w:rFonts w:ascii="Times New Roman" w:hAnsi="Times New Roman" w:cs="Times New Roman"/>
        </w:rPr>
        <w:t xml:space="preserve"> this with the semantics-concerned case of </w:t>
      </w:r>
      <w:r w:rsidR="00B11044">
        <w:rPr>
          <w:rFonts w:ascii="Times New Roman" w:hAnsi="Times New Roman" w:cs="Times New Roman"/>
          <w:i/>
          <w:iCs/>
        </w:rPr>
        <w:t>Smith v United States</w:t>
      </w:r>
      <w:r w:rsidR="00695DCD">
        <w:rPr>
          <w:rFonts w:ascii="Times New Roman" w:hAnsi="Times New Roman" w:cs="Times New Roman"/>
          <w:i/>
          <w:iCs/>
        </w:rPr>
        <w:t>,</w:t>
      </w:r>
      <w:r w:rsidR="00F566D8" w:rsidRPr="00DD0131">
        <w:rPr>
          <w:rStyle w:val="FootnoteReference"/>
        </w:rPr>
        <w:footnoteReference w:id="59"/>
      </w:r>
      <w:r w:rsidR="00695DCD">
        <w:rPr>
          <w:rFonts w:ascii="Times New Roman" w:hAnsi="Times New Roman" w:cs="Times New Roman"/>
        </w:rPr>
        <w:t xml:space="preserve"> where </w:t>
      </w:r>
      <w:r w:rsidR="00B30634">
        <w:rPr>
          <w:rFonts w:ascii="Times New Roman" w:hAnsi="Times New Roman" w:cs="Times New Roman"/>
        </w:rPr>
        <w:t>the USSC held that ‘</w:t>
      </w:r>
      <w:r w:rsidR="00851625">
        <w:rPr>
          <w:rFonts w:ascii="Times New Roman" w:hAnsi="Times New Roman" w:cs="Times New Roman"/>
        </w:rPr>
        <w:t>using</w:t>
      </w:r>
      <w:r w:rsidR="00B30634">
        <w:rPr>
          <w:rFonts w:ascii="Times New Roman" w:hAnsi="Times New Roman" w:cs="Times New Roman"/>
        </w:rPr>
        <w:t xml:space="preserve"> a firearm’ included</w:t>
      </w:r>
      <w:r w:rsidR="00695DCD">
        <w:rPr>
          <w:rFonts w:ascii="Times New Roman" w:hAnsi="Times New Roman" w:cs="Times New Roman"/>
        </w:rPr>
        <w:t xml:space="preserve"> the trading of a gun for drugs</w:t>
      </w:r>
      <w:r w:rsidR="00B30634">
        <w:rPr>
          <w:rFonts w:ascii="Times New Roman" w:hAnsi="Times New Roman" w:cs="Times New Roman"/>
        </w:rPr>
        <w:t>. Here, Justice Scalia dissented</w:t>
      </w:r>
      <w:r w:rsidR="003A0809">
        <w:rPr>
          <w:rFonts w:ascii="Times New Roman" w:hAnsi="Times New Roman" w:cs="Times New Roman"/>
        </w:rPr>
        <w:t xml:space="preserve">, stating that such a strict interpretation of the phrase was </w:t>
      </w:r>
      <w:r w:rsidR="00B60164">
        <w:rPr>
          <w:rFonts w:ascii="Times New Roman" w:hAnsi="Times New Roman" w:cs="Times New Roman"/>
        </w:rPr>
        <w:t>un</w:t>
      </w:r>
      <w:r w:rsidR="003A0809">
        <w:rPr>
          <w:rFonts w:ascii="Times New Roman" w:hAnsi="Times New Roman" w:cs="Times New Roman"/>
        </w:rPr>
        <w:t>ordinary and unpredictable, and therefore incompatible with the rule of law</w:t>
      </w:r>
      <w:r w:rsidR="00E505CD">
        <w:rPr>
          <w:rFonts w:ascii="Times New Roman" w:hAnsi="Times New Roman" w:cs="Times New Roman"/>
        </w:rPr>
        <w:t>.</w:t>
      </w:r>
      <w:r w:rsidR="005929A5" w:rsidRPr="00DD0131">
        <w:rPr>
          <w:rStyle w:val="FootnoteReference"/>
        </w:rPr>
        <w:footnoteReference w:id="60"/>
      </w:r>
    </w:p>
    <w:p w14:paraId="672749FF" w14:textId="793E2E44" w:rsidR="003E12C2" w:rsidRDefault="00AA3E92" w:rsidP="0013053A">
      <w:pPr>
        <w:spacing w:line="480" w:lineRule="auto"/>
        <w:jc w:val="both"/>
        <w:rPr>
          <w:rFonts w:ascii="Times New Roman" w:hAnsi="Times New Roman" w:cs="Times New Roman"/>
        </w:rPr>
      </w:pPr>
      <w:r>
        <w:rPr>
          <w:rFonts w:ascii="Times New Roman" w:hAnsi="Times New Roman" w:cs="Times New Roman"/>
        </w:rPr>
        <w:t>The formalist debate will inherently drive</w:t>
      </w:r>
      <w:r w:rsidR="00FF7D6F">
        <w:rPr>
          <w:rFonts w:ascii="Times New Roman" w:hAnsi="Times New Roman" w:cs="Times New Roman"/>
        </w:rPr>
        <w:t xml:space="preserve"> a</w:t>
      </w:r>
      <w:r w:rsidR="006A564C">
        <w:rPr>
          <w:rFonts w:ascii="Times New Roman" w:hAnsi="Times New Roman" w:cs="Times New Roman"/>
        </w:rPr>
        <w:t>ny</w:t>
      </w:r>
      <w:r w:rsidR="00FF7D6F">
        <w:rPr>
          <w:rFonts w:ascii="Times New Roman" w:hAnsi="Times New Roman" w:cs="Times New Roman"/>
        </w:rPr>
        <w:t xml:space="preserve"> RaC approach to ambiguity</w:t>
      </w:r>
      <w:r w:rsidR="00DD0131">
        <w:rPr>
          <w:rFonts w:ascii="Times New Roman" w:hAnsi="Times New Roman" w:cs="Times New Roman"/>
        </w:rPr>
        <w:t xml:space="preserve"> of</w:t>
      </w:r>
      <w:r w:rsidR="00FF7D6F">
        <w:rPr>
          <w:rFonts w:ascii="Times New Roman" w:hAnsi="Times New Roman" w:cs="Times New Roman"/>
        </w:rPr>
        <w:t xml:space="preserve"> both </w:t>
      </w:r>
      <w:r w:rsidR="00DD0131">
        <w:rPr>
          <w:rFonts w:ascii="Times New Roman" w:hAnsi="Times New Roman" w:cs="Times New Roman"/>
        </w:rPr>
        <w:t xml:space="preserve">an </w:t>
      </w:r>
      <w:r w:rsidR="00500BA7">
        <w:rPr>
          <w:rFonts w:ascii="Times New Roman" w:hAnsi="Times New Roman" w:cs="Times New Roman"/>
        </w:rPr>
        <w:t>unintentional</w:t>
      </w:r>
      <w:r w:rsidR="00DD0131">
        <w:rPr>
          <w:rFonts w:ascii="Times New Roman" w:hAnsi="Times New Roman" w:cs="Times New Roman"/>
        </w:rPr>
        <w:t xml:space="preserve"> nature</w:t>
      </w:r>
      <w:r w:rsidR="00500BA7">
        <w:rPr>
          <w:rFonts w:ascii="Times New Roman" w:hAnsi="Times New Roman" w:cs="Times New Roman"/>
        </w:rPr>
        <w:t xml:space="preserve">, such as </w:t>
      </w:r>
      <w:r w:rsidR="00DD0131">
        <w:rPr>
          <w:rFonts w:ascii="Times New Roman" w:hAnsi="Times New Roman" w:cs="Times New Roman"/>
        </w:rPr>
        <w:t xml:space="preserve">through </w:t>
      </w:r>
      <w:r w:rsidR="00500BA7">
        <w:rPr>
          <w:rFonts w:ascii="Times New Roman" w:hAnsi="Times New Roman" w:cs="Times New Roman"/>
        </w:rPr>
        <w:t xml:space="preserve">failures of legal drafters to account for </w:t>
      </w:r>
      <w:r w:rsidR="00021863">
        <w:rPr>
          <w:rFonts w:ascii="Times New Roman" w:hAnsi="Times New Roman" w:cs="Times New Roman"/>
        </w:rPr>
        <w:t xml:space="preserve">varying interpretations in unusual circumstances, and </w:t>
      </w:r>
      <w:r w:rsidR="00DD0131">
        <w:rPr>
          <w:rFonts w:ascii="Times New Roman" w:hAnsi="Times New Roman" w:cs="Times New Roman"/>
        </w:rPr>
        <w:t xml:space="preserve">a </w:t>
      </w:r>
      <w:r w:rsidR="00021863">
        <w:rPr>
          <w:rFonts w:ascii="Times New Roman" w:hAnsi="Times New Roman" w:cs="Times New Roman"/>
        </w:rPr>
        <w:t>deliberate</w:t>
      </w:r>
      <w:r w:rsidR="00DD0131">
        <w:rPr>
          <w:rFonts w:ascii="Times New Roman" w:hAnsi="Times New Roman" w:cs="Times New Roman"/>
        </w:rPr>
        <w:t xml:space="preserve"> one</w:t>
      </w:r>
      <w:r w:rsidR="00021863">
        <w:rPr>
          <w:rFonts w:ascii="Times New Roman" w:hAnsi="Times New Roman" w:cs="Times New Roman"/>
        </w:rPr>
        <w:t xml:space="preserve">, </w:t>
      </w:r>
      <w:r w:rsidR="00DD0131">
        <w:rPr>
          <w:rFonts w:ascii="Times New Roman" w:hAnsi="Times New Roman" w:cs="Times New Roman"/>
        </w:rPr>
        <w:t>via</w:t>
      </w:r>
      <w:r w:rsidR="00374EE7">
        <w:rPr>
          <w:rFonts w:ascii="Times New Roman" w:hAnsi="Times New Roman" w:cs="Times New Roman"/>
        </w:rPr>
        <w:t xml:space="preserve"> the use of terms</w:t>
      </w:r>
      <w:r w:rsidR="003B1A2B">
        <w:rPr>
          <w:rFonts w:ascii="Times New Roman" w:hAnsi="Times New Roman" w:cs="Times New Roman"/>
        </w:rPr>
        <w:t xml:space="preserve"> designed</w:t>
      </w:r>
      <w:r w:rsidR="00374EE7">
        <w:rPr>
          <w:rFonts w:ascii="Times New Roman" w:hAnsi="Times New Roman" w:cs="Times New Roman"/>
        </w:rPr>
        <w:t xml:space="preserve"> to invoke judicial discretionary powers.</w:t>
      </w:r>
      <w:r w:rsidR="00837B88">
        <w:rPr>
          <w:rFonts w:ascii="Times New Roman" w:hAnsi="Times New Roman" w:cs="Times New Roman"/>
        </w:rPr>
        <w:t xml:space="preserve"> </w:t>
      </w:r>
    </w:p>
    <w:p w14:paraId="4AB16912" w14:textId="1318C310" w:rsidR="008260C9" w:rsidRDefault="00374EE7" w:rsidP="0013053A">
      <w:pPr>
        <w:spacing w:line="480" w:lineRule="auto"/>
        <w:jc w:val="both"/>
        <w:rPr>
          <w:rFonts w:ascii="Times New Roman" w:hAnsi="Times New Roman" w:cs="Times New Roman"/>
        </w:rPr>
      </w:pPr>
      <w:r>
        <w:rPr>
          <w:rFonts w:ascii="Times New Roman" w:hAnsi="Times New Roman" w:cs="Times New Roman"/>
        </w:rPr>
        <w:t>The former</w:t>
      </w:r>
      <w:r w:rsidR="00837B88">
        <w:rPr>
          <w:rFonts w:ascii="Times New Roman" w:hAnsi="Times New Roman" w:cs="Times New Roman"/>
        </w:rPr>
        <w:t xml:space="preserve"> can be illustrated through </w:t>
      </w:r>
      <w:r w:rsidR="00837B88">
        <w:rPr>
          <w:rFonts w:ascii="Times New Roman" w:hAnsi="Times New Roman" w:cs="Times New Roman"/>
          <w:i/>
          <w:iCs/>
        </w:rPr>
        <w:t>Nix v Hedden</w:t>
      </w:r>
      <w:r w:rsidR="008219B2">
        <w:rPr>
          <w:rFonts w:ascii="Times New Roman" w:hAnsi="Times New Roman" w:cs="Times New Roman"/>
          <w:i/>
          <w:iCs/>
        </w:rPr>
        <w:t xml:space="preserve"> </w:t>
      </w:r>
      <w:r w:rsidR="008219B2" w:rsidRPr="008219B2">
        <w:rPr>
          <w:rFonts w:ascii="Times New Roman" w:hAnsi="Times New Roman" w:cs="Times New Roman"/>
        </w:rPr>
        <w:t>(“</w:t>
      </w:r>
      <w:r w:rsidR="008219B2">
        <w:rPr>
          <w:rFonts w:ascii="Times New Roman" w:hAnsi="Times New Roman" w:cs="Times New Roman"/>
          <w:i/>
          <w:iCs/>
        </w:rPr>
        <w:t>Nix</w:t>
      </w:r>
      <w:r w:rsidR="008219B2" w:rsidRPr="008219B2">
        <w:rPr>
          <w:rFonts w:ascii="Times New Roman" w:hAnsi="Times New Roman" w:cs="Times New Roman"/>
        </w:rPr>
        <w:t>”)</w:t>
      </w:r>
      <w:r w:rsidR="00837B88">
        <w:rPr>
          <w:rFonts w:ascii="Times New Roman" w:hAnsi="Times New Roman" w:cs="Times New Roman"/>
        </w:rPr>
        <w:t>,</w:t>
      </w:r>
      <w:r w:rsidR="008961F4" w:rsidRPr="00DD0131">
        <w:rPr>
          <w:rStyle w:val="FootnoteReference"/>
        </w:rPr>
        <w:footnoteReference w:id="61"/>
      </w:r>
      <w:r w:rsidR="00837B88">
        <w:rPr>
          <w:rFonts w:ascii="Times New Roman" w:hAnsi="Times New Roman" w:cs="Times New Roman"/>
        </w:rPr>
        <w:t xml:space="preserve"> a case </w:t>
      </w:r>
      <w:r w:rsidR="00595CE9">
        <w:rPr>
          <w:rFonts w:ascii="Times New Roman" w:hAnsi="Times New Roman" w:cs="Times New Roman"/>
        </w:rPr>
        <w:t>on the cusp of the United States’ transformation from formalism to legal realism, which saw dispute ov</w:t>
      </w:r>
      <w:r w:rsidR="00761567">
        <w:rPr>
          <w:rFonts w:ascii="Times New Roman" w:hAnsi="Times New Roman" w:cs="Times New Roman"/>
        </w:rPr>
        <w:t>er whether</w:t>
      </w:r>
      <w:r w:rsidR="008961F4">
        <w:rPr>
          <w:rFonts w:ascii="Times New Roman" w:hAnsi="Times New Roman" w:cs="Times New Roman"/>
        </w:rPr>
        <w:t xml:space="preserve">, for </w:t>
      </w:r>
      <w:r w:rsidR="00AD6850">
        <w:rPr>
          <w:rFonts w:ascii="Times New Roman" w:hAnsi="Times New Roman" w:cs="Times New Roman"/>
        </w:rPr>
        <w:t>taxation</w:t>
      </w:r>
      <w:r w:rsidR="008961F4">
        <w:rPr>
          <w:rFonts w:ascii="Times New Roman" w:hAnsi="Times New Roman" w:cs="Times New Roman"/>
        </w:rPr>
        <w:t xml:space="preserve"> purposes,</w:t>
      </w:r>
      <w:r w:rsidR="00761567">
        <w:rPr>
          <w:rFonts w:ascii="Times New Roman" w:hAnsi="Times New Roman" w:cs="Times New Roman"/>
        </w:rPr>
        <w:t xml:space="preserve"> a tomato might be seen as a fruit</w:t>
      </w:r>
      <w:r w:rsidR="00C0028D">
        <w:rPr>
          <w:rFonts w:ascii="Times New Roman" w:hAnsi="Times New Roman" w:cs="Times New Roman"/>
        </w:rPr>
        <w:t>,</w:t>
      </w:r>
      <w:r w:rsidR="00761567">
        <w:rPr>
          <w:rFonts w:ascii="Times New Roman" w:hAnsi="Times New Roman" w:cs="Times New Roman"/>
        </w:rPr>
        <w:t xml:space="preserve"> as it technically is </w:t>
      </w:r>
      <w:r w:rsidR="003E0E68">
        <w:rPr>
          <w:rFonts w:ascii="Times New Roman" w:hAnsi="Times New Roman" w:cs="Times New Roman"/>
        </w:rPr>
        <w:t>botanically</w:t>
      </w:r>
      <w:r w:rsidR="00C0028D">
        <w:rPr>
          <w:rFonts w:ascii="Times New Roman" w:hAnsi="Times New Roman" w:cs="Times New Roman"/>
        </w:rPr>
        <w:t>,</w:t>
      </w:r>
      <w:r w:rsidR="008961F4">
        <w:rPr>
          <w:rFonts w:ascii="Times New Roman" w:hAnsi="Times New Roman" w:cs="Times New Roman"/>
        </w:rPr>
        <w:t xml:space="preserve"> or a vegetable</w:t>
      </w:r>
      <w:r w:rsidR="00C0028D">
        <w:rPr>
          <w:rFonts w:ascii="Times New Roman" w:hAnsi="Times New Roman" w:cs="Times New Roman"/>
        </w:rPr>
        <w:t>,</w:t>
      </w:r>
      <w:r w:rsidR="008961F4">
        <w:rPr>
          <w:rFonts w:ascii="Times New Roman" w:hAnsi="Times New Roman" w:cs="Times New Roman"/>
        </w:rPr>
        <w:t xml:space="preserve"> as it is generally</w:t>
      </w:r>
      <w:r w:rsidR="00D748DF">
        <w:rPr>
          <w:rFonts w:ascii="Times New Roman" w:hAnsi="Times New Roman" w:cs="Times New Roman"/>
        </w:rPr>
        <w:t xml:space="preserve">, and therefore whether it would be included in a tariff on imported vegetables. </w:t>
      </w:r>
      <w:r w:rsidR="00196790">
        <w:rPr>
          <w:rFonts w:ascii="Times New Roman" w:hAnsi="Times New Roman" w:cs="Times New Roman"/>
        </w:rPr>
        <w:t>In taking a</w:t>
      </w:r>
      <w:r w:rsidR="00BE7E64">
        <w:rPr>
          <w:rFonts w:ascii="Times New Roman" w:hAnsi="Times New Roman" w:cs="Times New Roman"/>
        </w:rPr>
        <w:t xml:space="preserve"> unique view for the time, the </w:t>
      </w:r>
      <w:r w:rsidR="001E3E35">
        <w:rPr>
          <w:rFonts w:ascii="Times New Roman" w:hAnsi="Times New Roman" w:cs="Times New Roman"/>
        </w:rPr>
        <w:t xml:space="preserve">USSC </w:t>
      </w:r>
      <w:r w:rsidR="00BE7E64">
        <w:rPr>
          <w:rFonts w:ascii="Times New Roman" w:hAnsi="Times New Roman" w:cs="Times New Roman"/>
        </w:rPr>
        <w:t>held that</w:t>
      </w:r>
      <w:r w:rsidR="002C553A">
        <w:rPr>
          <w:rFonts w:ascii="Times New Roman" w:hAnsi="Times New Roman" w:cs="Times New Roman"/>
        </w:rPr>
        <w:t>,</w:t>
      </w:r>
      <w:r w:rsidR="00BE7E64">
        <w:rPr>
          <w:rFonts w:ascii="Times New Roman" w:hAnsi="Times New Roman" w:cs="Times New Roman"/>
        </w:rPr>
        <w:t xml:space="preserve"> as the general</w:t>
      </w:r>
      <w:r w:rsidR="00357D24">
        <w:rPr>
          <w:rFonts w:ascii="Times New Roman" w:hAnsi="Times New Roman" w:cs="Times New Roman"/>
        </w:rPr>
        <w:t xml:space="preserve"> and predictable</w:t>
      </w:r>
      <w:r w:rsidR="00BE7E64">
        <w:rPr>
          <w:rFonts w:ascii="Times New Roman" w:hAnsi="Times New Roman" w:cs="Times New Roman"/>
        </w:rPr>
        <w:t xml:space="preserve"> understanding of a tomato was that it was </w:t>
      </w:r>
      <w:r w:rsidR="00BE7E64">
        <w:rPr>
          <w:rFonts w:ascii="Times New Roman" w:hAnsi="Times New Roman" w:cs="Times New Roman"/>
        </w:rPr>
        <w:lastRenderedPageBreak/>
        <w:t xml:space="preserve">a vegetable, it would </w:t>
      </w:r>
      <w:r w:rsidR="00BE041E">
        <w:rPr>
          <w:rFonts w:ascii="Times New Roman" w:hAnsi="Times New Roman" w:cs="Times New Roman"/>
        </w:rPr>
        <w:t>be included in the tariff on vegetable imports</w:t>
      </w:r>
      <w:r w:rsidR="00AE51D8">
        <w:rPr>
          <w:rFonts w:ascii="Times New Roman" w:hAnsi="Times New Roman" w:cs="Times New Roman"/>
        </w:rPr>
        <w:t>,</w:t>
      </w:r>
      <w:r w:rsidR="00BF788F" w:rsidRPr="00BF788F">
        <w:rPr>
          <w:rStyle w:val="FootnoteReference"/>
          <w:rFonts w:ascii="Times New Roman" w:hAnsi="Times New Roman" w:cs="Times New Roman"/>
        </w:rPr>
        <w:t xml:space="preserve"> </w:t>
      </w:r>
      <w:r w:rsidR="00BF788F" w:rsidRPr="00DD0131">
        <w:rPr>
          <w:rStyle w:val="FootnoteReference"/>
        </w:rPr>
        <w:footnoteReference w:id="62"/>
      </w:r>
      <w:r w:rsidR="00AE51D8">
        <w:rPr>
          <w:rFonts w:ascii="Times New Roman" w:hAnsi="Times New Roman" w:cs="Times New Roman"/>
        </w:rPr>
        <w:t xml:space="preserve"> </w:t>
      </w:r>
      <w:r w:rsidR="00BF788F">
        <w:rPr>
          <w:rFonts w:ascii="Times New Roman" w:hAnsi="Times New Roman" w:cs="Times New Roman"/>
        </w:rPr>
        <w:t>aligning itself with the ‘realists’.</w:t>
      </w:r>
      <w:r w:rsidR="00321753" w:rsidRPr="00DD0131">
        <w:rPr>
          <w:rStyle w:val="FootnoteReference"/>
        </w:rPr>
        <w:footnoteReference w:id="63"/>
      </w:r>
      <w:r w:rsidR="00BF788F">
        <w:rPr>
          <w:rFonts w:ascii="Times New Roman" w:hAnsi="Times New Roman" w:cs="Times New Roman"/>
        </w:rPr>
        <w:t xml:space="preserve"> To replicate such a decision in code</w:t>
      </w:r>
      <w:r w:rsidR="003A71E5">
        <w:rPr>
          <w:rFonts w:ascii="Times New Roman" w:hAnsi="Times New Roman" w:cs="Times New Roman"/>
        </w:rPr>
        <w:t xml:space="preserve"> however, </w:t>
      </w:r>
      <w:r w:rsidR="00BF788F">
        <w:rPr>
          <w:rFonts w:ascii="Times New Roman" w:hAnsi="Times New Roman" w:cs="Times New Roman"/>
        </w:rPr>
        <w:t>would require the manual determination and entry for every possible</w:t>
      </w:r>
      <w:r w:rsidR="00502538">
        <w:rPr>
          <w:rFonts w:ascii="Times New Roman" w:hAnsi="Times New Roman" w:cs="Times New Roman"/>
        </w:rPr>
        <w:t xml:space="preserve"> fruit and vegetable into lists</w:t>
      </w:r>
      <w:r w:rsidR="00CD02E7">
        <w:rPr>
          <w:rFonts w:ascii="Times New Roman" w:hAnsi="Times New Roman" w:cs="Times New Roman"/>
        </w:rPr>
        <w:t xml:space="preserve"> in a method arguably similar to Wolfram’s natural language,</w:t>
      </w:r>
      <w:r w:rsidR="00CD02E7" w:rsidRPr="00DD0131">
        <w:rPr>
          <w:rStyle w:val="FootnoteReference"/>
        </w:rPr>
        <w:footnoteReference w:id="64"/>
      </w:r>
      <w:r w:rsidR="00502538">
        <w:rPr>
          <w:rFonts w:ascii="Times New Roman" w:hAnsi="Times New Roman" w:cs="Times New Roman"/>
        </w:rPr>
        <w:t xml:space="preserve"> </w:t>
      </w:r>
      <w:r w:rsidR="00D62AC4">
        <w:rPr>
          <w:rFonts w:ascii="Times New Roman" w:hAnsi="Times New Roman" w:cs="Times New Roman"/>
        </w:rPr>
        <w:t>as opposed to simply classifying goods based on relevant attributes</w:t>
      </w:r>
      <w:r w:rsidR="001D621A">
        <w:rPr>
          <w:rFonts w:ascii="Times New Roman" w:hAnsi="Times New Roman" w:cs="Times New Roman"/>
        </w:rPr>
        <w:t xml:space="preserve"> as in the formalist’s approach</w:t>
      </w:r>
      <w:r w:rsidR="00AE0AB7">
        <w:rPr>
          <w:rFonts w:ascii="Times New Roman" w:hAnsi="Times New Roman" w:cs="Times New Roman"/>
        </w:rPr>
        <w:t xml:space="preserve">. </w:t>
      </w:r>
      <w:r w:rsidR="00EA7B68">
        <w:rPr>
          <w:rFonts w:ascii="Times New Roman" w:hAnsi="Times New Roman" w:cs="Times New Roman"/>
        </w:rPr>
        <w:t xml:space="preserve">Figure 1 demonstrates the relevance of </w:t>
      </w:r>
      <w:r w:rsidR="00EA7B68">
        <w:rPr>
          <w:rFonts w:ascii="Times New Roman" w:hAnsi="Times New Roman" w:cs="Times New Roman"/>
          <w:i/>
          <w:iCs/>
        </w:rPr>
        <w:t xml:space="preserve">Nix </w:t>
      </w:r>
      <w:r w:rsidR="00EA7B68">
        <w:rPr>
          <w:rFonts w:ascii="Times New Roman" w:hAnsi="Times New Roman" w:cs="Times New Roman"/>
        </w:rPr>
        <w:t xml:space="preserve">to RaC, illustrating how two programmers might reach separate but </w:t>
      </w:r>
      <w:r w:rsidR="00C0028D">
        <w:rPr>
          <w:rFonts w:ascii="Times New Roman" w:hAnsi="Times New Roman" w:cs="Times New Roman"/>
        </w:rPr>
        <w:t>reasonable</w:t>
      </w:r>
      <w:r w:rsidR="00EA7B68">
        <w:rPr>
          <w:rFonts w:ascii="Times New Roman" w:hAnsi="Times New Roman" w:cs="Times New Roman"/>
        </w:rPr>
        <w:t xml:space="preserve"> conclusions which would result in entirely different outcomes of the case.</w:t>
      </w:r>
      <w:r w:rsidR="00051965">
        <w:rPr>
          <w:rFonts w:ascii="Times New Roman" w:hAnsi="Times New Roman" w:cs="Times New Roman"/>
        </w:rPr>
        <w:t xml:space="preserve"> </w:t>
      </w:r>
    </w:p>
    <w:bookmarkStart w:id="2" w:name="_MON_1659602237"/>
    <w:bookmarkEnd w:id="2"/>
    <w:p w14:paraId="00451FB3" w14:textId="57538A8A" w:rsidR="003A71E5" w:rsidRDefault="00F86259" w:rsidP="003A71E5">
      <w:pPr>
        <w:keepNext/>
        <w:spacing w:line="480" w:lineRule="auto"/>
        <w:jc w:val="both"/>
      </w:pPr>
      <w:r>
        <w:rPr>
          <w:rFonts w:ascii="Times New Roman" w:hAnsi="Times New Roman" w:cs="Times New Roman"/>
        </w:rPr>
        <w:object w:dxaOrig="9026" w:dyaOrig="5778" w14:anchorId="50484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289.0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Word.DocumentMacroEnabled.12" ShapeID="_x0000_i1025" DrawAspect="Content" ObjectID="_1665571819" r:id="rId9"/>
        </w:object>
      </w:r>
    </w:p>
    <w:p w14:paraId="76DDD15E" w14:textId="64A78BF9" w:rsidR="003A71E5" w:rsidRDefault="003A71E5" w:rsidP="003A71E5">
      <w:pPr>
        <w:pStyle w:val="Caption"/>
        <w:rPr>
          <w:rFonts w:ascii="Times New Roman" w:hAnsi="Times New Roman" w:cs="Times New Roman"/>
          <w:i w:val="0"/>
          <w:iCs w:val="0"/>
        </w:rPr>
      </w:pPr>
      <w:r w:rsidRPr="00E32E9B">
        <w:rPr>
          <w:b/>
          <w:bCs/>
          <w:i w:val="0"/>
          <w:iCs w:val="0"/>
        </w:rPr>
        <w:t xml:space="preserve">Figure </w:t>
      </w:r>
      <w:r w:rsidR="0044571A">
        <w:rPr>
          <w:b/>
          <w:bCs/>
          <w:i w:val="0"/>
          <w:iCs w:val="0"/>
        </w:rPr>
        <w:t>I</w:t>
      </w:r>
      <w:r w:rsidR="00F86259">
        <w:rPr>
          <w:b/>
          <w:bCs/>
          <w:i w:val="0"/>
          <w:iCs w:val="0"/>
        </w:rPr>
        <w:t>I-</w:t>
      </w:r>
      <w:r w:rsidRPr="00E32E9B">
        <w:rPr>
          <w:b/>
          <w:bCs/>
          <w:i w:val="0"/>
          <w:iCs w:val="0"/>
        </w:rPr>
        <w:fldChar w:fldCharType="begin"/>
      </w:r>
      <w:r w:rsidRPr="00E32E9B">
        <w:rPr>
          <w:b/>
          <w:bCs/>
          <w:i w:val="0"/>
          <w:iCs w:val="0"/>
        </w:rPr>
        <w:instrText xml:space="preserve"> SEQ Figure \* ARABIC </w:instrText>
      </w:r>
      <w:r w:rsidRPr="00E32E9B">
        <w:rPr>
          <w:b/>
          <w:bCs/>
          <w:i w:val="0"/>
          <w:iCs w:val="0"/>
        </w:rPr>
        <w:fldChar w:fldCharType="separate"/>
      </w:r>
      <w:r w:rsidR="004538FF">
        <w:rPr>
          <w:b/>
          <w:bCs/>
          <w:i w:val="0"/>
          <w:iCs w:val="0"/>
          <w:noProof/>
        </w:rPr>
        <w:t>1</w:t>
      </w:r>
      <w:r w:rsidRPr="00E32E9B">
        <w:rPr>
          <w:b/>
          <w:bCs/>
          <w:i w:val="0"/>
          <w:iCs w:val="0"/>
        </w:rPr>
        <w:fldChar w:fldCharType="end"/>
      </w:r>
      <w:r w:rsidRPr="00E32E9B">
        <w:rPr>
          <w:i w:val="0"/>
          <w:iCs w:val="0"/>
        </w:rPr>
        <w:t xml:space="preserve"> </w:t>
      </w:r>
      <w:r w:rsidR="00802FF4">
        <w:rPr>
          <w:i w:val="0"/>
          <w:iCs w:val="0"/>
        </w:rPr>
        <w:t>–</w:t>
      </w:r>
      <w:r w:rsidRPr="00E32E9B">
        <w:rPr>
          <w:i w:val="0"/>
          <w:iCs w:val="0"/>
        </w:rPr>
        <w:t xml:space="preserve"> A formalist approach to </w:t>
      </w:r>
      <w:r w:rsidRPr="00E32E9B">
        <w:t>Nix v Hedden</w:t>
      </w:r>
      <w:r w:rsidRPr="00E32E9B">
        <w:rPr>
          <w:i w:val="0"/>
          <w:iCs w:val="0"/>
        </w:rPr>
        <w:t xml:space="preserve">. </w:t>
      </w:r>
      <w:r w:rsidRPr="00F86259">
        <w:t>Compatible with Python 3.</w:t>
      </w:r>
      <w:r w:rsidR="00F86259" w:rsidRPr="00F86259">
        <w:t xml:space="preserve"> This code was developed by the author of the present article.</w:t>
      </w:r>
      <w:r w:rsidR="00E0573A">
        <w:rPr>
          <w:i w:val="0"/>
          <w:iCs w:val="0"/>
        </w:rPr>
        <w:br/>
      </w:r>
    </w:p>
    <w:bookmarkStart w:id="3" w:name="_MON_1665491723"/>
    <w:bookmarkEnd w:id="3"/>
    <w:p w14:paraId="4B10A4D8" w14:textId="77777777" w:rsidR="00F86259" w:rsidRDefault="00F86259" w:rsidP="00F86259">
      <w:pPr>
        <w:keepNext/>
      </w:pPr>
      <w:r>
        <w:object w:dxaOrig="9026" w:dyaOrig="2719" w14:anchorId="7C4C8515">
          <v:shape id="_x0000_i1026" type="#_x0000_t75" style="width:451.35pt;height:135.9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DocumentMacroEnabled.12" ShapeID="_x0000_i1026" DrawAspect="Content" ObjectID="_1665571820" r:id="rId11"/>
        </w:object>
      </w:r>
    </w:p>
    <w:p w14:paraId="6D0F7073" w14:textId="6891F7F7" w:rsidR="00F86259" w:rsidRPr="00F86259" w:rsidRDefault="00F86259" w:rsidP="00F86259">
      <w:pPr>
        <w:pStyle w:val="Caption"/>
      </w:pPr>
      <w:r w:rsidRPr="00F86259">
        <w:rPr>
          <w:b/>
          <w:bCs/>
          <w:i w:val="0"/>
          <w:iCs w:val="0"/>
        </w:rPr>
        <w:t xml:space="preserve">Figure </w:t>
      </w:r>
      <w:r w:rsidR="0044571A">
        <w:rPr>
          <w:b/>
          <w:bCs/>
          <w:i w:val="0"/>
          <w:iCs w:val="0"/>
        </w:rPr>
        <w:t>I</w:t>
      </w:r>
      <w:r>
        <w:rPr>
          <w:b/>
          <w:bCs/>
          <w:i w:val="0"/>
          <w:iCs w:val="0"/>
        </w:rPr>
        <w:t>I-</w:t>
      </w:r>
      <w:r w:rsidRPr="00F86259">
        <w:rPr>
          <w:b/>
          <w:bCs/>
          <w:i w:val="0"/>
          <w:iCs w:val="0"/>
        </w:rPr>
        <w:fldChar w:fldCharType="begin"/>
      </w:r>
      <w:r w:rsidRPr="00F86259">
        <w:rPr>
          <w:b/>
          <w:bCs/>
          <w:i w:val="0"/>
          <w:iCs w:val="0"/>
        </w:rPr>
        <w:instrText xml:space="preserve"> SEQ Figure \* ARABIC </w:instrText>
      </w:r>
      <w:r w:rsidRPr="00F86259">
        <w:rPr>
          <w:b/>
          <w:bCs/>
          <w:i w:val="0"/>
          <w:iCs w:val="0"/>
        </w:rPr>
        <w:fldChar w:fldCharType="separate"/>
      </w:r>
      <w:r w:rsidR="004538FF">
        <w:rPr>
          <w:b/>
          <w:bCs/>
          <w:i w:val="0"/>
          <w:iCs w:val="0"/>
          <w:noProof/>
        </w:rPr>
        <w:t>2</w:t>
      </w:r>
      <w:r w:rsidRPr="00F86259">
        <w:rPr>
          <w:b/>
          <w:bCs/>
          <w:i w:val="0"/>
          <w:iCs w:val="0"/>
        </w:rPr>
        <w:fldChar w:fldCharType="end"/>
      </w:r>
      <w:r>
        <w:rPr>
          <w:b/>
          <w:bCs/>
          <w:i w:val="0"/>
          <w:iCs w:val="0"/>
        </w:rPr>
        <w:t xml:space="preserve"> – </w:t>
      </w:r>
      <w:r>
        <w:rPr>
          <w:i w:val="0"/>
          <w:iCs w:val="0"/>
        </w:rPr>
        <w:t xml:space="preserve">A non-formalist approach to </w:t>
      </w:r>
      <w:r>
        <w:t>Nix v Hedden</w:t>
      </w:r>
      <w:r>
        <w:rPr>
          <w:i w:val="0"/>
          <w:iCs w:val="0"/>
        </w:rPr>
        <w:t xml:space="preserve">. </w:t>
      </w:r>
      <w:r w:rsidRPr="00F86259">
        <w:t>Compatible with Python 3. This code was developed by the author of the present article.</w:t>
      </w:r>
    </w:p>
    <w:p w14:paraId="064B2C35" w14:textId="77777777" w:rsidR="00F86259" w:rsidRDefault="00F86259" w:rsidP="00814C14">
      <w:pPr>
        <w:spacing w:line="480" w:lineRule="auto"/>
        <w:jc w:val="both"/>
        <w:rPr>
          <w:rFonts w:ascii="Times New Roman" w:hAnsi="Times New Roman" w:cs="Times New Roman"/>
        </w:rPr>
      </w:pPr>
    </w:p>
    <w:p w14:paraId="0AE611B3" w14:textId="1AC1579F" w:rsidR="00B417C3" w:rsidRDefault="00A666BE" w:rsidP="00814C14">
      <w:pPr>
        <w:spacing w:line="480" w:lineRule="auto"/>
        <w:jc w:val="both"/>
        <w:rPr>
          <w:rFonts w:ascii="Times New Roman" w:hAnsi="Times New Roman" w:cs="Times New Roman"/>
        </w:rPr>
      </w:pPr>
      <w:r>
        <w:rPr>
          <w:rFonts w:ascii="Times New Roman" w:hAnsi="Times New Roman" w:cs="Times New Roman"/>
        </w:rPr>
        <w:t>Of likely greater concern to critics such as McIntyre, however, is the potential eradication of deliberate ambiguity giving rise to judicial law-making powers.</w:t>
      </w:r>
      <w:r w:rsidR="0012598D">
        <w:rPr>
          <w:rFonts w:ascii="Times New Roman" w:hAnsi="Times New Roman" w:cs="Times New Roman"/>
        </w:rPr>
        <w:t xml:space="preserve"> </w:t>
      </w:r>
      <w:r w:rsidR="0012598D" w:rsidRPr="00B67F00">
        <w:rPr>
          <w:rFonts w:ascii="Times New Roman" w:hAnsi="Times New Roman" w:cs="Times New Roman"/>
        </w:rPr>
        <w:t xml:space="preserve">The OECD’s response </w:t>
      </w:r>
      <w:r w:rsidR="0012598D">
        <w:rPr>
          <w:rFonts w:ascii="Times New Roman" w:hAnsi="Times New Roman" w:cs="Times New Roman"/>
        </w:rPr>
        <w:t>to McIntyre’s Napoleonic comparison</w:t>
      </w:r>
      <w:r w:rsidR="00756AF0" w:rsidRPr="00DD0131">
        <w:rPr>
          <w:rStyle w:val="FootnoteReference"/>
        </w:rPr>
        <w:footnoteReference w:id="65"/>
      </w:r>
      <w:r w:rsidR="0012598D">
        <w:rPr>
          <w:rFonts w:ascii="Times New Roman" w:hAnsi="Times New Roman" w:cs="Times New Roman"/>
        </w:rPr>
        <w:t xml:space="preserve"> </w:t>
      </w:r>
      <w:r w:rsidR="0012598D" w:rsidRPr="00B67F00">
        <w:rPr>
          <w:rFonts w:ascii="Times New Roman" w:hAnsi="Times New Roman" w:cs="Times New Roman"/>
        </w:rPr>
        <w:t xml:space="preserve">acknowledged such risks, but only to the extent that RaC might result in adverse outcomes </w:t>
      </w:r>
      <w:r w:rsidR="00071535">
        <w:rPr>
          <w:rFonts w:ascii="Times New Roman" w:hAnsi="Times New Roman" w:cs="Times New Roman"/>
        </w:rPr>
        <w:t>of</w:t>
      </w:r>
      <w:r w:rsidR="0012598D" w:rsidRPr="00B67F00">
        <w:rPr>
          <w:rFonts w:ascii="Times New Roman" w:hAnsi="Times New Roman" w:cs="Times New Roman"/>
        </w:rPr>
        <w:t xml:space="preserve"> a similar manner to other automated decision-making software.</w:t>
      </w:r>
      <w:r w:rsidR="0012598D" w:rsidRPr="00DD0131">
        <w:rPr>
          <w:rStyle w:val="FootnoteReference"/>
        </w:rPr>
        <w:footnoteReference w:id="66"/>
      </w:r>
      <w:r w:rsidR="0012598D" w:rsidRPr="00B67F00">
        <w:rPr>
          <w:rFonts w:ascii="Times New Roman" w:hAnsi="Times New Roman" w:cs="Times New Roman"/>
        </w:rPr>
        <w:t xml:space="preserve"> </w:t>
      </w:r>
      <w:r w:rsidR="00D8469E">
        <w:rPr>
          <w:rFonts w:ascii="Times New Roman" w:hAnsi="Times New Roman" w:cs="Times New Roman"/>
        </w:rPr>
        <w:t>Here,</w:t>
      </w:r>
      <w:r w:rsidR="0012598D" w:rsidRPr="00B67F00">
        <w:rPr>
          <w:rFonts w:ascii="Times New Roman" w:hAnsi="Times New Roman" w:cs="Times New Roman"/>
        </w:rPr>
        <w:t xml:space="preserve"> the OECD failed to recognise that just as they expect RaC to influence lawmakers toward reducing logical inconsistencies in their drafting,</w:t>
      </w:r>
      <w:r w:rsidR="00F33EAE" w:rsidRPr="00DD0131">
        <w:rPr>
          <w:rStyle w:val="FootnoteReference"/>
        </w:rPr>
        <w:footnoteReference w:id="67"/>
      </w:r>
      <w:r w:rsidR="0012598D" w:rsidRPr="00B67F00">
        <w:rPr>
          <w:rFonts w:ascii="Times New Roman" w:hAnsi="Times New Roman" w:cs="Times New Roman"/>
        </w:rPr>
        <w:t xml:space="preserve"> it may also unintentionally encourage legislators to </w:t>
      </w:r>
      <w:r w:rsidR="00C0028D">
        <w:rPr>
          <w:rFonts w:ascii="Times New Roman" w:hAnsi="Times New Roman" w:cs="Times New Roman"/>
        </w:rPr>
        <w:t>draft</w:t>
      </w:r>
      <w:r w:rsidR="0012598D" w:rsidRPr="00B67F00">
        <w:rPr>
          <w:rFonts w:ascii="Times New Roman" w:hAnsi="Times New Roman" w:cs="Times New Roman"/>
        </w:rPr>
        <w:t xml:space="preserve"> </w:t>
      </w:r>
      <w:r w:rsidR="00C0028D">
        <w:rPr>
          <w:rFonts w:ascii="Times New Roman" w:hAnsi="Times New Roman" w:cs="Times New Roman"/>
        </w:rPr>
        <w:t>with</w:t>
      </w:r>
      <w:r w:rsidR="0012598D" w:rsidRPr="00B67F00">
        <w:rPr>
          <w:rFonts w:ascii="Times New Roman" w:hAnsi="Times New Roman" w:cs="Times New Roman"/>
        </w:rPr>
        <w:t xml:space="preserve"> a more formalist perspective in an attempt to accommodate digital conversion.</w:t>
      </w:r>
      <w:r w:rsidR="00C8556D">
        <w:rPr>
          <w:rFonts w:ascii="Times New Roman" w:hAnsi="Times New Roman" w:cs="Times New Roman"/>
        </w:rPr>
        <w:t xml:space="preserve"> </w:t>
      </w:r>
      <w:r w:rsidR="007857EA">
        <w:rPr>
          <w:rFonts w:ascii="Times New Roman" w:hAnsi="Times New Roman" w:cs="Times New Roman"/>
        </w:rPr>
        <w:t xml:space="preserve">The OECD and other adopters of </w:t>
      </w:r>
      <w:r w:rsidR="00DD0131">
        <w:rPr>
          <w:rFonts w:ascii="Times New Roman" w:hAnsi="Times New Roman" w:cs="Times New Roman"/>
        </w:rPr>
        <w:t>RaC</w:t>
      </w:r>
      <w:r w:rsidR="007A19E4">
        <w:rPr>
          <w:rFonts w:ascii="Times New Roman" w:hAnsi="Times New Roman" w:cs="Times New Roman"/>
        </w:rPr>
        <w:t xml:space="preserve"> </w:t>
      </w:r>
      <w:r w:rsidR="007857EA">
        <w:rPr>
          <w:rFonts w:ascii="Times New Roman" w:hAnsi="Times New Roman" w:cs="Times New Roman"/>
        </w:rPr>
        <w:t>have further tried to soothe concerns</w:t>
      </w:r>
      <w:r w:rsidR="00E45ECD">
        <w:rPr>
          <w:rFonts w:ascii="Times New Roman" w:hAnsi="Times New Roman" w:cs="Times New Roman"/>
        </w:rPr>
        <w:t xml:space="preserve"> by indicating that </w:t>
      </w:r>
      <w:r w:rsidR="00DD0131">
        <w:rPr>
          <w:rFonts w:ascii="Times New Roman" w:hAnsi="Times New Roman" w:cs="Times New Roman"/>
        </w:rPr>
        <w:t>RaC</w:t>
      </w:r>
      <w:r w:rsidR="00E45ECD">
        <w:rPr>
          <w:rFonts w:ascii="Times New Roman" w:hAnsi="Times New Roman" w:cs="Times New Roman"/>
        </w:rPr>
        <w:t xml:space="preserve"> could be limited to </w:t>
      </w:r>
      <w:r w:rsidR="005E5B7E">
        <w:rPr>
          <w:rFonts w:ascii="Times New Roman" w:hAnsi="Times New Roman" w:cs="Times New Roman"/>
        </w:rPr>
        <w:t>solely prescriptive and unambiguous legal texts</w:t>
      </w:r>
      <w:r w:rsidR="005B11FB">
        <w:rPr>
          <w:rFonts w:ascii="Times New Roman" w:hAnsi="Times New Roman" w:cs="Times New Roman"/>
        </w:rPr>
        <w:t>.</w:t>
      </w:r>
      <w:r w:rsidR="00037D61" w:rsidRPr="00DD0131">
        <w:rPr>
          <w:rStyle w:val="FootnoteReference"/>
        </w:rPr>
        <w:footnoteReference w:id="68"/>
      </w:r>
      <w:r w:rsidR="005B11FB">
        <w:rPr>
          <w:rFonts w:ascii="Times New Roman" w:hAnsi="Times New Roman" w:cs="Times New Roman"/>
        </w:rPr>
        <w:t xml:space="preserve"> </w:t>
      </w:r>
      <w:r w:rsidR="005E63E8">
        <w:rPr>
          <w:rFonts w:ascii="Times New Roman" w:hAnsi="Times New Roman" w:cs="Times New Roman"/>
        </w:rPr>
        <w:t>Such</w:t>
      </w:r>
      <w:r w:rsidR="005B11FB">
        <w:rPr>
          <w:rFonts w:ascii="Times New Roman" w:hAnsi="Times New Roman" w:cs="Times New Roman"/>
        </w:rPr>
        <w:t xml:space="preserve"> claim</w:t>
      </w:r>
      <w:r w:rsidR="005E63E8">
        <w:rPr>
          <w:rFonts w:ascii="Times New Roman" w:hAnsi="Times New Roman" w:cs="Times New Roman"/>
        </w:rPr>
        <w:t>s</w:t>
      </w:r>
      <w:r w:rsidR="005B11FB">
        <w:rPr>
          <w:rFonts w:ascii="Times New Roman" w:hAnsi="Times New Roman" w:cs="Times New Roman"/>
        </w:rPr>
        <w:t xml:space="preserve"> appear to be at odds with RaC justifications highlight</w:t>
      </w:r>
      <w:r w:rsidR="005E63E8">
        <w:rPr>
          <w:rFonts w:ascii="Times New Roman" w:hAnsi="Times New Roman" w:cs="Times New Roman"/>
        </w:rPr>
        <w:t>ing</w:t>
      </w:r>
      <w:r w:rsidR="005B11FB">
        <w:rPr>
          <w:rFonts w:ascii="Times New Roman" w:hAnsi="Times New Roman" w:cs="Times New Roman"/>
        </w:rPr>
        <w:t xml:space="preserve"> the vas</w:t>
      </w:r>
      <w:r w:rsidR="005E63E8">
        <w:rPr>
          <w:rFonts w:ascii="Times New Roman" w:hAnsi="Times New Roman" w:cs="Times New Roman"/>
        </w:rPr>
        <w:t xml:space="preserve">t </w:t>
      </w:r>
      <w:r w:rsidR="005B11FB">
        <w:rPr>
          <w:rFonts w:ascii="Times New Roman" w:hAnsi="Times New Roman" w:cs="Times New Roman"/>
        </w:rPr>
        <w:t>expenditure</w:t>
      </w:r>
      <w:r w:rsidR="005E63E8">
        <w:rPr>
          <w:rFonts w:ascii="Times New Roman" w:hAnsi="Times New Roman" w:cs="Times New Roman"/>
        </w:rPr>
        <w:t xml:space="preserve"> which could be saved</w:t>
      </w:r>
      <w:r w:rsidR="005B11FB">
        <w:rPr>
          <w:rFonts w:ascii="Times New Roman" w:hAnsi="Times New Roman" w:cs="Times New Roman"/>
        </w:rPr>
        <w:t xml:space="preserve"> </w:t>
      </w:r>
      <w:r w:rsidR="005E63E8">
        <w:rPr>
          <w:rFonts w:ascii="Times New Roman" w:hAnsi="Times New Roman" w:cs="Times New Roman"/>
        </w:rPr>
        <w:t>through</w:t>
      </w:r>
      <w:r w:rsidR="00B74B3B">
        <w:rPr>
          <w:rFonts w:ascii="Times New Roman" w:hAnsi="Times New Roman" w:cs="Times New Roman"/>
        </w:rPr>
        <w:t xml:space="preserve"> essentially nationalising the ‘RegTech’ industry</w:t>
      </w:r>
      <w:r w:rsidR="00814C14">
        <w:rPr>
          <w:rFonts w:ascii="Times New Roman" w:hAnsi="Times New Roman" w:cs="Times New Roman"/>
        </w:rPr>
        <w:t>, given</w:t>
      </w:r>
      <w:r w:rsidR="006D4929">
        <w:rPr>
          <w:rFonts w:ascii="Times New Roman" w:hAnsi="Times New Roman" w:cs="Times New Roman"/>
        </w:rPr>
        <w:t xml:space="preserve"> the vast</w:t>
      </w:r>
      <w:r w:rsidR="00AB1708">
        <w:rPr>
          <w:rFonts w:ascii="Times New Roman" w:hAnsi="Times New Roman" w:cs="Times New Roman"/>
        </w:rPr>
        <w:t xml:space="preserve"> </w:t>
      </w:r>
      <w:r w:rsidR="00C630DD">
        <w:rPr>
          <w:rFonts w:ascii="Times New Roman" w:hAnsi="Times New Roman" w:cs="Times New Roman"/>
        </w:rPr>
        <w:t>number</w:t>
      </w:r>
      <w:r w:rsidR="00AB1708">
        <w:rPr>
          <w:rFonts w:ascii="Times New Roman" w:hAnsi="Times New Roman" w:cs="Times New Roman"/>
        </w:rPr>
        <w:t xml:space="preserve"> of discretionary terms encountered in </w:t>
      </w:r>
      <w:r w:rsidR="00C630DD">
        <w:rPr>
          <w:rFonts w:ascii="Times New Roman" w:hAnsi="Times New Roman" w:cs="Times New Roman"/>
        </w:rPr>
        <w:t xml:space="preserve">the legislative framework of the </w:t>
      </w:r>
      <w:r w:rsidR="00C43232">
        <w:rPr>
          <w:rFonts w:ascii="Times New Roman" w:hAnsi="Times New Roman" w:cs="Times New Roman"/>
        </w:rPr>
        <w:t>financial services industry</w:t>
      </w:r>
      <w:r w:rsidR="008A7D37" w:rsidRPr="00DD0131">
        <w:rPr>
          <w:rStyle w:val="FootnoteReference"/>
        </w:rPr>
        <w:footnoteReference w:id="69"/>
      </w:r>
      <w:r w:rsidR="00814C14">
        <w:rPr>
          <w:rFonts w:ascii="Times New Roman" w:hAnsi="Times New Roman" w:cs="Times New Roman"/>
        </w:rPr>
        <w:t xml:space="preserve"> which </w:t>
      </w:r>
      <w:r w:rsidR="00FC62EB">
        <w:rPr>
          <w:rFonts w:ascii="Times New Roman" w:hAnsi="Times New Roman" w:cs="Times New Roman"/>
        </w:rPr>
        <w:t xml:space="preserve">provides </w:t>
      </w:r>
      <w:r w:rsidR="00814C14">
        <w:rPr>
          <w:rFonts w:ascii="Times New Roman" w:hAnsi="Times New Roman" w:cs="Times New Roman"/>
        </w:rPr>
        <w:t>the bulk of ‘RegTech’</w:t>
      </w:r>
      <w:r w:rsidR="00FC62EB">
        <w:rPr>
          <w:rFonts w:ascii="Times New Roman" w:hAnsi="Times New Roman" w:cs="Times New Roman"/>
        </w:rPr>
        <w:t xml:space="preserve"> work</w:t>
      </w:r>
      <w:r w:rsidR="005B11FB">
        <w:rPr>
          <w:rFonts w:ascii="Times New Roman" w:hAnsi="Times New Roman" w:cs="Times New Roman"/>
        </w:rPr>
        <w:t>.</w:t>
      </w:r>
      <w:r w:rsidR="00C44FAF" w:rsidRPr="00DD0131">
        <w:rPr>
          <w:rStyle w:val="FootnoteReference"/>
        </w:rPr>
        <w:footnoteReference w:id="70"/>
      </w:r>
    </w:p>
    <w:p w14:paraId="3408721B" w14:textId="4735D8FF" w:rsidR="000D37D7" w:rsidRDefault="003A71E5" w:rsidP="00814C14">
      <w:pPr>
        <w:spacing w:line="480" w:lineRule="auto"/>
        <w:jc w:val="both"/>
        <w:rPr>
          <w:rFonts w:ascii="Times New Roman" w:hAnsi="Times New Roman" w:cs="Times New Roman"/>
        </w:rPr>
      </w:pPr>
      <w:r>
        <w:rPr>
          <w:rFonts w:ascii="Times New Roman" w:hAnsi="Times New Roman" w:cs="Times New Roman"/>
        </w:rPr>
        <w:lastRenderedPageBreak/>
        <w:t xml:space="preserve">At current, </w:t>
      </w:r>
      <w:r w:rsidR="00426195">
        <w:rPr>
          <w:rFonts w:ascii="Times New Roman" w:hAnsi="Times New Roman" w:cs="Times New Roman"/>
        </w:rPr>
        <w:t xml:space="preserve">the notion of </w:t>
      </w:r>
      <w:r w:rsidR="00667F01">
        <w:rPr>
          <w:rFonts w:ascii="Times New Roman" w:hAnsi="Times New Roman" w:cs="Times New Roman"/>
        </w:rPr>
        <w:t xml:space="preserve">a truly </w:t>
      </w:r>
      <w:r w:rsidR="00426195">
        <w:rPr>
          <w:rFonts w:ascii="Times New Roman" w:hAnsi="Times New Roman" w:cs="Times New Roman"/>
        </w:rPr>
        <w:t>non-formalist</w:t>
      </w:r>
      <w:r w:rsidR="00667F01">
        <w:rPr>
          <w:rFonts w:ascii="Times New Roman" w:hAnsi="Times New Roman" w:cs="Times New Roman"/>
        </w:rPr>
        <w:t xml:space="preserve"> </w:t>
      </w:r>
      <w:r w:rsidR="00DD0131">
        <w:rPr>
          <w:rFonts w:ascii="Times New Roman" w:hAnsi="Times New Roman" w:cs="Times New Roman"/>
        </w:rPr>
        <w:t>RaC</w:t>
      </w:r>
      <w:r w:rsidR="00667F01">
        <w:rPr>
          <w:rFonts w:ascii="Times New Roman" w:hAnsi="Times New Roman" w:cs="Times New Roman"/>
        </w:rPr>
        <w:t xml:space="preserve"> is limited by the inherent formalism of algorithms as deterministic functions. Computer science scholars </w:t>
      </w:r>
      <w:r w:rsidR="00FF13F9">
        <w:rPr>
          <w:rFonts w:ascii="Times New Roman" w:hAnsi="Times New Roman" w:cs="Times New Roman"/>
        </w:rPr>
        <w:t>argue that algorithms may be able to evolve to a point where they might evaluate problems through a truly non-formalist method</w:t>
      </w:r>
      <w:r w:rsidR="009A5B5F">
        <w:rPr>
          <w:rFonts w:ascii="Times New Roman" w:hAnsi="Times New Roman" w:cs="Times New Roman"/>
        </w:rPr>
        <w:t>,</w:t>
      </w:r>
      <w:r w:rsidR="00FF13F9" w:rsidRPr="00DD0131">
        <w:rPr>
          <w:rStyle w:val="FootnoteReference"/>
        </w:rPr>
        <w:footnoteReference w:id="71"/>
      </w:r>
      <w:r w:rsidR="009A5B5F">
        <w:rPr>
          <w:rFonts w:ascii="Times New Roman" w:hAnsi="Times New Roman" w:cs="Times New Roman"/>
        </w:rPr>
        <w:t xml:space="preserve"> but barring such</w:t>
      </w:r>
      <w:r w:rsidR="007E53D5">
        <w:rPr>
          <w:rFonts w:ascii="Times New Roman" w:hAnsi="Times New Roman" w:cs="Times New Roman"/>
        </w:rPr>
        <w:t>, as of yet, hypothesised</w:t>
      </w:r>
      <w:r w:rsidR="009A5B5F">
        <w:rPr>
          <w:rFonts w:ascii="Times New Roman" w:hAnsi="Times New Roman" w:cs="Times New Roman"/>
        </w:rPr>
        <w:t xml:space="preserve"> advances, this paper seeks to explore how one might accommodate such legal ambiguity without adhering to a strict formalist’s perspective</w:t>
      </w:r>
      <w:r w:rsidR="00E9432C">
        <w:rPr>
          <w:rFonts w:ascii="Times New Roman" w:hAnsi="Times New Roman" w:cs="Times New Roman"/>
        </w:rPr>
        <w:t xml:space="preserve"> which detracts from the interpretative role of the judiciary</w:t>
      </w:r>
      <w:r w:rsidR="00DE68B1">
        <w:rPr>
          <w:rFonts w:ascii="Times New Roman" w:hAnsi="Times New Roman" w:cs="Times New Roman"/>
        </w:rPr>
        <w:t>.</w:t>
      </w:r>
    </w:p>
    <w:p w14:paraId="60E14EDF" w14:textId="1267D3EA" w:rsidR="00B417C3" w:rsidRDefault="00B417C3" w:rsidP="00814C14">
      <w:pPr>
        <w:spacing w:line="480" w:lineRule="auto"/>
        <w:jc w:val="both"/>
        <w:rPr>
          <w:rFonts w:ascii="Times New Roman" w:hAnsi="Times New Roman" w:cs="Times New Roman"/>
        </w:rPr>
      </w:pPr>
    </w:p>
    <w:p w14:paraId="5FAC7AF8" w14:textId="6DA916F9" w:rsidR="00E67332" w:rsidRPr="00B67F00" w:rsidRDefault="00AD2743" w:rsidP="00AD2743">
      <w:pPr>
        <w:spacing w:line="480" w:lineRule="auto"/>
        <w:jc w:val="center"/>
        <w:rPr>
          <w:rFonts w:ascii="Times New Roman" w:hAnsi="Times New Roman" w:cs="Times New Roman"/>
          <w:sz w:val="24"/>
          <w:szCs w:val="24"/>
        </w:rPr>
      </w:pPr>
      <w:r>
        <w:rPr>
          <w:rFonts w:ascii="Times New Roman" w:hAnsi="Times New Roman" w:cs="Times New Roman"/>
          <w:sz w:val="24"/>
          <w:szCs w:val="24"/>
        </w:rPr>
        <w:t>C</w:t>
      </w:r>
      <w:r w:rsidRPr="00B67F00">
        <w:rPr>
          <w:rFonts w:ascii="Times New Roman" w:hAnsi="Times New Roman" w:cs="Times New Roman"/>
          <w:sz w:val="24"/>
          <w:szCs w:val="24"/>
        </w:rPr>
        <w:t xml:space="preserve"> </w:t>
      </w:r>
      <w:r w:rsidR="00E67332" w:rsidRPr="00B67F00">
        <w:rPr>
          <w:rFonts w:ascii="Times New Roman" w:hAnsi="Times New Roman" w:cs="Times New Roman"/>
          <w:i/>
          <w:iCs/>
          <w:sz w:val="24"/>
          <w:szCs w:val="24"/>
        </w:rPr>
        <w:t>The Act of Interpretation</w:t>
      </w:r>
    </w:p>
    <w:p w14:paraId="76F66F55" w14:textId="0F7F2B8A" w:rsidR="00E67332" w:rsidRPr="00B67F00" w:rsidRDefault="00E67332" w:rsidP="00E67332">
      <w:pPr>
        <w:spacing w:line="480" w:lineRule="auto"/>
        <w:jc w:val="both"/>
        <w:rPr>
          <w:rFonts w:ascii="Times New Roman" w:hAnsi="Times New Roman" w:cs="Times New Roman"/>
        </w:rPr>
      </w:pPr>
      <w:r w:rsidRPr="00B67F00">
        <w:rPr>
          <w:rFonts w:ascii="Times New Roman" w:hAnsi="Times New Roman" w:cs="Times New Roman"/>
        </w:rPr>
        <w:t xml:space="preserve">Among the factors informing the relationship between RaC and the </w:t>
      </w:r>
      <w:r w:rsidR="00756AF0">
        <w:rPr>
          <w:rFonts w:ascii="Times New Roman" w:hAnsi="Times New Roman" w:cs="Times New Roman"/>
        </w:rPr>
        <w:t>interpretative role of the judiciary</w:t>
      </w:r>
      <w:r w:rsidRPr="00B67F00">
        <w:rPr>
          <w:rFonts w:ascii="Times New Roman" w:hAnsi="Times New Roman" w:cs="Times New Roman"/>
        </w:rPr>
        <w:t xml:space="preserve"> is the question of the ‘right to interpret’ in context of the</w:t>
      </w:r>
      <w:r w:rsidR="008A2652">
        <w:rPr>
          <w:rFonts w:ascii="Times New Roman" w:hAnsi="Times New Roman" w:cs="Times New Roman"/>
        </w:rPr>
        <w:t xml:space="preserve"> doctrine of</w:t>
      </w:r>
      <w:r w:rsidR="00C0028D">
        <w:rPr>
          <w:rFonts w:ascii="Times New Roman" w:hAnsi="Times New Roman" w:cs="Times New Roman"/>
        </w:rPr>
        <w:t xml:space="preserve"> the</w:t>
      </w:r>
      <w:r w:rsidRPr="00B67F00">
        <w:rPr>
          <w:rFonts w:ascii="Times New Roman" w:hAnsi="Times New Roman" w:cs="Times New Roman"/>
        </w:rPr>
        <w:t xml:space="preserve"> separation of powers. Chapter three of the </w:t>
      </w:r>
      <w:r w:rsidRPr="00B67F00">
        <w:rPr>
          <w:rFonts w:ascii="Times New Roman" w:hAnsi="Times New Roman" w:cs="Times New Roman"/>
          <w:i/>
          <w:iCs/>
        </w:rPr>
        <w:t>Commonwealth Constitution</w:t>
      </w:r>
      <w:r w:rsidRPr="00DD0131">
        <w:rPr>
          <w:rStyle w:val="FootnoteReference"/>
        </w:rPr>
        <w:footnoteReference w:id="72"/>
      </w:r>
      <w:r w:rsidR="00A07E0D">
        <w:rPr>
          <w:rFonts w:ascii="Times New Roman" w:hAnsi="Times New Roman" w:cs="Times New Roman"/>
        </w:rPr>
        <w:t xml:space="preserve"> (“the </w:t>
      </w:r>
      <w:r w:rsidR="00A07E0D">
        <w:rPr>
          <w:rFonts w:ascii="Times New Roman" w:hAnsi="Times New Roman" w:cs="Times New Roman"/>
          <w:i/>
          <w:iCs/>
        </w:rPr>
        <w:t>Constitution</w:t>
      </w:r>
      <w:r w:rsidR="00A07E0D" w:rsidRPr="00A07E0D">
        <w:rPr>
          <w:rFonts w:ascii="Times New Roman" w:hAnsi="Times New Roman" w:cs="Times New Roman"/>
        </w:rPr>
        <w:t>”</w:t>
      </w:r>
      <w:r w:rsidR="00A07E0D">
        <w:rPr>
          <w:rFonts w:ascii="Times New Roman" w:hAnsi="Times New Roman" w:cs="Times New Roman"/>
        </w:rPr>
        <w:t>)</w:t>
      </w:r>
      <w:r w:rsidRPr="00B67F00">
        <w:rPr>
          <w:rFonts w:ascii="Times New Roman" w:hAnsi="Times New Roman" w:cs="Times New Roman"/>
        </w:rPr>
        <w:t xml:space="preserve"> </w:t>
      </w:r>
      <w:r w:rsidR="0039719D">
        <w:rPr>
          <w:rFonts w:ascii="Times New Roman" w:hAnsi="Times New Roman" w:cs="Times New Roman"/>
        </w:rPr>
        <w:t>vests</w:t>
      </w:r>
      <w:r w:rsidRPr="00B67F00">
        <w:rPr>
          <w:rFonts w:ascii="Times New Roman" w:hAnsi="Times New Roman" w:cs="Times New Roman"/>
        </w:rPr>
        <w:t xml:space="preserve"> the judicial power of the Commonwealth in the federal courts,</w:t>
      </w:r>
      <w:r w:rsidRPr="00DD0131">
        <w:rPr>
          <w:rStyle w:val="FootnoteReference"/>
        </w:rPr>
        <w:footnoteReference w:id="73"/>
      </w:r>
      <w:r w:rsidRPr="00B67F00">
        <w:rPr>
          <w:rFonts w:ascii="Times New Roman" w:hAnsi="Times New Roman" w:cs="Times New Roman"/>
        </w:rPr>
        <w:t xml:space="preserve"> extending </w:t>
      </w:r>
      <w:r w:rsidR="0039719D">
        <w:rPr>
          <w:rFonts w:ascii="Times New Roman" w:hAnsi="Times New Roman" w:cs="Times New Roman"/>
        </w:rPr>
        <w:t xml:space="preserve">to Australia </w:t>
      </w:r>
      <w:r w:rsidRPr="00B67F00">
        <w:rPr>
          <w:rFonts w:ascii="Times New Roman" w:hAnsi="Times New Roman" w:cs="Times New Roman"/>
        </w:rPr>
        <w:t>the separation of the executive and judicial</w:t>
      </w:r>
      <w:r w:rsidR="00016F9C">
        <w:rPr>
          <w:rFonts w:ascii="Times New Roman" w:hAnsi="Times New Roman" w:cs="Times New Roman"/>
        </w:rPr>
        <w:t>.</w:t>
      </w:r>
      <w:r w:rsidR="00756AF0">
        <w:rPr>
          <w:rFonts w:ascii="Times New Roman" w:hAnsi="Times New Roman" w:cs="Times New Roman"/>
        </w:rPr>
        <w:t xml:space="preserve"> </w:t>
      </w:r>
      <w:r w:rsidRPr="00B67F00">
        <w:rPr>
          <w:rFonts w:ascii="Times New Roman" w:hAnsi="Times New Roman" w:cs="Times New Roman"/>
        </w:rPr>
        <w:t>Such a partition between the powers of the judiciary and the remaining arms of government</w:t>
      </w:r>
      <w:r w:rsidR="00C34586">
        <w:rPr>
          <w:rFonts w:ascii="Times New Roman" w:hAnsi="Times New Roman" w:cs="Times New Roman"/>
        </w:rPr>
        <w:t xml:space="preserve"> is</w:t>
      </w:r>
      <w:r w:rsidR="008E3346">
        <w:rPr>
          <w:rFonts w:ascii="Times New Roman" w:hAnsi="Times New Roman" w:cs="Times New Roman"/>
        </w:rPr>
        <w:t xml:space="preserve">, in theory, </w:t>
      </w:r>
      <w:r w:rsidR="00C34586">
        <w:rPr>
          <w:rFonts w:ascii="Times New Roman" w:hAnsi="Times New Roman" w:cs="Times New Roman"/>
        </w:rPr>
        <w:t>a cornerstone of fair Australian governance</w:t>
      </w:r>
      <w:r w:rsidR="008B0568">
        <w:rPr>
          <w:rFonts w:ascii="Times New Roman" w:hAnsi="Times New Roman" w:cs="Times New Roman"/>
        </w:rPr>
        <w:t xml:space="preserve"> free of arbitrary exercise of power,</w:t>
      </w:r>
      <w:r w:rsidR="008B0568" w:rsidRPr="00DD0131">
        <w:rPr>
          <w:rStyle w:val="FootnoteReference"/>
        </w:rPr>
        <w:footnoteReference w:id="74"/>
      </w:r>
      <w:r w:rsidR="008B0568">
        <w:rPr>
          <w:rFonts w:ascii="Times New Roman" w:hAnsi="Times New Roman" w:cs="Times New Roman"/>
        </w:rPr>
        <w:t xml:space="preserve"> and has </w:t>
      </w:r>
      <w:r w:rsidRPr="00B67F00">
        <w:rPr>
          <w:rFonts w:ascii="Times New Roman" w:hAnsi="Times New Roman" w:cs="Times New Roman"/>
        </w:rPr>
        <w:t>found confirmation in the common law throughout the 20</w:t>
      </w:r>
      <w:r w:rsidRPr="00B67F00">
        <w:rPr>
          <w:rFonts w:ascii="Times New Roman" w:hAnsi="Times New Roman" w:cs="Times New Roman"/>
          <w:vertAlign w:val="superscript"/>
        </w:rPr>
        <w:t>th</w:t>
      </w:r>
      <w:r w:rsidRPr="00B67F00">
        <w:rPr>
          <w:rFonts w:ascii="Times New Roman" w:hAnsi="Times New Roman" w:cs="Times New Roman"/>
        </w:rPr>
        <w:t xml:space="preserve"> Century, beginning with </w:t>
      </w:r>
      <w:r w:rsidRPr="00B67F00">
        <w:rPr>
          <w:rFonts w:ascii="Times New Roman" w:hAnsi="Times New Roman" w:cs="Times New Roman"/>
          <w:i/>
          <w:iCs/>
        </w:rPr>
        <w:t>New South Wales v Commonwealth.</w:t>
      </w:r>
      <w:r w:rsidRPr="00DD0131">
        <w:rPr>
          <w:rStyle w:val="FootnoteReference"/>
        </w:rPr>
        <w:footnoteReference w:id="75"/>
      </w:r>
      <w:r w:rsidR="008B0568">
        <w:rPr>
          <w:rFonts w:ascii="Times New Roman" w:hAnsi="Times New Roman" w:cs="Times New Roman"/>
        </w:rPr>
        <w:t xml:space="preserve"> </w:t>
      </w:r>
      <w:r w:rsidRPr="00B67F00">
        <w:rPr>
          <w:rFonts w:ascii="Times New Roman" w:hAnsi="Times New Roman" w:cs="Times New Roman"/>
        </w:rPr>
        <w:t>It is</w:t>
      </w:r>
      <w:r w:rsidR="004D10E0" w:rsidRPr="00B67F00">
        <w:rPr>
          <w:rFonts w:ascii="Times New Roman" w:hAnsi="Times New Roman" w:cs="Times New Roman"/>
        </w:rPr>
        <w:t xml:space="preserve"> therefore</w:t>
      </w:r>
      <w:r w:rsidRPr="00B67F00">
        <w:rPr>
          <w:rFonts w:ascii="Times New Roman" w:hAnsi="Times New Roman" w:cs="Times New Roman"/>
        </w:rPr>
        <w:t xml:space="preserve"> worth exploring whether the act of converting legal texts into code</w:t>
      </w:r>
      <w:r w:rsidR="00FE79BD">
        <w:rPr>
          <w:rFonts w:ascii="Times New Roman" w:hAnsi="Times New Roman" w:cs="Times New Roman"/>
        </w:rPr>
        <w:t xml:space="preserve"> would</w:t>
      </w:r>
      <w:r w:rsidR="00EE2EF4">
        <w:rPr>
          <w:rFonts w:ascii="Times New Roman" w:hAnsi="Times New Roman" w:cs="Times New Roman"/>
        </w:rPr>
        <w:t xml:space="preserve"> </w:t>
      </w:r>
      <w:r w:rsidRPr="00B67F00">
        <w:rPr>
          <w:rFonts w:ascii="Times New Roman" w:hAnsi="Times New Roman" w:cs="Times New Roman"/>
        </w:rPr>
        <w:t xml:space="preserve">consist of ‘interpreting’ the law in a manner which is reserved for the judiciary, and therefore, if carried out with the authority of the legislature or executive, violate the </w:t>
      </w:r>
      <w:r w:rsidR="0061500E">
        <w:rPr>
          <w:rFonts w:ascii="Times New Roman" w:hAnsi="Times New Roman" w:cs="Times New Roman"/>
        </w:rPr>
        <w:t>separation of powers</w:t>
      </w:r>
      <w:r w:rsidRPr="00B67F00">
        <w:rPr>
          <w:rFonts w:ascii="Times New Roman" w:hAnsi="Times New Roman" w:cs="Times New Roman"/>
        </w:rPr>
        <w:t>.</w:t>
      </w:r>
      <w:r w:rsidR="0061500E">
        <w:rPr>
          <w:rFonts w:ascii="Times New Roman" w:hAnsi="Times New Roman" w:cs="Times New Roman"/>
        </w:rPr>
        <w:t xml:space="preserve"> </w:t>
      </w:r>
      <w:bookmarkStart w:id="5" w:name="_Hlk54770721"/>
      <w:r w:rsidR="00436466">
        <w:rPr>
          <w:rFonts w:ascii="Times New Roman" w:hAnsi="Times New Roman" w:cs="Times New Roman"/>
        </w:rPr>
        <w:t xml:space="preserve">Indeed, the judicial power of the courts includes independent interpretation and application of the law, free from influence by the other branches, and thus, were such an application to be used in a manner which </w:t>
      </w:r>
      <w:r w:rsidR="00436466">
        <w:rPr>
          <w:rFonts w:ascii="Times New Roman" w:hAnsi="Times New Roman" w:cs="Times New Roman"/>
        </w:rPr>
        <w:lastRenderedPageBreak/>
        <w:t>resolves disputes with any binding authority, it would likely be deemed to interfere with this power and be held constitutionally invalid.</w:t>
      </w:r>
      <w:r w:rsidR="00436466">
        <w:rPr>
          <w:rStyle w:val="FootnoteReference"/>
          <w:rFonts w:ascii="Times New Roman" w:hAnsi="Times New Roman" w:cs="Times New Roman"/>
        </w:rPr>
        <w:footnoteReference w:id="76"/>
      </w:r>
      <w:bookmarkEnd w:id="5"/>
    </w:p>
    <w:p w14:paraId="69BA8B6E" w14:textId="2D912E1E" w:rsidR="009141B0" w:rsidRPr="006D52CA" w:rsidRDefault="00E67332" w:rsidP="00E67332">
      <w:pPr>
        <w:spacing w:line="480" w:lineRule="auto"/>
        <w:jc w:val="both"/>
        <w:rPr>
          <w:rFonts w:ascii="Times New Roman" w:hAnsi="Times New Roman" w:cs="Times New Roman"/>
        </w:rPr>
      </w:pPr>
      <w:r w:rsidRPr="00B67F00">
        <w:rPr>
          <w:rFonts w:ascii="Times New Roman" w:hAnsi="Times New Roman" w:cs="Times New Roman"/>
        </w:rPr>
        <w:t xml:space="preserve">Amongst the literature addressing </w:t>
      </w:r>
      <w:r w:rsidR="00EE2EF4">
        <w:rPr>
          <w:rFonts w:ascii="Times New Roman" w:hAnsi="Times New Roman" w:cs="Times New Roman"/>
        </w:rPr>
        <w:t>machine-consumable law</w:t>
      </w:r>
      <w:r w:rsidRPr="00B67F00">
        <w:rPr>
          <w:rFonts w:ascii="Times New Roman" w:hAnsi="Times New Roman" w:cs="Times New Roman"/>
        </w:rPr>
        <w:t>, little has yet considered the relationship between the hypothetical programmer</w:t>
      </w:r>
      <w:r w:rsidR="00EE2EF4">
        <w:rPr>
          <w:rStyle w:val="FootnoteReference"/>
          <w:rFonts w:ascii="Times New Roman" w:hAnsi="Times New Roman" w:cs="Times New Roman"/>
        </w:rPr>
        <w:footnoteReference w:id="77"/>
      </w:r>
      <w:r w:rsidRPr="00B67F00">
        <w:rPr>
          <w:rFonts w:ascii="Times New Roman" w:hAnsi="Times New Roman" w:cs="Times New Roman"/>
        </w:rPr>
        <w:t xml:space="preserve"> and the judicial</w:t>
      </w:r>
      <w:r w:rsidR="00C0028D">
        <w:rPr>
          <w:rFonts w:ascii="Times New Roman" w:hAnsi="Times New Roman" w:cs="Times New Roman"/>
        </w:rPr>
        <w:t xml:space="preserve"> interpretative</w:t>
      </w:r>
      <w:r w:rsidRPr="00B67F00">
        <w:rPr>
          <w:rFonts w:ascii="Times New Roman" w:hAnsi="Times New Roman" w:cs="Times New Roman"/>
        </w:rPr>
        <w:t xml:space="preserve"> power, though it is expected that this field will grow as Australia moves closer to the implementation of a form of RaC. Indeed, the New Zealand Law Foundation has funded the </w:t>
      </w:r>
      <w:r w:rsidR="00B20F92">
        <w:rPr>
          <w:rFonts w:ascii="Times New Roman" w:hAnsi="Times New Roman" w:cs="Times New Roman"/>
        </w:rPr>
        <w:t>‘</w:t>
      </w:r>
      <w:r w:rsidRPr="00B20F92">
        <w:rPr>
          <w:rFonts w:ascii="Times New Roman" w:hAnsi="Times New Roman" w:cs="Times New Roman"/>
        </w:rPr>
        <w:t>Legislation as Code in New Zealand</w:t>
      </w:r>
      <w:r w:rsidR="00B20F92">
        <w:rPr>
          <w:rFonts w:ascii="Times New Roman" w:hAnsi="Times New Roman" w:cs="Times New Roman"/>
        </w:rPr>
        <w:t>’</w:t>
      </w:r>
      <w:r w:rsidRPr="00B67F00">
        <w:rPr>
          <w:rFonts w:ascii="Times New Roman" w:hAnsi="Times New Roman" w:cs="Times New Roman"/>
          <w:i/>
          <w:iCs/>
        </w:rPr>
        <w:t xml:space="preserve"> </w:t>
      </w:r>
      <w:r w:rsidRPr="00B67F00">
        <w:rPr>
          <w:rFonts w:ascii="Times New Roman" w:hAnsi="Times New Roman" w:cs="Times New Roman"/>
        </w:rPr>
        <w:t xml:space="preserve">project, which aims to explore RaC from a </w:t>
      </w:r>
      <w:r w:rsidR="00F53D7E">
        <w:rPr>
          <w:rFonts w:ascii="Times New Roman" w:hAnsi="Times New Roman" w:cs="Times New Roman"/>
        </w:rPr>
        <w:t>‘</w:t>
      </w:r>
      <w:r w:rsidRPr="00B67F00">
        <w:rPr>
          <w:rFonts w:ascii="Times New Roman" w:hAnsi="Times New Roman" w:cs="Times New Roman"/>
        </w:rPr>
        <w:t>constitutionally appropriate approach</w:t>
      </w:r>
      <w:r w:rsidR="00F53D7E">
        <w:rPr>
          <w:rFonts w:ascii="Times New Roman" w:hAnsi="Times New Roman" w:cs="Times New Roman"/>
        </w:rPr>
        <w:t>’</w:t>
      </w:r>
      <w:r w:rsidRPr="00B67F00">
        <w:rPr>
          <w:rFonts w:ascii="Times New Roman" w:hAnsi="Times New Roman" w:cs="Times New Roman"/>
        </w:rPr>
        <w:t>,</w:t>
      </w:r>
      <w:r w:rsidRPr="00DD0131">
        <w:rPr>
          <w:rStyle w:val="FootnoteReference"/>
        </w:rPr>
        <w:footnoteReference w:id="78"/>
      </w:r>
      <w:r w:rsidRPr="00B67F00">
        <w:rPr>
          <w:rFonts w:ascii="Times New Roman" w:hAnsi="Times New Roman" w:cs="Times New Roman"/>
        </w:rPr>
        <w:t xml:space="preserve"> including its possible effects on </w:t>
      </w:r>
      <w:r w:rsidR="00F53D7E">
        <w:rPr>
          <w:rFonts w:ascii="Times New Roman" w:hAnsi="Times New Roman" w:cs="Times New Roman"/>
        </w:rPr>
        <w:t>‘</w:t>
      </w:r>
      <w:r w:rsidRPr="00B67F00">
        <w:rPr>
          <w:rFonts w:ascii="Times New Roman" w:hAnsi="Times New Roman" w:cs="Times New Roman"/>
        </w:rPr>
        <w:t>existing constitutional principles around the separation of powers</w:t>
      </w:r>
      <w:r w:rsidR="00F53D7E">
        <w:rPr>
          <w:rFonts w:ascii="Times New Roman" w:hAnsi="Times New Roman" w:cs="Times New Roman"/>
        </w:rPr>
        <w:t>’</w:t>
      </w:r>
      <w:r w:rsidRPr="00B67F00">
        <w:rPr>
          <w:rFonts w:ascii="Times New Roman" w:hAnsi="Times New Roman" w:cs="Times New Roman"/>
        </w:rPr>
        <w:t>,</w:t>
      </w:r>
      <w:r w:rsidRPr="00DD0131">
        <w:rPr>
          <w:rStyle w:val="FootnoteReference"/>
        </w:rPr>
        <w:footnoteReference w:id="79"/>
      </w:r>
      <w:r w:rsidRPr="00B67F00">
        <w:rPr>
          <w:rFonts w:ascii="Times New Roman" w:hAnsi="Times New Roman" w:cs="Times New Roman"/>
        </w:rPr>
        <w:t xml:space="preserve"> though the project’s findings are yet to release.</w:t>
      </w:r>
      <w:r w:rsidRPr="00DD0131">
        <w:rPr>
          <w:rStyle w:val="FootnoteReference"/>
        </w:rPr>
        <w:footnoteReference w:id="80"/>
      </w:r>
      <w:r w:rsidR="00974E0F" w:rsidRPr="00B67F00">
        <w:rPr>
          <w:rFonts w:ascii="Times New Roman" w:hAnsi="Times New Roman" w:cs="Times New Roman"/>
        </w:rPr>
        <w:t xml:space="preserve"> </w:t>
      </w:r>
      <w:r w:rsidRPr="00B67F00">
        <w:rPr>
          <w:rFonts w:ascii="Times New Roman" w:hAnsi="Times New Roman" w:cs="Times New Roman"/>
        </w:rPr>
        <w:t>In the absence</w:t>
      </w:r>
      <w:r w:rsidR="00884969" w:rsidRPr="00B67F00">
        <w:rPr>
          <w:rFonts w:ascii="Times New Roman" w:hAnsi="Times New Roman" w:cs="Times New Roman"/>
        </w:rPr>
        <w:t xml:space="preserve"> of such literature, the</w:t>
      </w:r>
      <w:r w:rsidR="008B4BD4" w:rsidRPr="00B67F00">
        <w:rPr>
          <w:rFonts w:ascii="Times New Roman" w:hAnsi="Times New Roman" w:cs="Times New Roman"/>
        </w:rPr>
        <w:t xml:space="preserve"> </w:t>
      </w:r>
      <w:r w:rsidR="00884969" w:rsidRPr="00B67F00">
        <w:rPr>
          <w:rFonts w:ascii="Times New Roman" w:hAnsi="Times New Roman" w:cs="Times New Roman"/>
        </w:rPr>
        <w:t xml:space="preserve">functional concern </w:t>
      </w:r>
      <w:r w:rsidR="008B4BD4" w:rsidRPr="00B67F00">
        <w:rPr>
          <w:rFonts w:ascii="Times New Roman" w:hAnsi="Times New Roman" w:cs="Times New Roman"/>
        </w:rPr>
        <w:t xml:space="preserve">can be broadened to that </w:t>
      </w:r>
      <w:r w:rsidR="00884969" w:rsidRPr="00B67F00">
        <w:rPr>
          <w:rFonts w:ascii="Times New Roman" w:hAnsi="Times New Roman" w:cs="Times New Roman"/>
        </w:rPr>
        <w:t>of a</w:t>
      </w:r>
      <w:r w:rsidR="008B4BD4" w:rsidRPr="00B67F00">
        <w:rPr>
          <w:rFonts w:ascii="Times New Roman" w:hAnsi="Times New Roman" w:cs="Times New Roman"/>
        </w:rPr>
        <w:t>n actor representing an arm of the government</w:t>
      </w:r>
      <w:r w:rsidR="0083490F" w:rsidRPr="00B67F00">
        <w:rPr>
          <w:rFonts w:ascii="Times New Roman" w:hAnsi="Times New Roman" w:cs="Times New Roman"/>
        </w:rPr>
        <w:t xml:space="preserve"> in </w:t>
      </w:r>
      <w:r w:rsidR="00BB7184" w:rsidRPr="00B67F00">
        <w:rPr>
          <w:rFonts w:ascii="Times New Roman" w:hAnsi="Times New Roman" w:cs="Times New Roman"/>
        </w:rPr>
        <w:t>converting legislation from one form into another, thus allowing for analogous scenarios to be considered</w:t>
      </w:r>
      <w:r w:rsidR="00642C2F" w:rsidRPr="00B67F00">
        <w:rPr>
          <w:rFonts w:ascii="Times New Roman" w:hAnsi="Times New Roman" w:cs="Times New Roman"/>
        </w:rPr>
        <w:t xml:space="preserve">. It is argued, then, that the process by which law is </w:t>
      </w:r>
      <w:r w:rsidR="007D29EB" w:rsidRPr="00B67F00">
        <w:rPr>
          <w:rFonts w:ascii="Times New Roman" w:hAnsi="Times New Roman" w:cs="Times New Roman"/>
        </w:rPr>
        <w:t xml:space="preserve">regularly </w:t>
      </w:r>
      <w:r w:rsidR="00642C2F" w:rsidRPr="00B67F00">
        <w:rPr>
          <w:rFonts w:ascii="Times New Roman" w:hAnsi="Times New Roman" w:cs="Times New Roman"/>
        </w:rPr>
        <w:t>translated from one language</w:t>
      </w:r>
      <w:r w:rsidR="007D29EB" w:rsidRPr="00B67F00">
        <w:rPr>
          <w:rFonts w:ascii="Times New Roman" w:hAnsi="Times New Roman" w:cs="Times New Roman"/>
        </w:rPr>
        <w:t xml:space="preserve"> to another, as in, for example, the European Union</w:t>
      </w:r>
      <w:r w:rsidR="00FD05B7">
        <w:rPr>
          <w:rFonts w:ascii="Times New Roman" w:hAnsi="Times New Roman" w:cs="Times New Roman"/>
        </w:rPr>
        <w:t xml:space="preserve"> (“EU”)</w:t>
      </w:r>
      <w:r w:rsidR="007D29EB" w:rsidRPr="00B67F00">
        <w:rPr>
          <w:rFonts w:ascii="Times New Roman" w:hAnsi="Times New Roman" w:cs="Times New Roman"/>
        </w:rPr>
        <w:t xml:space="preserve">, is </w:t>
      </w:r>
      <w:r w:rsidR="004B7934" w:rsidRPr="00B67F00">
        <w:rPr>
          <w:rFonts w:ascii="Times New Roman" w:hAnsi="Times New Roman" w:cs="Times New Roman"/>
        </w:rPr>
        <w:t xml:space="preserve">reasonably </w:t>
      </w:r>
      <w:r w:rsidR="007D29EB" w:rsidRPr="00B67F00">
        <w:rPr>
          <w:rFonts w:ascii="Times New Roman" w:hAnsi="Times New Roman" w:cs="Times New Roman"/>
        </w:rPr>
        <w:t xml:space="preserve">appropriate </w:t>
      </w:r>
      <w:r w:rsidR="0014126F" w:rsidRPr="00B67F00">
        <w:rPr>
          <w:rFonts w:ascii="Times New Roman" w:hAnsi="Times New Roman" w:cs="Times New Roman"/>
        </w:rPr>
        <w:t>for comparison to the process of translating law into a machine-consumable language.</w:t>
      </w:r>
      <w:r w:rsidR="00C64453">
        <w:rPr>
          <w:rFonts w:ascii="Times New Roman" w:hAnsi="Times New Roman" w:cs="Times New Roman"/>
        </w:rPr>
        <w:t xml:space="preserve"> Indeed, </w:t>
      </w:r>
      <w:r w:rsidR="00065541">
        <w:rPr>
          <w:rFonts w:ascii="Times New Roman" w:hAnsi="Times New Roman" w:cs="Times New Roman"/>
        </w:rPr>
        <w:t>the</w:t>
      </w:r>
      <w:r w:rsidR="00AE31D0">
        <w:rPr>
          <w:rFonts w:ascii="Times New Roman" w:hAnsi="Times New Roman" w:cs="Times New Roman"/>
        </w:rPr>
        <w:t xml:space="preserve"> task as defined by Ainsworth of rewriting </w:t>
      </w:r>
      <w:r w:rsidR="008D1920">
        <w:rPr>
          <w:rFonts w:ascii="Times New Roman" w:hAnsi="Times New Roman" w:cs="Times New Roman"/>
        </w:rPr>
        <w:t xml:space="preserve">an </w:t>
      </w:r>
      <w:r w:rsidR="00F53D7E">
        <w:rPr>
          <w:rFonts w:ascii="Times New Roman" w:hAnsi="Times New Roman" w:cs="Times New Roman"/>
        </w:rPr>
        <w:t>‘</w:t>
      </w:r>
      <w:r w:rsidR="008D1920">
        <w:rPr>
          <w:rFonts w:ascii="Times New Roman" w:hAnsi="Times New Roman" w:cs="Times New Roman"/>
        </w:rPr>
        <w:t>equivalent legal text in another language, such that a decision-maker, applying either text…will arrive at the same conclusion regardless of which text is used</w:t>
      </w:r>
      <w:r w:rsidR="00F53D7E">
        <w:rPr>
          <w:rFonts w:ascii="Times New Roman" w:hAnsi="Times New Roman" w:cs="Times New Roman"/>
        </w:rPr>
        <w:t>’</w:t>
      </w:r>
      <w:r w:rsidR="00F0096D">
        <w:rPr>
          <w:rStyle w:val="FootnoteReference"/>
          <w:rFonts w:ascii="Times New Roman" w:hAnsi="Times New Roman" w:cs="Times New Roman"/>
        </w:rPr>
        <w:footnoteReference w:id="81"/>
      </w:r>
      <w:r w:rsidR="00C93C36">
        <w:rPr>
          <w:rFonts w:ascii="Times New Roman" w:hAnsi="Times New Roman" w:cs="Times New Roman"/>
        </w:rPr>
        <w:t xml:space="preserve"> </w:t>
      </w:r>
      <w:r w:rsidR="00690909">
        <w:rPr>
          <w:rFonts w:ascii="Times New Roman" w:hAnsi="Times New Roman" w:cs="Times New Roman"/>
        </w:rPr>
        <w:t>parallels</w:t>
      </w:r>
      <w:r w:rsidR="00C93C36">
        <w:rPr>
          <w:rFonts w:ascii="Times New Roman" w:hAnsi="Times New Roman" w:cs="Times New Roman"/>
        </w:rPr>
        <w:t xml:space="preserve"> the </w:t>
      </w:r>
      <w:r w:rsidR="00690909">
        <w:rPr>
          <w:rFonts w:ascii="Times New Roman" w:hAnsi="Times New Roman" w:cs="Times New Roman"/>
        </w:rPr>
        <w:t xml:space="preserve">intent of </w:t>
      </w:r>
      <w:r w:rsidR="00AE4EC9">
        <w:rPr>
          <w:rFonts w:ascii="Times New Roman" w:hAnsi="Times New Roman" w:cs="Times New Roman"/>
        </w:rPr>
        <w:t>d</w:t>
      </w:r>
      <w:r w:rsidR="000C429B">
        <w:rPr>
          <w:rFonts w:ascii="Times New Roman" w:hAnsi="Times New Roman" w:cs="Times New Roman"/>
        </w:rPr>
        <w:t xml:space="preserve">eveloping </w:t>
      </w:r>
      <w:r w:rsidR="006D53B9">
        <w:rPr>
          <w:rFonts w:ascii="Times New Roman" w:hAnsi="Times New Roman" w:cs="Times New Roman"/>
        </w:rPr>
        <w:t xml:space="preserve">code which is </w:t>
      </w:r>
      <w:r w:rsidR="00C93C36">
        <w:rPr>
          <w:rFonts w:ascii="Times New Roman" w:hAnsi="Times New Roman" w:cs="Times New Roman"/>
        </w:rPr>
        <w:t>functionally equivalent</w:t>
      </w:r>
      <w:r w:rsidR="006D53B9">
        <w:rPr>
          <w:rFonts w:ascii="Times New Roman" w:hAnsi="Times New Roman" w:cs="Times New Roman"/>
        </w:rPr>
        <w:t xml:space="preserve"> with the original legal text</w:t>
      </w:r>
      <w:r w:rsidR="00BE00DC">
        <w:rPr>
          <w:rFonts w:ascii="Times New Roman" w:hAnsi="Times New Roman" w:cs="Times New Roman"/>
        </w:rPr>
        <w:t>.</w:t>
      </w:r>
      <w:r w:rsidR="00690909">
        <w:rPr>
          <w:rFonts w:ascii="Times New Roman" w:hAnsi="Times New Roman" w:cs="Times New Roman"/>
        </w:rPr>
        <w:t xml:space="preserve"> </w:t>
      </w:r>
      <w:r w:rsidR="00BE00DC">
        <w:rPr>
          <w:rFonts w:ascii="Times New Roman" w:hAnsi="Times New Roman" w:cs="Times New Roman"/>
        </w:rPr>
        <w:t>Further,</w:t>
      </w:r>
      <w:r w:rsidR="00690909">
        <w:rPr>
          <w:rFonts w:ascii="Times New Roman" w:hAnsi="Times New Roman" w:cs="Times New Roman"/>
        </w:rPr>
        <w:t xml:space="preserve"> </w:t>
      </w:r>
      <w:r w:rsidR="00C64453">
        <w:rPr>
          <w:rFonts w:ascii="Times New Roman" w:hAnsi="Times New Roman" w:cs="Times New Roman"/>
        </w:rPr>
        <w:t xml:space="preserve">much of the </w:t>
      </w:r>
      <w:r w:rsidR="00EA7B68">
        <w:rPr>
          <w:rFonts w:ascii="Times New Roman" w:hAnsi="Times New Roman" w:cs="Times New Roman"/>
        </w:rPr>
        <w:t>controversy</w:t>
      </w:r>
      <w:r w:rsidR="00C64453">
        <w:rPr>
          <w:rFonts w:ascii="Times New Roman" w:hAnsi="Times New Roman" w:cs="Times New Roman"/>
        </w:rPr>
        <w:t xml:space="preserve"> surrounding multilingual </w:t>
      </w:r>
      <w:r w:rsidR="006621F7">
        <w:rPr>
          <w:rFonts w:ascii="Times New Roman" w:hAnsi="Times New Roman" w:cs="Times New Roman"/>
        </w:rPr>
        <w:t xml:space="preserve">rules mirror those </w:t>
      </w:r>
      <w:r w:rsidR="004F6232">
        <w:rPr>
          <w:rFonts w:ascii="Times New Roman" w:hAnsi="Times New Roman" w:cs="Times New Roman"/>
        </w:rPr>
        <w:t>faced in developing</w:t>
      </w:r>
      <w:r w:rsidR="006621F7">
        <w:rPr>
          <w:rFonts w:ascii="Times New Roman" w:hAnsi="Times New Roman" w:cs="Times New Roman"/>
        </w:rPr>
        <w:t xml:space="preserve"> computational law </w:t>
      </w:r>
      <w:r w:rsidR="004F6232">
        <w:rPr>
          <w:rFonts w:ascii="Times New Roman" w:hAnsi="Times New Roman" w:cs="Times New Roman"/>
        </w:rPr>
        <w:t>with regard to</w:t>
      </w:r>
      <w:r w:rsidR="00407D8D">
        <w:rPr>
          <w:rFonts w:ascii="Times New Roman" w:hAnsi="Times New Roman" w:cs="Times New Roman"/>
        </w:rPr>
        <w:t xml:space="preserve"> jurisprudential takes on legal interpretation.</w:t>
      </w:r>
      <w:r w:rsidR="00EA7B68" w:rsidRPr="00DD0131">
        <w:rPr>
          <w:rStyle w:val="FootnoteReference"/>
        </w:rPr>
        <w:footnoteReference w:id="82"/>
      </w:r>
      <w:r w:rsidR="00B61D50">
        <w:rPr>
          <w:rFonts w:ascii="Times New Roman" w:hAnsi="Times New Roman" w:cs="Times New Roman"/>
        </w:rPr>
        <w:t xml:space="preserve"> </w:t>
      </w:r>
      <w:r w:rsidR="009141B0">
        <w:rPr>
          <w:rFonts w:ascii="Times New Roman" w:hAnsi="Times New Roman" w:cs="Times New Roman"/>
        </w:rPr>
        <w:t xml:space="preserve"> </w:t>
      </w:r>
    </w:p>
    <w:p w14:paraId="4DB348F3" w14:textId="39731371" w:rsidR="0025163F" w:rsidRDefault="00FF2E27" w:rsidP="00E67332">
      <w:pPr>
        <w:spacing w:line="480" w:lineRule="auto"/>
        <w:jc w:val="both"/>
        <w:rPr>
          <w:rFonts w:ascii="Times New Roman" w:hAnsi="Times New Roman" w:cs="Times New Roman"/>
        </w:rPr>
      </w:pPr>
      <w:r>
        <w:rPr>
          <w:rFonts w:ascii="Times New Roman" w:hAnsi="Times New Roman" w:cs="Times New Roman"/>
        </w:rPr>
        <w:lastRenderedPageBreak/>
        <w:t>Additional</w:t>
      </w:r>
      <w:r w:rsidR="000C4283">
        <w:rPr>
          <w:rFonts w:ascii="Times New Roman" w:hAnsi="Times New Roman" w:cs="Times New Roman"/>
        </w:rPr>
        <w:t xml:space="preserve"> parallels can be seen in analysing t</w:t>
      </w:r>
      <w:r w:rsidR="00051743">
        <w:rPr>
          <w:rFonts w:ascii="Times New Roman" w:hAnsi="Times New Roman" w:cs="Times New Roman"/>
        </w:rPr>
        <w:t>h</w:t>
      </w:r>
      <w:r w:rsidR="00EF429C">
        <w:rPr>
          <w:rFonts w:ascii="Times New Roman" w:hAnsi="Times New Roman" w:cs="Times New Roman"/>
        </w:rPr>
        <w:t>eories of</w:t>
      </w:r>
      <w:r w:rsidR="0025163F">
        <w:rPr>
          <w:rFonts w:ascii="Times New Roman" w:hAnsi="Times New Roman" w:cs="Times New Roman"/>
        </w:rPr>
        <w:t xml:space="preserve"> multilingual legal</w:t>
      </w:r>
      <w:r w:rsidR="00EF429C">
        <w:rPr>
          <w:rFonts w:ascii="Times New Roman" w:hAnsi="Times New Roman" w:cs="Times New Roman"/>
        </w:rPr>
        <w:t xml:space="preserve"> translation principles</w:t>
      </w:r>
      <w:r w:rsidR="003A492B">
        <w:rPr>
          <w:rFonts w:ascii="Times New Roman" w:hAnsi="Times New Roman" w:cs="Times New Roman"/>
        </w:rPr>
        <w:t xml:space="preserve">. </w:t>
      </w:r>
      <w:r w:rsidR="00870A9D">
        <w:rPr>
          <w:rFonts w:ascii="Times New Roman" w:hAnsi="Times New Roman" w:cs="Times New Roman"/>
        </w:rPr>
        <w:t xml:space="preserve">For instance, </w:t>
      </w:r>
      <w:r w:rsidR="003A492B">
        <w:rPr>
          <w:rFonts w:ascii="Times New Roman" w:hAnsi="Times New Roman" w:cs="Times New Roman"/>
        </w:rPr>
        <w:t>Ainsworth</w:t>
      </w:r>
      <w:r w:rsidR="00D15672" w:rsidRPr="00DD0131">
        <w:rPr>
          <w:rStyle w:val="FootnoteReference"/>
        </w:rPr>
        <w:footnoteReference w:id="83"/>
      </w:r>
      <w:r w:rsidR="003A492B">
        <w:rPr>
          <w:rFonts w:ascii="Times New Roman" w:hAnsi="Times New Roman" w:cs="Times New Roman"/>
        </w:rPr>
        <w:t xml:space="preserve"> </w:t>
      </w:r>
      <w:r w:rsidR="007F3460">
        <w:rPr>
          <w:rFonts w:ascii="Times New Roman" w:hAnsi="Times New Roman" w:cs="Times New Roman"/>
        </w:rPr>
        <w:t xml:space="preserve">highlights the importance of </w:t>
      </w:r>
      <w:r w:rsidR="00DF206D">
        <w:rPr>
          <w:rFonts w:ascii="Times New Roman" w:hAnsi="Times New Roman" w:cs="Times New Roman"/>
        </w:rPr>
        <w:t>heuristic</w:t>
      </w:r>
      <w:r w:rsidR="007F3460">
        <w:rPr>
          <w:rFonts w:ascii="Times New Roman" w:hAnsi="Times New Roman" w:cs="Times New Roman"/>
        </w:rPr>
        <w:t xml:space="preserve"> translations which use </w:t>
      </w:r>
      <w:r w:rsidR="00EB3767">
        <w:rPr>
          <w:rFonts w:ascii="Times New Roman" w:hAnsi="Times New Roman" w:cs="Times New Roman"/>
        </w:rPr>
        <w:t>plain meaning</w:t>
      </w:r>
      <w:r w:rsidR="007F3460">
        <w:rPr>
          <w:rFonts w:ascii="Times New Roman" w:hAnsi="Times New Roman" w:cs="Times New Roman"/>
        </w:rPr>
        <w:t xml:space="preserve"> in cases of ambiguity and </w:t>
      </w:r>
      <w:r w:rsidR="0017397C">
        <w:rPr>
          <w:rFonts w:ascii="Times New Roman" w:hAnsi="Times New Roman" w:cs="Times New Roman"/>
        </w:rPr>
        <w:t>explores</w:t>
      </w:r>
      <w:r w:rsidR="00E44528">
        <w:rPr>
          <w:rFonts w:ascii="Times New Roman" w:hAnsi="Times New Roman" w:cs="Times New Roman"/>
        </w:rPr>
        <w:t xml:space="preserve"> the </w:t>
      </w:r>
      <w:r w:rsidR="0017397C">
        <w:rPr>
          <w:rFonts w:ascii="Times New Roman" w:hAnsi="Times New Roman" w:cs="Times New Roman"/>
        </w:rPr>
        <w:t>various approaches of the Court of Justice of the European Union (“CJEU”)</w:t>
      </w:r>
      <w:r w:rsidR="00E04676">
        <w:rPr>
          <w:rFonts w:ascii="Times New Roman" w:hAnsi="Times New Roman" w:cs="Times New Roman"/>
        </w:rPr>
        <w:t xml:space="preserve"> to judicial interpretations of multilingual frameworks</w:t>
      </w:r>
      <w:r w:rsidR="0017397C">
        <w:rPr>
          <w:rFonts w:ascii="Times New Roman" w:hAnsi="Times New Roman" w:cs="Times New Roman"/>
        </w:rPr>
        <w:t xml:space="preserve">. </w:t>
      </w:r>
      <w:r w:rsidR="00864CFD">
        <w:rPr>
          <w:rFonts w:ascii="Times New Roman" w:hAnsi="Times New Roman" w:cs="Times New Roman"/>
        </w:rPr>
        <w:t>The CJEU’s relevant decisions</w:t>
      </w:r>
      <w:r w:rsidR="00403E80" w:rsidRPr="00DD0131">
        <w:rPr>
          <w:rStyle w:val="FootnoteReference"/>
        </w:rPr>
        <w:footnoteReference w:id="84"/>
      </w:r>
      <w:r w:rsidR="002A692B">
        <w:rPr>
          <w:rFonts w:ascii="Times New Roman" w:hAnsi="Times New Roman" w:cs="Times New Roman"/>
        </w:rPr>
        <w:t xml:space="preserve"> and </w:t>
      </w:r>
      <w:r w:rsidR="00864CFD">
        <w:rPr>
          <w:rFonts w:ascii="Times New Roman" w:hAnsi="Times New Roman" w:cs="Times New Roman"/>
        </w:rPr>
        <w:t xml:space="preserve">Ainsworth’s </w:t>
      </w:r>
      <w:r w:rsidR="002A692B">
        <w:rPr>
          <w:rFonts w:ascii="Times New Roman" w:hAnsi="Times New Roman" w:cs="Times New Roman"/>
        </w:rPr>
        <w:t>finding</w:t>
      </w:r>
      <w:r w:rsidR="00DC158B">
        <w:rPr>
          <w:rFonts w:ascii="Times New Roman" w:hAnsi="Times New Roman" w:cs="Times New Roman"/>
        </w:rPr>
        <w:t xml:space="preserve"> of</w:t>
      </w:r>
      <w:r w:rsidR="00CF5D0D">
        <w:rPr>
          <w:rFonts w:ascii="Times New Roman" w:hAnsi="Times New Roman" w:cs="Times New Roman"/>
        </w:rPr>
        <w:t xml:space="preserve"> the predominate approach</w:t>
      </w:r>
      <w:r w:rsidR="00DC158B">
        <w:rPr>
          <w:rFonts w:ascii="Times New Roman" w:hAnsi="Times New Roman" w:cs="Times New Roman"/>
        </w:rPr>
        <w:t xml:space="preserve"> being </w:t>
      </w:r>
      <w:r w:rsidR="00CF5D0D">
        <w:rPr>
          <w:rFonts w:ascii="Times New Roman" w:hAnsi="Times New Roman" w:cs="Times New Roman"/>
        </w:rPr>
        <w:t>one of ‘purposive interpretation’</w:t>
      </w:r>
      <w:r w:rsidR="00BA4F08">
        <w:rPr>
          <w:rFonts w:ascii="Times New Roman" w:hAnsi="Times New Roman" w:cs="Times New Roman"/>
        </w:rPr>
        <w:t>,</w:t>
      </w:r>
      <w:r w:rsidR="00956490" w:rsidRPr="00DD0131">
        <w:rPr>
          <w:rStyle w:val="FootnoteReference"/>
        </w:rPr>
        <w:footnoteReference w:id="85"/>
      </w:r>
      <w:r w:rsidR="00DF206D">
        <w:rPr>
          <w:rFonts w:ascii="Times New Roman" w:hAnsi="Times New Roman" w:cs="Times New Roman"/>
        </w:rPr>
        <w:t xml:space="preserve"> which emphasises a contextualised </w:t>
      </w:r>
      <w:r w:rsidR="00BA4F08">
        <w:rPr>
          <w:rFonts w:ascii="Times New Roman" w:hAnsi="Times New Roman" w:cs="Times New Roman"/>
        </w:rPr>
        <w:t>understanding of the intent of the legal text</w:t>
      </w:r>
      <w:r w:rsidR="002A692B">
        <w:rPr>
          <w:rFonts w:ascii="Times New Roman" w:hAnsi="Times New Roman" w:cs="Times New Roman"/>
        </w:rPr>
        <w:t xml:space="preserve"> in question</w:t>
      </w:r>
      <w:r w:rsidR="00BA4F08">
        <w:rPr>
          <w:rFonts w:ascii="Times New Roman" w:hAnsi="Times New Roman" w:cs="Times New Roman"/>
        </w:rPr>
        <w:t xml:space="preserve">, strongly resembles </w:t>
      </w:r>
      <w:r w:rsidR="009E3D67">
        <w:rPr>
          <w:rFonts w:ascii="Times New Roman" w:hAnsi="Times New Roman" w:cs="Times New Roman"/>
        </w:rPr>
        <w:t>the formalist-realist debate found to influence</w:t>
      </w:r>
      <w:r w:rsidR="00870A9D">
        <w:rPr>
          <w:rFonts w:ascii="Times New Roman" w:hAnsi="Times New Roman" w:cs="Times New Roman"/>
        </w:rPr>
        <w:t xml:space="preserve"> the </w:t>
      </w:r>
      <w:r w:rsidR="00814082">
        <w:rPr>
          <w:rFonts w:ascii="Times New Roman" w:hAnsi="Times New Roman" w:cs="Times New Roman"/>
        </w:rPr>
        <w:t xml:space="preserve">implementation of </w:t>
      </w:r>
      <w:r w:rsidR="00DD0131">
        <w:rPr>
          <w:rFonts w:ascii="Times New Roman" w:hAnsi="Times New Roman" w:cs="Times New Roman"/>
        </w:rPr>
        <w:t>RaC</w:t>
      </w:r>
      <w:r w:rsidR="00814082">
        <w:rPr>
          <w:rFonts w:ascii="Times New Roman" w:hAnsi="Times New Roman" w:cs="Times New Roman"/>
        </w:rPr>
        <w:t>.</w:t>
      </w:r>
    </w:p>
    <w:p w14:paraId="1C515A41" w14:textId="0C511591" w:rsidR="00EE206D" w:rsidRDefault="00431E30" w:rsidP="00B962ED">
      <w:pPr>
        <w:spacing w:line="480" w:lineRule="auto"/>
        <w:jc w:val="both"/>
        <w:rPr>
          <w:rFonts w:ascii="Times New Roman" w:hAnsi="Times New Roman" w:cs="Times New Roman"/>
        </w:rPr>
      </w:pPr>
      <w:r>
        <w:rPr>
          <w:rFonts w:ascii="Times New Roman" w:hAnsi="Times New Roman" w:cs="Times New Roman"/>
        </w:rPr>
        <w:t xml:space="preserve">Further, from a constitutional perspective, the </w:t>
      </w:r>
      <w:r w:rsidR="00FD05B7">
        <w:rPr>
          <w:rFonts w:ascii="Times New Roman" w:hAnsi="Times New Roman" w:cs="Times New Roman"/>
        </w:rPr>
        <w:t>EU’s</w:t>
      </w:r>
      <w:r>
        <w:rPr>
          <w:rFonts w:ascii="Times New Roman" w:hAnsi="Times New Roman" w:cs="Times New Roman"/>
        </w:rPr>
        <w:t xml:space="preserve"> stance</w:t>
      </w:r>
      <w:r w:rsidR="00274E32">
        <w:rPr>
          <w:rFonts w:ascii="Times New Roman" w:hAnsi="Times New Roman" w:cs="Times New Roman"/>
        </w:rPr>
        <w:t xml:space="preserve"> on multilingual legislation largely reflects what a post-RaC Australian framework might look like.</w:t>
      </w:r>
      <w:r w:rsidR="0097641F">
        <w:rPr>
          <w:rFonts w:ascii="Times New Roman" w:hAnsi="Times New Roman" w:cs="Times New Roman"/>
        </w:rPr>
        <w:t xml:space="preserve"> </w:t>
      </w:r>
      <w:r w:rsidR="00FD05B7">
        <w:rPr>
          <w:rFonts w:ascii="Times New Roman" w:hAnsi="Times New Roman" w:cs="Times New Roman"/>
        </w:rPr>
        <w:t xml:space="preserve">Much like Australia, the EU </w:t>
      </w:r>
      <w:r w:rsidR="00DD61DF">
        <w:rPr>
          <w:rFonts w:ascii="Times New Roman" w:hAnsi="Times New Roman" w:cs="Times New Roman"/>
        </w:rPr>
        <w:t>confers the power to interpret its treaties and acts of its institutions</w:t>
      </w:r>
      <w:r w:rsidR="00FA211C">
        <w:rPr>
          <w:rFonts w:ascii="Times New Roman" w:hAnsi="Times New Roman" w:cs="Times New Roman"/>
        </w:rPr>
        <w:t xml:space="preserve"> to</w:t>
      </w:r>
      <w:r w:rsidR="001152C3">
        <w:rPr>
          <w:rFonts w:ascii="Times New Roman" w:hAnsi="Times New Roman" w:cs="Times New Roman"/>
        </w:rPr>
        <w:t xml:space="preserve"> its highest court,</w:t>
      </w:r>
      <w:r w:rsidR="00FA211C">
        <w:rPr>
          <w:rFonts w:ascii="Times New Roman" w:hAnsi="Times New Roman" w:cs="Times New Roman"/>
        </w:rPr>
        <w:t xml:space="preserve"> the CJEU</w:t>
      </w:r>
      <w:r w:rsidR="003362F5">
        <w:rPr>
          <w:rFonts w:ascii="Times New Roman" w:hAnsi="Times New Roman" w:cs="Times New Roman"/>
        </w:rPr>
        <w:t>,</w:t>
      </w:r>
      <w:r w:rsidR="00FA211C" w:rsidRPr="00DD0131">
        <w:rPr>
          <w:rStyle w:val="FootnoteReference"/>
        </w:rPr>
        <w:footnoteReference w:id="86"/>
      </w:r>
      <w:r w:rsidR="003362F5">
        <w:rPr>
          <w:rFonts w:ascii="Times New Roman" w:hAnsi="Times New Roman" w:cs="Times New Roman"/>
        </w:rPr>
        <w:t xml:space="preserve"> and thus</w:t>
      </w:r>
      <w:r w:rsidR="001152C3">
        <w:rPr>
          <w:rFonts w:ascii="Times New Roman" w:hAnsi="Times New Roman" w:cs="Times New Roman"/>
        </w:rPr>
        <w:t>,</w:t>
      </w:r>
      <w:r w:rsidR="003362F5">
        <w:rPr>
          <w:rFonts w:ascii="Times New Roman" w:hAnsi="Times New Roman" w:cs="Times New Roman"/>
        </w:rPr>
        <w:t xml:space="preserve"> </w:t>
      </w:r>
      <w:r w:rsidR="004F63C4">
        <w:rPr>
          <w:rFonts w:ascii="Times New Roman" w:hAnsi="Times New Roman" w:cs="Times New Roman"/>
        </w:rPr>
        <w:t xml:space="preserve">one might expect </w:t>
      </w:r>
      <w:r w:rsidR="003362F5">
        <w:rPr>
          <w:rFonts w:ascii="Times New Roman" w:hAnsi="Times New Roman" w:cs="Times New Roman"/>
        </w:rPr>
        <w:t xml:space="preserve">the same </w:t>
      </w:r>
      <w:r w:rsidR="00180D2D">
        <w:rPr>
          <w:rFonts w:ascii="Times New Roman" w:hAnsi="Times New Roman" w:cs="Times New Roman"/>
        </w:rPr>
        <w:t>separation of powers</w:t>
      </w:r>
      <w:r w:rsidR="003362F5">
        <w:rPr>
          <w:rFonts w:ascii="Times New Roman" w:hAnsi="Times New Roman" w:cs="Times New Roman"/>
        </w:rPr>
        <w:t xml:space="preserve"> issue</w:t>
      </w:r>
      <w:r w:rsidR="00C31F75">
        <w:rPr>
          <w:rFonts w:ascii="Times New Roman" w:hAnsi="Times New Roman" w:cs="Times New Roman"/>
        </w:rPr>
        <w:t>s</w:t>
      </w:r>
      <w:r w:rsidR="003362F5">
        <w:rPr>
          <w:rFonts w:ascii="Times New Roman" w:hAnsi="Times New Roman" w:cs="Times New Roman"/>
        </w:rPr>
        <w:t xml:space="preserve"> </w:t>
      </w:r>
      <w:r w:rsidR="004F63C4">
        <w:rPr>
          <w:rFonts w:ascii="Times New Roman" w:hAnsi="Times New Roman" w:cs="Times New Roman"/>
        </w:rPr>
        <w:t>to arise over legislative translation</w:t>
      </w:r>
      <w:r w:rsidR="003362F5">
        <w:rPr>
          <w:rFonts w:ascii="Times New Roman" w:hAnsi="Times New Roman" w:cs="Times New Roman"/>
        </w:rPr>
        <w:t>. However, the EU</w:t>
      </w:r>
      <w:r w:rsidR="004125A2">
        <w:rPr>
          <w:rFonts w:ascii="Times New Roman" w:hAnsi="Times New Roman" w:cs="Times New Roman"/>
        </w:rPr>
        <w:t xml:space="preserve"> </w:t>
      </w:r>
      <w:r w:rsidR="00087628">
        <w:rPr>
          <w:rFonts w:ascii="Times New Roman" w:hAnsi="Times New Roman" w:cs="Times New Roman"/>
        </w:rPr>
        <w:t xml:space="preserve">also commits to </w:t>
      </w:r>
      <w:r w:rsidR="004F63C4">
        <w:rPr>
          <w:rFonts w:ascii="Times New Roman" w:hAnsi="Times New Roman" w:cs="Times New Roman"/>
        </w:rPr>
        <w:t>the</w:t>
      </w:r>
      <w:r w:rsidR="00163C35">
        <w:rPr>
          <w:rFonts w:ascii="Times New Roman" w:hAnsi="Times New Roman" w:cs="Times New Roman"/>
        </w:rPr>
        <w:t xml:space="preserve"> translation of all legal texts into its member states’ languages</w:t>
      </w:r>
      <w:r w:rsidR="00087628">
        <w:rPr>
          <w:rFonts w:ascii="Times New Roman" w:hAnsi="Times New Roman" w:cs="Times New Roman"/>
        </w:rPr>
        <w:t xml:space="preserve"> by</w:t>
      </w:r>
      <w:r w:rsidR="001152C3">
        <w:rPr>
          <w:rFonts w:ascii="Times New Roman" w:hAnsi="Times New Roman" w:cs="Times New Roman"/>
        </w:rPr>
        <w:t xml:space="preserve"> </w:t>
      </w:r>
      <w:r w:rsidR="00087628">
        <w:rPr>
          <w:rFonts w:ascii="Times New Roman" w:hAnsi="Times New Roman" w:cs="Times New Roman"/>
        </w:rPr>
        <w:t>a body of the executive,</w:t>
      </w:r>
      <w:r w:rsidR="00087628" w:rsidRPr="00DD0131">
        <w:rPr>
          <w:rStyle w:val="FootnoteReference"/>
        </w:rPr>
        <w:footnoteReference w:id="87"/>
      </w:r>
      <w:r w:rsidR="001152C3">
        <w:rPr>
          <w:rFonts w:ascii="Times New Roman" w:hAnsi="Times New Roman" w:cs="Times New Roman"/>
        </w:rPr>
        <w:t xml:space="preserve"> the Directorate-General for Translation,</w:t>
      </w:r>
      <w:r w:rsidR="001152C3" w:rsidRPr="00DD0131">
        <w:rPr>
          <w:rStyle w:val="FootnoteReference"/>
        </w:rPr>
        <w:footnoteReference w:id="88"/>
      </w:r>
      <w:r w:rsidR="00087628">
        <w:rPr>
          <w:rFonts w:ascii="Times New Roman" w:hAnsi="Times New Roman" w:cs="Times New Roman"/>
        </w:rPr>
        <w:t xml:space="preserve"> and has affirmed</w:t>
      </w:r>
      <w:r w:rsidR="00007349">
        <w:rPr>
          <w:rFonts w:ascii="Times New Roman" w:hAnsi="Times New Roman" w:cs="Times New Roman"/>
        </w:rPr>
        <w:t xml:space="preserve"> </w:t>
      </w:r>
      <w:r w:rsidR="008C3B85">
        <w:rPr>
          <w:rFonts w:ascii="Times New Roman" w:hAnsi="Times New Roman" w:cs="Times New Roman"/>
        </w:rPr>
        <w:t>an equal legal authority across all translations.</w:t>
      </w:r>
      <w:r w:rsidR="008C3B85" w:rsidRPr="00DD0131">
        <w:rPr>
          <w:rStyle w:val="FootnoteReference"/>
        </w:rPr>
        <w:footnoteReference w:id="89"/>
      </w:r>
      <w:r w:rsidR="00C943CB">
        <w:rPr>
          <w:rFonts w:ascii="Times New Roman" w:hAnsi="Times New Roman" w:cs="Times New Roman"/>
        </w:rPr>
        <w:t xml:space="preserve"> As such, it is put forward that an investigation into the l</w:t>
      </w:r>
      <w:r w:rsidR="004B1942">
        <w:rPr>
          <w:rFonts w:ascii="Times New Roman" w:hAnsi="Times New Roman" w:cs="Times New Roman"/>
        </w:rPr>
        <w:t xml:space="preserve">egal issues surrounding the EU’s multilingual framework could shed light on how a potential RaC reform might operate </w:t>
      </w:r>
      <w:r w:rsidR="00904FB6">
        <w:rPr>
          <w:rFonts w:ascii="Times New Roman" w:hAnsi="Times New Roman" w:cs="Times New Roman"/>
        </w:rPr>
        <w:t>within Australia’s constitutional bounds</w:t>
      </w:r>
      <w:r w:rsidR="004B1942">
        <w:rPr>
          <w:rFonts w:ascii="Times New Roman" w:hAnsi="Times New Roman" w:cs="Times New Roman"/>
        </w:rPr>
        <w:t>.</w:t>
      </w:r>
    </w:p>
    <w:p w14:paraId="40A81032" w14:textId="088B0443" w:rsidR="00B962ED" w:rsidRDefault="00B962ED" w:rsidP="00B962ED">
      <w:pPr>
        <w:spacing w:line="480" w:lineRule="auto"/>
        <w:jc w:val="both"/>
        <w:rPr>
          <w:rFonts w:ascii="Times New Roman" w:hAnsi="Times New Roman" w:cs="Times New Roman"/>
        </w:rPr>
      </w:pPr>
    </w:p>
    <w:p w14:paraId="582F36D6" w14:textId="3C6C3031" w:rsidR="00AD2743" w:rsidRPr="00AD2743" w:rsidRDefault="00AD2743" w:rsidP="00AD2743">
      <w:pPr>
        <w:spacing w:line="480" w:lineRule="auto"/>
        <w:jc w:val="center"/>
        <w:rPr>
          <w:rFonts w:ascii="Times New Roman" w:hAnsi="Times New Roman" w:cs="Times New Roman"/>
          <w:sz w:val="24"/>
          <w:szCs w:val="24"/>
        </w:rPr>
      </w:pPr>
      <w:r w:rsidRPr="00B67F00">
        <w:rPr>
          <w:rFonts w:ascii="Times New Roman" w:hAnsi="Times New Roman" w:cs="Times New Roman"/>
          <w:sz w:val="28"/>
          <w:szCs w:val="28"/>
        </w:rPr>
        <w:t>I</w:t>
      </w:r>
      <w:r>
        <w:rPr>
          <w:rFonts w:ascii="Times New Roman" w:hAnsi="Times New Roman" w:cs="Times New Roman"/>
          <w:sz w:val="28"/>
          <w:szCs w:val="28"/>
        </w:rPr>
        <w:t>I</w:t>
      </w:r>
      <w:r w:rsidRPr="00B67F00">
        <w:rPr>
          <w:rFonts w:ascii="Times New Roman" w:hAnsi="Times New Roman" w:cs="Times New Roman"/>
          <w:sz w:val="28"/>
          <w:szCs w:val="28"/>
        </w:rPr>
        <w:t>I</w:t>
      </w:r>
      <w:r w:rsidRPr="00B67F00">
        <w:rPr>
          <w:rFonts w:ascii="Times New Roman" w:hAnsi="Times New Roman" w:cs="Times New Roman"/>
          <w:sz w:val="28"/>
          <w:szCs w:val="28"/>
        </w:rPr>
        <w:tab/>
      </w:r>
      <w:r w:rsidR="0044571A">
        <w:rPr>
          <w:rFonts w:ascii="Times New Roman" w:hAnsi="Times New Roman" w:cs="Times New Roman"/>
          <w:sz w:val="28"/>
          <w:szCs w:val="28"/>
        </w:rPr>
        <w:t>C</w:t>
      </w:r>
      <w:r w:rsidR="0044571A">
        <w:rPr>
          <w:rFonts w:ascii="Times New Roman" w:hAnsi="Times New Roman" w:cs="Times New Roman"/>
          <w:sz w:val="24"/>
          <w:szCs w:val="24"/>
        </w:rPr>
        <w:t xml:space="preserve">ODING </w:t>
      </w:r>
      <w:r w:rsidR="0044571A" w:rsidRPr="0044571A">
        <w:rPr>
          <w:rFonts w:ascii="Times New Roman" w:hAnsi="Times New Roman" w:cs="Times New Roman"/>
          <w:sz w:val="28"/>
          <w:szCs w:val="28"/>
        </w:rPr>
        <w:t>A</w:t>
      </w:r>
      <w:r w:rsidR="0044571A">
        <w:rPr>
          <w:rFonts w:ascii="Times New Roman" w:hAnsi="Times New Roman" w:cs="Times New Roman"/>
          <w:sz w:val="24"/>
          <w:szCs w:val="24"/>
        </w:rPr>
        <w:t>PPROACHES</w:t>
      </w:r>
    </w:p>
    <w:p w14:paraId="015339C3" w14:textId="6E1BCB46" w:rsidR="003E7A30" w:rsidRPr="0044571A" w:rsidRDefault="004F253C" w:rsidP="0044571A">
      <w:pPr>
        <w:spacing w:line="480" w:lineRule="auto"/>
        <w:jc w:val="both"/>
        <w:rPr>
          <w:rFonts w:ascii="Times New Roman" w:hAnsi="Times New Roman" w:cs="Times New Roman"/>
        </w:rPr>
      </w:pPr>
      <w:r w:rsidRPr="004F253C">
        <w:rPr>
          <w:rFonts w:ascii="Times New Roman" w:hAnsi="Times New Roman" w:cs="Times New Roman"/>
        </w:rPr>
        <w:t>This project</w:t>
      </w:r>
      <w:r>
        <w:rPr>
          <w:rFonts w:ascii="Times New Roman" w:hAnsi="Times New Roman" w:cs="Times New Roman"/>
        </w:rPr>
        <w:t xml:space="preserve"> </w:t>
      </w:r>
      <w:r w:rsidR="00B80D73">
        <w:rPr>
          <w:rFonts w:ascii="Times New Roman" w:hAnsi="Times New Roman" w:cs="Times New Roman"/>
        </w:rPr>
        <w:t>will</w:t>
      </w:r>
      <w:r>
        <w:rPr>
          <w:rFonts w:ascii="Times New Roman" w:hAnsi="Times New Roman" w:cs="Times New Roman"/>
        </w:rPr>
        <w:t xml:space="preserve"> </w:t>
      </w:r>
      <w:r w:rsidR="00F118E0">
        <w:rPr>
          <w:rFonts w:ascii="Times New Roman" w:hAnsi="Times New Roman" w:cs="Times New Roman"/>
        </w:rPr>
        <w:t>compare two methods</w:t>
      </w:r>
      <w:r w:rsidR="00EA2DCD">
        <w:rPr>
          <w:rFonts w:ascii="Times New Roman" w:hAnsi="Times New Roman" w:cs="Times New Roman"/>
        </w:rPr>
        <w:t xml:space="preserve"> of converting</w:t>
      </w:r>
      <w:r w:rsidR="003330D5">
        <w:rPr>
          <w:rFonts w:ascii="Times New Roman" w:hAnsi="Times New Roman" w:cs="Times New Roman"/>
        </w:rPr>
        <w:t xml:space="preserve"> specific provisions of Chapter</w:t>
      </w:r>
      <w:r w:rsidR="00CA673A">
        <w:rPr>
          <w:rFonts w:ascii="Times New Roman" w:hAnsi="Times New Roman" w:cs="Times New Roman"/>
        </w:rPr>
        <w:t xml:space="preserve"> III</w:t>
      </w:r>
      <w:r w:rsidR="003330D5">
        <w:rPr>
          <w:rFonts w:ascii="Times New Roman" w:hAnsi="Times New Roman" w:cs="Times New Roman"/>
        </w:rPr>
        <w:t xml:space="preserve"> of the </w:t>
      </w:r>
      <w:r w:rsidR="003330D5">
        <w:rPr>
          <w:rFonts w:ascii="Times New Roman" w:hAnsi="Times New Roman" w:cs="Times New Roman"/>
          <w:i/>
          <w:iCs/>
        </w:rPr>
        <w:t xml:space="preserve">National Credit Act </w:t>
      </w:r>
      <w:r w:rsidR="00B80D73">
        <w:rPr>
          <w:rFonts w:ascii="Times New Roman" w:hAnsi="Times New Roman" w:cs="Times New Roman"/>
        </w:rPr>
        <w:t>into a</w:t>
      </w:r>
      <w:r w:rsidR="00DD0131">
        <w:rPr>
          <w:rFonts w:ascii="Times New Roman" w:hAnsi="Times New Roman" w:cs="Times New Roman"/>
        </w:rPr>
        <w:t>n RaC</w:t>
      </w:r>
      <w:r w:rsidR="00B80D73">
        <w:rPr>
          <w:rFonts w:ascii="Times New Roman" w:hAnsi="Times New Roman" w:cs="Times New Roman"/>
        </w:rPr>
        <w:t xml:space="preserve"> format and analyse which aspects of each method better </w:t>
      </w:r>
      <w:r w:rsidR="006C0C34">
        <w:rPr>
          <w:rFonts w:ascii="Times New Roman" w:hAnsi="Times New Roman" w:cs="Times New Roman"/>
        </w:rPr>
        <w:t>respect the interpretative role of the judiciary</w:t>
      </w:r>
      <w:r w:rsidR="00B80D73">
        <w:rPr>
          <w:rFonts w:ascii="Times New Roman" w:hAnsi="Times New Roman" w:cs="Times New Roman"/>
        </w:rPr>
        <w:t xml:space="preserve">. </w:t>
      </w:r>
      <w:r w:rsidR="004704DB" w:rsidRPr="0044571A">
        <w:rPr>
          <w:rFonts w:ascii="Times New Roman" w:hAnsi="Times New Roman" w:cs="Times New Roman"/>
        </w:rPr>
        <w:t>Approach 1</w:t>
      </w:r>
      <w:r w:rsidR="006C0C34" w:rsidRPr="0044571A">
        <w:rPr>
          <w:rFonts w:ascii="Times New Roman" w:hAnsi="Times New Roman" w:cs="Times New Roman"/>
        </w:rPr>
        <w:t xml:space="preserve"> seeks to adhere to the formalistic methods analysed by Genesreth</w:t>
      </w:r>
      <w:r w:rsidR="006C0C34" w:rsidRPr="00DD0131">
        <w:rPr>
          <w:rStyle w:val="FootnoteReference"/>
        </w:rPr>
        <w:footnoteReference w:id="90"/>
      </w:r>
      <w:r w:rsidR="006C0C34" w:rsidRPr="0044571A">
        <w:rPr>
          <w:rFonts w:ascii="Times New Roman" w:hAnsi="Times New Roman" w:cs="Times New Roman"/>
        </w:rPr>
        <w:t xml:space="preserve"> and Sergo et al.</w:t>
      </w:r>
      <w:r w:rsidR="006C0C34" w:rsidRPr="00DD0131">
        <w:rPr>
          <w:rStyle w:val="FootnoteReference"/>
        </w:rPr>
        <w:footnoteReference w:id="91"/>
      </w:r>
      <w:r w:rsidR="006C0C34" w:rsidRPr="0044571A">
        <w:rPr>
          <w:rFonts w:ascii="Times New Roman" w:hAnsi="Times New Roman" w:cs="Times New Roman"/>
        </w:rPr>
        <w:t xml:space="preserve"> and is most reminiscent of the methods put into place in recent RaC efforts.</w:t>
      </w:r>
      <w:r w:rsidR="006C0C34" w:rsidRPr="00DD0131">
        <w:rPr>
          <w:rStyle w:val="FootnoteReference"/>
        </w:rPr>
        <w:footnoteReference w:id="92"/>
      </w:r>
      <w:r w:rsidR="006C0C34" w:rsidRPr="0044571A">
        <w:rPr>
          <w:rFonts w:ascii="Times New Roman" w:hAnsi="Times New Roman" w:cs="Times New Roman"/>
        </w:rPr>
        <w:t xml:space="preserve"> It is expected that where previous attempts saw success, method one will fail to adequately account for the ambiguous terms found in the </w:t>
      </w:r>
      <w:r w:rsidR="006C0C34" w:rsidRPr="0044571A">
        <w:rPr>
          <w:rFonts w:ascii="Times New Roman" w:hAnsi="Times New Roman" w:cs="Times New Roman"/>
          <w:i/>
          <w:iCs/>
        </w:rPr>
        <w:t>National Credit Act</w:t>
      </w:r>
      <w:r w:rsidR="006C0C34" w:rsidRPr="0044571A">
        <w:rPr>
          <w:rFonts w:ascii="Times New Roman" w:hAnsi="Times New Roman" w:cs="Times New Roman"/>
        </w:rPr>
        <w:t xml:space="preserve">. In contrast, </w:t>
      </w:r>
      <w:r w:rsidR="003E7A30" w:rsidRPr="0044571A">
        <w:rPr>
          <w:rFonts w:ascii="Times New Roman" w:hAnsi="Times New Roman" w:cs="Times New Roman"/>
        </w:rPr>
        <w:t>Approach 2</w:t>
      </w:r>
      <w:r w:rsidR="006C0C34" w:rsidRPr="0044571A">
        <w:rPr>
          <w:rFonts w:ascii="Times New Roman" w:hAnsi="Times New Roman" w:cs="Times New Roman"/>
        </w:rPr>
        <w:t xml:space="preserve"> acknowledges the inherent formalism of algorithms, but strives to simulate the non-formalistic approach hypothesised by Green &amp; Viljoen</w:t>
      </w:r>
      <w:r w:rsidR="006C0C34" w:rsidRPr="00DD0131">
        <w:rPr>
          <w:rStyle w:val="FootnoteReference"/>
        </w:rPr>
        <w:footnoteReference w:id="93"/>
      </w:r>
      <w:r w:rsidR="006C0C34" w:rsidRPr="0044571A">
        <w:rPr>
          <w:rFonts w:ascii="Times New Roman" w:hAnsi="Times New Roman" w:cs="Times New Roman"/>
        </w:rPr>
        <w:t xml:space="preserve"> and Matczak</w:t>
      </w:r>
      <w:r w:rsidR="006C0C34" w:rsidRPr="00DD0131">
        <w:rPr>
          <w:rStyle w:val="FootnoteReference"/>
        </w:rPr>
        <w:footnoteReference w:id="94"/>
      </w:r>
      <w:r w:rsidR="006C0C34" w:rsidRPr="0044571A">
        <w:rPr>
          <w:rFonts w:ascii="Times New Roman" w:hAnsi="Times New Roman" w:cs="Times New Roman"/>
        </w:rPr>
        <w:t xml:space="preserve"> through consideration of quasi-legislative materials and manual classification techniques explored by Wolfram.</w:t>
      </w:r>
      <w:r w:rsidR="006C0C34" w:rsidRPr="00DD0131">
        <w:rPr>
          <w:rStyle w:val="FootnoteReference"/>
        </w:rPr>
        <w:footnoteReference w:id="95"/>
      </w:r>
      <w:r w:rsidR="006C0C34" w:rsidRPr="0044571A">
        <w:rPr>
          <w:rFonts w:ascii="Times New Roman" w:hAnsi="Times New Roman" w:cs="Times New Roman"/>
        </w:rPr>
        <w:t xml:space="preserve"> It is expected that this method’s outputs will be more predictable and therefore more ‘just’</w:t>
      </w:r>
      <w:r w:rsidR="006C0C34" w:rsidRPr="00DD0131">
        <w:rPr>
          <w:rStyle w:val="FootnoteReference"/>
        </w:rPr>
        <w:footnoteReference w:id="96"/>
      </w:r>
      <w:r w:rsidR="006C0C34" w:rsidRPr="0044571A">
        <w:rPr>
          <w:rFonts w:ascii="Times New Roman" w:hAnsi="Times New Roman" w:cs="Times New Roman"/>
        </w:rPr>
        <w:t xml:space="preserve"> than that of method one, but also that it will require significantly more assumptions and interpretation of the law, therefore indicating a potential violation of the separation of powers. </w:t>
      </w:r>
    </w:p>
    <w:p w14:paraId="74447583" w14:textId="657246AB" w:rsidR="006C0C34" w:rsidRPr="003E7A30" w:rsidRDefault="006C0C34" w:rsidP="003E7A30">
      <w:pPr>
        <w:spacing w:line="480" w:lineRule="auto"/>
        <w:jc w:val="both"/>
        <w:rPr>
          <w:rFonts w:ascii="Times New Roman" w:hAnsi="Times New Roman" w:cs="Times New Roman"/>
        </w:rPr>
      </w:pPr>
      <w:r w:rsidRPr="003E7A30">
        <w:rPr>
          <w:rFonts w:ascii="Times New Roman" w:hAnsi="Times New Roman" w:cs="Times New Roman"/>
        </w:rPr>
        <w:t xml:space="preserve">The type of output of both methods envisioned in the analysis is exemplified </w:t>
      </w:r>
      <w:r w:rsidR="003E7A30">
        <w:rPr>
          <w:rFonts w:ascii="Times New Roman" w:hAnsi="Times New Roman" w:cs="Times New Roman"/>
        </w:rPr>
        <w:t>in Section II’s</w:t>
      </w:r>
      <w:r w:rsidRPr="003E7A30">
        <w:rPr>
          <w:rFonts w:ascii="Times New Roman" w:hAnsi="Times New Roman" w:cs="Times New Roman"/>
        </w:rPr>
        <w:t xml:space="preserve"> Figure 1.</w:t>
      </w:r>
      <w:r w:rsidR="00F51080" w:rsidRPr="003E7A30">
        <w:rPr>
          <w:rFonts w:ascii="Times New Roman" w:hAnsi="Times New Roman" w:cs="Times New Roman"/>
        </w:rPr>
        <w:t xml:space="preserve"> </w:t>
      </w:r>
    </w:p>
    <w:p w14:paraId="7148A70F" w14:textId="5CD8DF5E" w:rsidR="001152C3" w:rsidRDefault="00B56C72" w:rsidP="00CD4D47">
      <w:pPr>
        <w:spacing w:line="480" w:lineRule="auto"/>
        <w:jc w:val="both"/>
        <w:rPr>
          <w:rFonts w:ascii="Times New Roman" w:hAnsi="Times New Roman" w:cs="Times New Roman"/>
        </w:rPr>
      </w:pPr>
      <w:r>
        <w:rPr>
          <w:rFonts w:ascii="Times New Roman" w:hAnsi="Times New Roman" w:cs="Times New Roman"/>
        </w:rPr>
        <w:t xml:space="preserve">Chapter III of the </w:t>
      </w:r>
      <w:r w:rsidR="001D223E">
        <w:rPr>
          <w:rFonts w:ascii="Times New Roman" w:hAnsi="Times New Roman" w:cs="Times New Roman"/>
          <w:i/>
          <w:iCs/>
        </w:rPr>
        <w:t>National Credit Act</w:t>
      </w:r>
      <w:r w:rsidR="001D223E">
        <w:rPr>
          <w:rFonts w:ascii="Times New Roman" w:hAnsi="Times New Roman" w:cs="Times New Roman"/>
        </w:rPr>
        <w:t xml:space="preserve"> </w:t>
      </w:r>
      <w:r w:rsidR="006C0C34">
        <w:rPr>
          <w:rFonts w:ascii="Times New Roman" w:hAnsi="Times New Roman" w:cs="Times New Roman"/>
        </w:rPr>
        <w:t>has been chosen as a test of each method because its provisions are</w:t>
      </w:r>
      <w:r w:rsidR="001D223E">
        <w:rPr>
          <w:rFonts w:ascii="Times New Roman" w:hAnsi="Times New Roman" w:cs="Times New Roman"/>
        </w:rPr>
        <w:t xml:space="preserve"> informed by both prescriptive and discretionary clauses,</w:t>
      </w:r>
      <w:r w:rsidR="00A7496D">
        <w:rPr>
          <w:rFonts w:ascii="Times New Roman" w:hAnsi="Times New Roman" w:cs="Times New Roman"/>
        </w:rPr>
        <w:t xml:space="preserve"> as well as </w:t>
      </w:r>
      <w:r w:rsidR="00383400">
        <w:rPr>
          <w:rFonts w:ascii="Times New Roman" w:hAnsi="Times New Roman" w:cs="Times New Roman"/>
        </w:rPr>
        <w:t xml:space="preserve">judicial </w:t>
      </w:r>
      <w:r w:rsidR="007A03CB">
        <w:rPr>
          <w:rFonts w:ascii="Times New Roman" w:hAnsi="Times New Roman" w:cs="Times New Roman"/>
        </w:rPr>
        <w:t>interpretation</w:t>
      </w:r>
      <w:r w:rsidR="00383400">
        <w:rPr>
          <w:rFonts w:ascii="Times New Roman" w:hAnsi="Times New Roman" w:cs="Times New Roman"/>
        </w:rPr>
        <w:t xml:space="preserve"> in the form of case law</w:t>
      </w:r>
      <w:r w:rsidR="00383400" w:rsidRPr="00DD0131">
        <w:rPr>
          <w:rStyle w:val="FootnoteReference"/>
        </w:rPr>
        <w:footnoteReference w:id="97"/>
      </w:r>
      <w:r w:rsidR="00CC5D10">
        <w:rPr>
          <w:rFonts w:ascii="Times New Roman" w:hAnsi="Times New Roman" w:cs="Times New Roman"/>
        </w:rPr>
        <w:t xml:space="preserve"> which</w:t>
      </w:r>
      <w:r w:rsidR="00B20578">
        <w:rPr>
          <w:rFonts w:ascii="Times New Roman" w:hAnsi="Times New Roman" w:cs="Times New Roman"/>
        </w:rPr>
        <w:t xml:space="preserve"> suggest a non-formalist alignment,</w:t>
      </w:r>
      <w:r w:rsidR="00C76DC3" w:rsidRPr="00DD0131">
        <w:rPr>
          <w:rStyle w:val="FootnoteReference"/>
        </w:rPr>
        <w:footnoteReference w:id="98"/>
      </w:r>
      <w:r w:rsidR="001D223E">
        <w:rPr>
          <w:rFonts w:ascii="Times New Roman" w:hAnsi="Times New Roman" w:cs="Times New Roman"/>
        </w:rPr>
        <w:t xml:space="preserve"> allowing for a full exploration of digital </w:t>
      </w:r>
      <w:r w:rsidR="001D223E">
        <w:rPr>
          <w:rFonts w:ascii="Times New Roman" w:hAnsi="Times New Roman" w:cs="Times New Roman"/>
        </w:rPr>
        <w:lastRenderedPageBreak/>
        <w:t>conversion techniques which previous literatures have failed to consider.</w:t>
      </w:r>
      <w:r w:rsidR="001D223E" w:rsidRPr="00DD0131">
        <w:rPr>
          <w:rStyle w:val="FootnoteReference"/>
        </w:rPr>
        <w:footnoteReference w:id="99"/>
      </w:r>
      <w:r w:rsidR="001D223E">
        <w:rPr>
          <w:rFonts w:ascii="Times New Roman" w:hAnsi="Times New Roman" w:cs="Times New Roman"/>
        </w:rPr>
        <w:t xml:space="preserve"> Further, where ambiguity is present, for example through a requirement of </w:t>
      </w:r>
      <w:r w:rsidR="00F53D7E">
        <w:rPr>
          <w:rFonts w:ascii="Times New Roman" w:hAnsi="Times New Roman" w:cs="Times New Roman"/>
        </w:rPr>
        <w:t>‘</w:t>
      </w:r>
      <w:r w:rsidR="001D223E">
        <w:rPr>
          <w:rFonts w:ascii="Times New Roman" w:hAnsi="Times New Roman" w:cs="Times New Roman"/>
        </w:rPr>
        <w:t>reasonable inquiries</w:t>
      </w:r>
      <w:r w:rsidR="00F53D7E">
        <w:rPr>
          <w:rFonts w:ascii="Times New Roman" w:hAnsi="Times New Roman" w:cs="Times New Roman"/>
        </w:rPr>
        <w:t>’</w:t>
      </w:r>
      <w:r w:rsidR="001D223E">
        <w:rPr>
          <w:rFonts w:ascii="Times New Roman" w:hAnsi="Times New Roman" w:cs="Times New Roman"/>
        </w:rPr>
        <w:t>, guidance has been provided through quasi-legislative materials such as the Australian Securities and Investment Commission’s (“ASIC”) Regulatory Guidelines.</w:t>
      </w:r>
      <w:r w:rsidR="001D223E" w:rsidRPr="00DD0131">
        <w:rPr>
          <w:rStyle w:val="FootnoteReference"/>
        </w:rPr>
        <w:footnoteReference w:id="100"/>
      </w:r>
      <w:r w:rsidR="001D223E">
        <w:rPr>
          <w:rFonts w:ascii="Times New Roman" w:hAnsi="Times New Roman" w:cs="Times New Roman"/>
        </w:rPr>
        <w:t xml:space="preserve"> This guidance is neither exhaustive, nor does it guarantee compliance,</w:t>
      </w:r>
      <w:r w:rsidR="0098359F" w:rsidRPr="00DD0131">
        <w:rPr>
          <w:rStyle w:val="FootnoteReference"/>
        </w:rPr>
        <w:footnoteReference w:id="101"/>
      </w:r>
      <w:r w:rsidR="001D223E">
        <w:rPr>
          <w:rFonts w:ascii="Times New Roman" w:hAnsi="Times New Roman" w:cs="Times New Roman"/>
        </w:rPr>
        <w:t xml:space="preserve"> and as such, its use allows for a consideration of the effects of a </w:t>
      </w:r>
      <w:r w:rsidR="0044571A">
        <w:rPr>
          <w:rFonts w:ascii="Times New Roman" w:hAnsi="Times New Roman" w:cs="Times New Roman"/>
        </w:rPr>
        <w:t>non-formalist</w:t>
      </w:r>
      <w:r w:rsidR="001D223E">
        <w:rPr>
          <w:rFonts w:ascii="Times New Roman" w:hAnsi="Times New Roman" w:cs="Times New Roman"/>
        </w:rPr>
        <w:t xml:space="preserve"> alignment in coding methods. Indeed, the statement that </w:t>
      </w:r>
      <w:r w:rsidR="00F53D7E">
        <w:rPr>
          <w:rFonts w:ascii="Times New Roman" w:hAnsi="Times New Roman" w:cs="Times New Roman"/>
        </w:rPr>
        <w:t>‘</w:t>
      </w:r>
      <w:r w:rsidR="001D223E" w:rsidRPr="00B67F00">
        <w:rPr>
          <w:rFonts w:ascii="Times New Roman" w:hAnsi="Times New Roman" w:cs="Times New Roman"/>
        </w:rPr>
        <w:t>the obligations are not static – what is “reasonable” will be affected by the broader professional and regulatory environment in which [the financial institution operates]</w:t>
      </w:r>
      <w:r w:rsidR="00F53D7E">
        <w:rPr>
          <w:rFonts w:ascii="Times New Roman" w:hAnsi="Times New Roman" w:cs="Times New Roman"/>
        </w:rPr>
        <w:t>’</w:t>
      </w:r>
      <w:r w:rsidR="001D223E" w:rsidRPr="00E11473">
        <w:rPr>
          <w:rStyle w:val="FootnoteReference"/>
        </w:rPr>
        <w:t xml:space="preserve"> </w:t>
      </w:r>
      <w:r w:rsidR="001D223E" w:rsidRPr="00DD0131">
        <w:rPr>
          <w:rStyle w:val="FootnoteReference"/>
        </w:rPr>
        <w:footnoteReference w:id="102"/>
      </w:r>
      <w:r w:rsidR="001D223E">
        <w:rPr>
          <w:rFonts w:ascii="Times New Roman" w:hAnsi="Times New Roman" w:cs="Times New Roman"/>
        </w:rPr>
        <w:t xml:space="preserve"> is reminiscent of the </w:t>
      </w:r>
      <w:r w:rsidR="0044571A">
        <w:rPr>
          <w:rFonts w:ascii="Times New Roman" w:hAnsi="Times New Roman" w:cs="Times New Roman"/>
        </w:rPr>
        <w:t xml:space="preserve">non-formalist’s </w:t>
      </w:r>
      <w:r w:rsidR="001D223E">
        <w:rPr>
          <w:rFonts w:ascii="Times New Roman" w:hAnsi="Times New Roman" w:cs="Times New Roman"/>
        </w:rPr>
        <w:t xml:space="preserve">alignment of ever-evolving societal norms influencing judicial discretion. </w:t>
      </w:r>
    </w:p>
    <w:p w14:paraId="67A39FAD" w14:textId="77777777" w:rsidR="003E7A30" w:rsidRDefault="003E7A30" w:rsidP="00CD4D47">
      <w:pPr>
        <w:spacing w:line="480" w:lineRule="auto"/>
        <w:jc w:val="both"/>
        <w:rPr>
          <w:rFonts w:ascii="Times New Roman" w:hAnsi="Times New Roman" w:cs="Times New Roman"/>
        </w:rPr>
      </w:pPr>
    </w:p>
    <w:p w14:paraId="3BDA012A" w14:textId="4E4D65A7" w:rsidR="00CB2DF3" w:rsidRDefault="001D0B54" w:rsidP="00CD4D47">
      <w:pPr>
        <w:spacing w:line="480" w:lineRule="auto"/>
        <w:jc w:val="both"/>
        <w:rPr>
          <w:rFonts w:ascii="Times New Roman" w:hAnsi="Times New Roman" w:cs="Times New Roman"/>
        </w:rPr>
      </w:pPr>
      <w:r>
        <w:rPr>
          <w:rFonts w:ascii="Times New Roman" w:hAnsi="Times New Roman" w:cs="Times New Roman"/>
        </w:rPr>
        <w:t>From a technical standpoint, Python 3 has been selected as an appropriate machine-consumable language, given its wide use</w:t>
      </w:r>
      <w:r w:rsidR="00E4650F">
        <w:rPr>
          <w:rFonts w:ascii="Times New Roman" w:hAnsi="Times New Roman" w:cs="Times New Roman"/>
        </w:rPr>
        <w:t xml:space="preserve"> and descriptive syntax which eases understanding of its code for those who are not</w:t>
      </w:r>
      <w:r w:rsidR="00B67CAC">
        <w:rPr>
          <w:rFonts w:ascii="Times New Roman" w:hAnsi="Times New Roman" w:cs="Times New Roman"/>
        </w:rPr>
        <w:t xml:space="preserve"> familiar with the language.</w:t>
      </w:r>
      <w:r w:rsidR="005244D7" w:rsidRPr="00DD0131">
        <w:rPr>
          <w:rStyle w:val="FootnoteReference"/>
        </w:rPr>
        <w:footnoteReference w:id="103"/>
      </w:r>
      <w:r w:rsidR="008E3D78">
        <w:rPr>
          <w:rFonts w:ascii="Times New Roman" w:hAnsi="Times New Roman" w:cs="Times New Roman"/>
        </w:rPr>
        <w:t xml:space="preserve"> This is deemed particularly important in developing an RaC application so as to avoid opacity arising from technical illiteracy.</w:t>
      </w:r>
      <w:r w:rsidR="008E3D78" w:rsidRPr="00DD0131">
        <w:rPr>
          <w:rStyle w:val="FootnoteReference"/>
        </w:rPr>
        <w:footnoteReference w:id="104"/>
      </w:r>
      <w:r w:rsidR="001D02D8">
        <w:rPr>
          <w:rFonts w:ascii="Times New Roman" w:hAnsi="Times New Roman" w:cs="Times New Roman"/>
        </w:rPr>
        <w:t xml:space="preserve"> </w:t>
      </w:r>
    </w:p>
    <w:p w14:paraId="3E3A9C17" w14:textId="7E12589C" w:rsidR="00711C1F" w:rsidRDefault="00711C1F" w:rsidP="00CD4D47">
      <w:pPr>
        <w:spacing w:line="480" w:lineRule="auto"/>
        <w:jc w:val="both"/>
        <w:rPr>
          <w:rFonts w:ascii="Times New Roman" w:hAnsi="Times New Roman" w:cs="Times New Roman"/>
        </w:rPr>
      </w:pPr>
      <w:r w:rsidRPr="00CB2DF3">
        <w:rPr>
          <w:rFonts w:ascii="Times New Roman" w:hAnsi="Times New Roman" w:cs="Times New Roman"/>
        </w:rPr>
        <w:t xml:space="preserve">Code </w:t>
      </w:r>
      <w:r>
        <w:rPr>
          <w:rFonts w:ascii="Times New Roman" w:hAnsi="Times New Roman" w:cs="Times New Roman"/>
        </w:rPr>
        <w:t>is to be</w:t>
      </w:r>
      <w:r w:rsidRPr="00CB2DF3">
        <w:rPr>
          <w:rFonts w:ascii="Times New Roman" w:hAnsi="Times New Roman" w:cs="Times New Roman"/>
        </w:rPr>
        <w:t xml:space="preserve"> written in an interview style, similar to that utilised by </w:t>
      </w:r>
      <w:r w:rsidR="002A2B60">
        <w:rPr>
          <w:rFonts w:ascii="Times New Roman" w:hAnsi="Times New Roman" w:cs="Times New Roman"/>
        </w:rPr>
        <w:t xml:space="preserve">the </w:t>
      </w:r>
      <w:r w:rsidR="002A2B60" w:rsidRPr="00160C66">
        <w:rPr>
          <w:rFonts w:ascii="Times New Roman" w:hAnsi="Times New Roman" w:cs="Times New Roman"/>
        </w:rPr>
        <w:t>Australasian Legal Information Institute’s (“AustLII”) ‘ElectKB’ application</w:t>
      </w:r>
      <w:r w:rsidR="002A2B60">
        <w:rPr>
          <w:rFonts w:ascii="Times New Roman" w:hAnsi="Times New Roman" w:cs="Times New Roman"/>
        </w:rPr>
        <w:t>,</w:t>
      </w:r>
      <w:r w:rsidRPr="00DD0131">
        <w:rPr>
          <w:rStyle w:val="FootnoteReference"/>
        </w:rPr>
        <w:footnoteReference w:id="105"/>
      </w:r>
      <w:r w:rsidR="002A2B60">
        <w:rPr>
          <w:rFonts w:ascii="Times New Roman" w:hAnsi="Times New Roman" w:cs="Times New Roman"/>
        </w:rPr>
        <w:t xml:space="preserve"> which questions users through a chat-like interface before generating a finding on their eligibility as a member of federal parliament under the </w:t>
      </w:r>
      <w:r w:rsidR="002A2B60">
        <w:rPr>
          <w:rFonts w:ascii="Times New Roman" w:hAnsi="Times New Roman" w:cs="Times New Roman"/>
          <w:i/>
          <w:iCs/>
        </w:rPr>
        <w:lastRenderedPageBreak/>
        <w:t xml:space="preserve">Commonwealth Electoral Act 1918 </w:t>
      </w:r>
      <w:r w:rsidR="002A2B60">
        <w:rPr>
          <w:rFonts w:ascii="Times New Roman" w:hAnsi="Times New Roman" w:cs="Times New Roman"/>
        </w:rPr>
        <w:t>(Cth).</w:t>
      </w:r>
      <w:r w:rsidR="002E748D" w:rsidRPr="00DD0131">
        <w:rPr>
          <w:rStyle w:val="FootnoteReference"/>
        </w:rPr>
        <w:footnoteReference w:id="106"/>
      </w:r>
      <w:r w:rsidRPr="00CB2DF3">
        <w:rPr>
          <w:rFonts w:ascii="Times New Roman" w:hAnsi="Times New Roman" w:cs="Times New Roman"/>
        </w:rPr>
        <w:t xml:space="preserve"> To address concerns raised by Sergo et al. regarding the historical lack of an ‘unknown’ option in Boolean programs,</w:t>
      </w:r>
      <w:r w:rsidRPr="00DD0131">
        <w:rPr>
          <w:rStyle w:val="FootnoteReference"/>
        </w:rPr>
        <w:footnoteReference w:id="107"/>
      </w:r>
      <w:r w:rsidRPr="00CB2DF3">
        <w:rPr>
          <w:rFonts w:ascii="Times New Roman" w:hAnsi="Times New Roman" w:cs="Times New Roman"/>
        </w:rPr>
        <w:t xml:space="preserve"> the </w:t>
      </w:r>
      <w:r w:rsidR="00C972AD">
        <w:rPr>
          <w:rFonts w:ascii="Times New Roman" w:hAnsi="Times New Roman" w:cs="Times New Roman"/>
        </w:rPr>
        <w:t>P</w:t>
      </w:r>
      <w:r w:rsidRPr="00CB2DF3">
        <w:rPr>
          <w:rFonts w:ascii="Times New Roman" w:hAnsi="Times New Roman" w:cs="Times New Roman"/>
        </w:rPr>
        <w:t>ython module ‘tribool’</w:t>
      </w:r>
      <w:r w:rsidR="002B47A6" w:rsidRPr="00DD0131">
        <w:rPr>
          <w:rStyle w:val="FootnoteReference"/>
        </w:rPr>
        <w:footnoteReference w:id="108"/>
      </w:r>
      <w:r w:rsidRPr="00CB2DF3">
        <w:rPr>
          <w:rFonts w:ascii="Times New Roman" w:hAnsi="Times New Roman" w:cs="Times New Roman"/>
        </w:rPr>
        <w:t xml:space="preserve"> </w:t>
      </w:r>
      <w:r>
        <w:rPr>
          <w:rFonts w:ascii="Times New Roman" w:hAnsi="Times New Roman" w:cs="Times New Roman"/>
        </w:rPr>
        <w:t>is</w:t>
      </w:r>
      <w:r w:rsidRPr="00CB2DF3">
        <w:rPr>
          <w:rFonts w:ascii="Times New Roman" w:hAnsi="Times New Roman" w:cs="Times New Roman"/>
        </w:rPr>
        <w:t xml:space="preserve"> used and adapted so as to emulate ternary unknown-state logic (True, False or Unknown).</w:t>
      </w:r>
      <w:r w:rsidRPr="00DD0131">
        <w:rPr>
          <w:rStyle w:val="FootnoteReference"/>
        </w:rPr>
        <w:footnoteReference w:id="109"/>
      </w:r>
      <w:r>
        <w:rPr>
          <w:rFonts w:ascii="Times New Roman" w:hAnsi="Times New Roman" w:cs="Times New Roman"/>
        </w:rPr>
        <w:t xml:space="preserve"> </w:t>
      </w:r>
      <w:r w:rsidR="002B47A6">
        <w:rPr>
          <w:rFonts w:ascii="Times New Roman" w:hAnsi="Times New Roman" w:cs="Times New Roman"/>
        </w:rPr>
        <w:t>Influenced by Wolfram’s advocacy for classification-based programming,</w:t>
      </w:r>
      <w:r w:rsidR="002B47A6" w:rsidRPr="00DD0131">
        <w:rPr>
          <w:rStyle w:val="FootnoteReference"/>
        </w:rPr>
        <w:footnoteReference w:id="110"/>
      </w:r>
      <w:r>
        <w:rPr>
          <w:rFonts w:ascii="Times New Roman" w:hAnsi="Times New Roman" w:cs="Times New Roman"/>
        </w:rPr>
        <w:t xml:space="preserve"> an object-oriented programming (“OOP”) approach has been taken when considering legal concepts such as entities and contracts. While consensus regarding specific facets of this approach is lacking,</w:t>
      </w:r>
      <w:r w:rsidRPr="00DD0131">
        <w:rPr>
          <w:rStyle w:val="FootnoteReference"/>
        </w:rPr>
        <w:footnoteReference w:id="111"/>
      </w:r>
      <w:r>
        <w:rPr>
          <w:rFonts w:ascii="Times New Roman" w:hAnsi="Times New Roman" w:cs="Times New Roman"/>
        </w:rPr>
        <w:t xml:space="preserve"> the general concepts of a variable’s class, </w:t>
      </w:r>
      <w:r w:rsidR="00BA782B">
        <w:rPr>
          <w:rFonts w:ascii="Times New Roman" w:hAnsi="Times New Roman" w:cs="Times New Roman"/>
        </w:rPr>
        <w:t>object,</w:t>
      </w:r>
      <w:r>
        <w:rPr>
          <w:rFonts w:ascii="Times New Roman" w:hAnsi="Times New Roman" w:cs="Times New Roman"/>
        </w:rPr>
        <w:t xml:space="preserve"> and attribute hierarchy</w:t>
      </w:r>
      <w:r w:rsidR="00BA782B" w:rsidRPr="00DD0131">
        <w:rPr>
          <w:rStyle w:val="FootnoteReference"/>
        </w:rPr>
        <w:footnoteReference w:id="112"/>
      </w:r>
      <w:r w:rsidR="00BA782B">
        <w:rPr>
          <w:rFonts w:ascii="Times New Roman" w:hAnsi="Times New Roman" w:cs="Times New Roman"/>
        </w:rPr>
        <w:t xml:space="preserve"> have proven instrumental in overcoming issues of both a legal and technical nature.</w:t>
      </w:r>
      <w:r w:rsidR="002B47A6">
        <w:rPr>
          <w:rFonts w:ascii="Times New Roman" w:hAnsi="Times New Roman" w:cs="Times New Roman"/>
        </w:rPr>
        <w:t xml:space="preserve"> </w:t>
      </w:r>
    </w:p>
    <w:p w14:paraId="192B5164" w14:textId="77777777" w:rsidR="00AD2743" w:rsidRDefault="00AD2743" w:rsidP="00AD2743"/>
    <w:p w14:paraId="50B3EAFB" w14:textId="03BC5DA6" w:rsidR="00AD2743" w:rsidRDefault="00AD2743" w:rsidP="00AD2743">
      <w:pPr>
        <w:spacing w:line="480" w:lineRule="auto"/>
        <w:jc w:val="center"/>
        <w:rPr>
          <w:rFonts w:ascii="Times New Roman" w:hAnsi="Times New Roman" w:cs="Times New Roman"/>
          <w:sz w:val="24"/>
          <w:szCs w:val="24"/>
        </w:rPr>
      </w:pPr>
      <w:r>
        <w:rPr>
          <w:rFonts w:ascii="Times New Roman" w:hAnsi="Times New Roman" w:cs="Times New Roman"/>
          <w:sz w:val="28"/>
          <w:szCs w:val="28"/>
        </w:rPr>
        <w:t>IV</w:t>
      </w:r>
      <w:r w:rsidRPr="00B67F00">
        <w:rPr>
          <w:rFonts w:ascii="Times New Roman" w:hAnsi="Times New Roman" w:cs="Times New Roman"/>
          <w:sz w:val="28"/>
          <w:szCs w:val="28"/>
        </w:rPr>
        <w:tab/>
      </w:r>
      <w:r>
        <w:rPr>
          <w:rFonts w:ascii="Times New Roman" w:hAnsi="Times New Roman" w:cs="Times New Roman"/>
          <w:sz w:val="28"/>
          <w:szCs w:val="28"/>
        </w:rPr>
        <w:t>F</w:t>
      </w:r>
      <w:r>
        <w:rPr>
          <w:rFonts w:ascii="Times New Roman" w:hAnsi="Times New Roman" w:cs="Times New Roman"/>
          <w:sz w:val="24"/>
          <w:szCs w:val="24"/>
        </w:rPr>
        <w:t>INDINGS</w:t>
      </w:r>
    </w:p>
    <w:p w14:paraId="01F44D08" w14:textId="4AFF47F9" w:rsidR="007028EF" w:rsidRDefault="00EF76E3" w:rsidP="009163A1">
      <w:pPr>
        <w:spacing w:line="480" w:lineRule="auto"/>
        <w:jc w:val="both"/>
        <w:rPr>
          <w:rFonts w:ascii="Times New Roman" w:hAnsi="Times New Roman" w:cs="Times New Roman"/>
        </w:rPr>
      </w:pPr>
      <w:r w:rsidRPr="00151CC4">
        <w:rPr>
          <w:rFonts w:ascii="Times New Roman" w:hAnsi="Times New Roman" w:cs="Times New Roman"/>
        </w:rPr>
        <w:t>For the most part, coding of the selected provisions was fairly straightforward, though difficulties posed by the outlier provisions ultimately resulted in significant changes to the aforementioned methodology. In contrast to expectations, it was ultimately determined that attempting to compare resultant digitisation of the provisions using both formalist and non-formalist theories was a task which could not be adequately approached without straying well outside the scope of this article. Though such efforts were hypothesised and proposed in part in this section, only one approach was ultimately taken, informed by the modern approach to statutory interpretation,</w:t>
      </w:r>
      <w:r w:rsidR="00593EC2" w:rsidRPr="00593EC2">
        <w:rPr>
          <w:rFonts w:ascii="Times New Roman" w:hAnsi="Times New Roman" w:cs="Times New Roman"/>
        </w:rPr>
        <w:t xml:space="preserve"> </w:t>
      </w:r>
      <w:r w:rsidR="00593EC2" w:rsidRPr="00DD0131">
        <w:rPr>
          <w:rStyle w:val="FootnoteReference"/>
        </w:rPr>
        <w:footnoteReference w:id="113"/>
      </w:r>
      <w:r w:rsidRPr="00151CC4">
        <w:rPr>
          <w:rFonts w:ascii="Times New Roman" w:hAnsi="Times New Roman" w:cs="Times New Roman"/>
        </w:rPr>
        <w:t xml:space="preserve"> </w:t>
      </w:r>
      <w:r w:rsidR="00593EC2">
        <w:rPr>
          <w:rFonts w:ascii="Times New Roman" w:hAnsi="Times New Roman" w:cs="Times New Roman"/>
        </w:rPr>
        <w:t xml:space="preserve">whose principles are largely embodied </w:t>
      </w:r>
      <w:r w:rsidR="00593EC2">
        <w:rPr>
          <w:rFonts w:ascii="Times New Roman" w:hAnsi="Times New Roman" w:cs="Times New Roman"/>
        </w:rPr>
        <w:lastRenderedPageBreak/>
        <w:t xml:space="preserve">in </w:t>
      </w:r>
      <w:r w:rsidR="00593EC2" w:rsidRPr="003E7A30">
        <w:rPr>
          <w:rFonts w:ascii="Times New Roman" w:hAnsi="Times New Roman" w:cs="Times New Roman"/>
          <w:i/>
          <w:iCs/>
        </w:rPr>
        <w:t>Project Blue Sky v Australian Broadcasting Authority</w:t>
      </w:r>
      <w:r w:rsidR="00593EC2" w:rsidRPr="00DD0131">
        <w:rPr>
          <w:rStyle w:val="FootnoteReference"/>
        </w:rPr>
        <w:footnoteReference w:id="114"/>
      </w:r>
      <w:r w:rsidR="00593EC2" w:rsidRPr="003E7A30">
        <w:rPr>
          <w:rFonts w:ascii="Times New Roman" w:hAnsi="Times New Roman" w:cs="Times New Roman"/>
          <w:i/>
          <w:iCs/>
        </w:rPr>
        <w:t xml:space="preserve"> </w:t>
      </w:r>
      <w:r w:rsidR="00593EC2" w:rsidRPr="003E7A30">
        <w:rPr>
          <w:rFonts w:ascii="Times New Roman" w:hAnsi="Times New Roman" w:cs="Times New Roman"/>
        </w:rPr>
        <w:t>(“</w:t>
      </w:r>
      <w:r w:rsidR="00593EC2" w:rsidRPr="003E7A30">
        <w:rPr>
          <w:rFonts w:ascii="Times New Roman" w:hAnsi="Times New Roman" w:cs="Times New Roman"/>
          <w:i/>
          <w:iCs/>
        </w:rPr>
        <w:t>Project Blue Sky”</w:t>
      </w:r>
      <w:r w:rsidR="00593EC2" w:rsidRPr="003E7A30">
        <w:rPr>
          <w:rFonts w:ascii="Times New Roman" w:hAnsi="Times New Roman" w:cs="Times New Roman"/>
        </w:rPr>
        <w:t>)</w:t>
      </w:r>
      <w:r w:rsidR="00593EC2">
        <w:rPr>
          <w:rFonts w:ascii="Times New Roman" w:hAnsi="Times New Roman" w:cs="Times New Roman"/>
        </w:rPr>
        <w:t>.</w:t>
      </w:r>
      <w:r w:rsidR="009163A1">
        <w:rPr>
          <w:rFonts w:ascii="Times New Roman" w:hAnsi="Times New Roman" w:cs="Times New Roman"/>
        </w:rPr>
        <w:t xml:space="preserve"> The modern approach involves consideration of both intrinsic and extrinsic materials,</w:t>
      </w:r>
      <w:r w:rsidR="009163A1" w:rsidRPr="00DD0131">
        <w:rPr>
          <w:rStyle w:val="FootnoteReference"/>
        </w:rPr>
        <w:footnoteReference w:id="115"/>
      </w:r>
      <w:r w:rsidR="009163A1">
        <w:rPr>
          <w:rFonts w:ascii="Times New Roman" w:hAnsi="Times New Roman" w:cs="Times New Roman"/>
        </w:rPr>
        <w:t xml:space="preserve"> as well as the context and purposes of the legal text,</w:t>
      </w:r>
      <w:r w:rsidR="009163A1" w:rsidRPr="00DD0131">
        <w:rPr>
          <w:rStyle w:val="FootnoteReference"/>
        </w:rPr>
        <w:footnoteReference w:id="116"/>
      </w:r>
      <w:r w:rsidR="009163A1">
        <w:rPr>
          <w:rFonts w:ascii="Times New Roman" w:hAnsi="Times New Roman" w:cs="Times New Roman"/>
        </w:rPr>
        <w:t xml:space="preserve"> </w:t>
      </w:r>
      <w:r w:rsidRPr="00151CC4">
        <w:rPr>
          <w:rFonts w:ascii="Times New Roman" w:hAnsi="Times New Roman" w:cs="Times New Roman"/>
        </w:rPr>
        <w:t>and</w:t>
      </w:r>
      <w:r w:rsidR="009163A1">
        <w:rPr>
          <w:rFonts w:ascii="Times New Roman" w:hAnsi="Times New Roman" w:cs="Times New Roman"/>
        </w:rPr>
        <w:t xml:space="preserve"> is</w:t>
      </w:r>
      <w:r w:rsidRPr="00151CC4">
        <w:rPr>
          <w:rFonts w:ascii="Times New Roman" w:hAnsi="Times New Roman" w:cs="Times New Roman"/>
        </w:rPr>
        <w:t xml:space="preserve"> thus </w:t>
      </w:r>
      <w:r w:rsidR="009163A1">
        <w:rPr>
          <w:rFonts w:ascii="Times New Roman" w:hAnsi="Times New Roman" w:cs="Times New Roman"/>
        </w:rPr>
        <w:t xml:space="preserve">inherently </w:t>
      </w:r>
      <w:r w:rsidRPr="00151CC4">
        <w:rPr>
          <w:rFonts w:ascii="Times New Roman" w:hAnsi="Times New Roman" w:cs="Times New Roman"/>
        </w:rPr>
        <w:t>more aligned with non-formalism than formalism. Nonetheless, for reasons outlined below,</w:t>
      </w:r>
      <w:r w:rsidR="00151CC4" w:rsidRPr="00151CC4">
        <w:rPr>
          <w:rFonts w:ascii="Times New Roman" w:hAnsi="Times New Roman" w:cs="Times New Roman"/>
        </w:rPr>
        <w:t xml:space="preserve"> </w:t>
      </w:r>
      <w:r w:rsidR="009163A1">
        <w:rPr>
          <w:rFonts w:ascii="Times New Roman" w:hAnsi="Times New Roman" w:cs="Times New Roman"/>
        </w:rPr>
        <w:t>the approach put into practice here</w:t>
      </w:r>
      <w:r w:rsidR="00151CC4" w:rsidRPr="00151CC4">
        <w:rPr>
          <w:rFonts w:ascii="Times New Roman" w:hAnsi="Times New Roman" w:cs="Times New Roman"/>
        </w:rPr>
        <w:t xml:space="preserve"> should not be deemed a true non-formalist approach. </w:t>
      </w:r>
    </w:p>
    <w:p w14:paraId="0FAE51B7" w14:textId="77777777" w:rsidR="009163A1" w:rsidRDefault="009163A1" w:rsidP="009163A1">
      <w:pPr>
        <w:spacing w:line="480" w:lineRule="auto"/>
        <w:jc w:val="both"/>
        <w:rPr>
          <w:rFonts w:ascii="Times New Roman" w:hAnsi="Times New Roman" w:cs="Times New Roman"/>
        </w:rPr>
      </w:pPr>
    </w:p>
    <w:p w14:paraId="2D7CEB2E" w14:textId="3ED5EB24" w:rsidR="00AD2743" w:rsidRPr="00B60A04" w:rsidRDefault="00AD2743" w:rsidP="00AD2743">
      <w:pPr>
        <w:spacing w:line="480" w:lineRule="auto"/>
        <w:jc w:val="center"/>
        <w:rPr>
          <w:rFonts w:ascii="Times New Roman" w:hAnsi="Times New Roman" w:cs="Times New Roman"/>
          <w:i/>
          <w:iCs/>
        </w:rPr>
      </w:pPr>
      <w:r w:rsidRPr="00B60A04">
        <w:rPr>
          <w:rFonts w:ascii="Times New Roman" w:hAnsi="Times New Roman" w:cs="Times New Roman"/>
        </w:rPr>
        <w:t xml:space="preserve">A </w:t>
      </w:r>
      <w:r w:rsidRPr="00B60A04">
        <w:rPr>
          <w:rFonts w:ascii="Times New Roman" w:hAnsi="Times New Roman" w:cs="Times New Roman"/>
          <w:i/>
          <w:iCs/>
        </w:rPr>
        <w:t>Computational</w:t>
      </w:r>
      <w:r w:rsidR="00D642D9">
        <w:rPr>
          <w:rFonts w:ascii="Times New Roman" w:hAnsi="Times New Roman" w:cs="Times New Roman"/>
          <w:i/>
          <w:iCs/>
        </w:rPr>
        <w:t xml:space="preserve"> &amp; Interpretative</w:t>
      </w:r>
      <w:r w:rsidRPr="00B60A04">
        <w:rPr>
          <w:rFonts w:ascii="Times New Roman" w:hAnsi="Times New Roman" w:cs="Times New Roman"/>
          <w:i/>
          <w:iCs/>
        </w:rPr>
        <w:t xml:space="preserve"> Approaches</w:t>
      </w:r>
    </w:p>
    <w:p w14:paraId="5CACE8A2" w14:textId="41D4562D" w:rsidR="007A0FC6" w:rsidRPr="00B60A04" w:rsidRDefault="007A0FC6" w:rsidP="00F66BD4">
      <w:pPr>
        <w:spacing w:line="480" w:lineRule="auto"/>
        <w:jc w:val="both"/>
        <w:rPr>
          <w:rFonts w:ascii="Times New Roman" w:hAnsi="Times New Roman" w:cs="Times New Roman"/>
        </w:rPr>
      </w:pPr>
      <w:r w:rsidRPr="00B60A04">
        <w:rPr>
          <w:rFonts w:ascii="Times New Roman" w:hAnsi="Times New Roman" w:cs="Times New Roman"/>
        </w:rPr>
        <w:t xml:space="preserve">As alluded to in the prior section, </w:t>
      </w:r>
      <w:r w:rsidR="00F66BD4" w:rsidRPr="00B60A04">
        <w:rPr>
          <w:rFonts w:ascii="Times New Roman" w:hAnsi="Times New Roman" w:cs="Times New Roman"/>
        </w:rPr>
        <w:t xml:space="preserve">the </w:t>
      </w:r>
      <w:r w:rsidRPr="00B60A04">
        <w:rPr>
          <w:rFonts w:ascii="Times New Roman" w:hAnsi="Times New Roman" w:cs="Times New Roman"/>
        </w:rPr>
        <w:t xml:space="preserve">user interface (“UI”) </w:t>
      </w:r>
      <w:r w:rsidR="00F66BD4" w:rsidRPr="00B60A04">
        <w:rPr>
          <w:rFonts w:ascii="Times New Roman" w:hAnsi="Times New Roman" w:cs="Times New Roman"/>
        </w:rPr>
        <w:t>portion of the application was built with an interview approach in mind, focussing</w:t>
      </w:r>
      <w:r w:rsidRPr="00B60A04">
        <w:rPr>
          <w:rFonts w:ascii="Times New Roman" w:hAnsi="Times New Roman" w:cs="Times New Roman"/>
        </w:rPr>
        <w:t xml:space="preserve"> on prompts </w:t>
      </w:r>
      <w:r w:rsidR="008C44E7">
        <w:rPr>
          <w:rFonts w:ascii="Times New Roman" w:hAnsi="Times New Roman" w:cs="Times New Roman"/>
        </w:rPr>
        <w:t xml:space="preserve">designed to emulate the questions a legal expert might ask in considering a scenario, </w:t>
      </w:r>
      <w:r w:rsidRPr="00B60A04">
        <w:rPr>
          <w:rFonts w:ascii="Times New Roman" w:hAnsi="Times New Roman" w:cs="Times New Roman"/>
        </w:rPr>
        <w:t xml:space="preserve">and </w:t>
      </w:r>
      <w:r w:rsidR="008C44E7">
        <w:rPr>
          <w:rFonts w:ascii="Times New Roman" w:hAnsi="Times New Roman" w:cs="Times New Roman"/>
        </w:rPr>
        <w:t xml:space="preserve">user </w:t>
      </w:r>
      <w:r w:rsidRPr="00B60A04">
        <w:rPr>
          <w:rFonts w:ascii="Times New Roman" w:hAnsi="Times New Roman" w:cs="Times New Roman"/>
        </w:rPr>
        <w:t>inputs</w:t>
      </w:r>
      <w:r w:rsidR="008C44E7">
        <w:rPr>
          <w:rFonts w:ascii="Times New Roman" w:hAnsi="Times New Roman" w:cs="Times New Roman"/>
        </w:rPr>
        <w:t xml:space="preserve"> </w:t>
      </w:r>
      <w:r w:rsidRPr="00B60A04">
        <w:rPr>
          <w:rFonts w:ascii="Times New Roman" w:hAnsi="Times New Roman" w:cs="Times New Roman"/>
        </w:rPr>
        <w:t>which generally took the form of ternary unknown-state logic,</w:t>
      </w:r>
      <w:r w:rsidR="00C972AD" w:rsidRPr="00DD0131">
        <w:rPr>
          <w:rStyle w:val="FootnoteReference"/>
        </w:rPr>
        <w:footnoteReference w:id="117"/>
      </w:r>
      <w:r w:rsidRPr="00B60A04">
        <w:rPr>
          <w:rFonts w:ascii="Times New Roman" w:hAnsi="Times New Roman" w:cs="Times New Roman"/>
        </w:rPr>
        <w:t xml:space="preserve"> dates</w:t>
      </w:r>
      <w:r w:rsidR="00C972AD" w:rsidRPr="00B60A04">
        <w:rPr>
          <w:rFonts w:ascii="Times New Roman" w:hAnsi="Times New Roman" w:cs="Times New Roman"/>
        </w:rPr>
        <w:t>,</w:t>
      </w:r>
      <w:r w:rsidR="00C972AD" w:rsidRPr="00DD0131">
        <w:rPr>
          <w:rStyle w:val="FootnoteReference"/>
        </w:rPr>
        <w:footnoteReference w:id="118"/>
      </w:r>
      <w:r w:rsidR="00C972AD" w:rsidRPr="00B60A04">
        <w:rPr>
          <w:rFonts w:ascii="Times New Roman" w:hAnsi="Times New Roman" w:cs="Times New Roman"/>
        </w:rPr>
        <w:t xml:space="preserve"> or values sans units</w:t>
      </w:r>
      <w:r w:rsidR="008C44E7">
        <w:rPr>
          <w:rFonts w:ascii="Times New Roman" w:hAnsi="Times New Roman" w:cs="Times New Roman"/>
        </w:rPr>
        <w:t>.</w:t>
      </w:r>
      <w:r w:rsidR="00C972AD" w:rsidRPr="00DD0131">
        <w:rPr>
          <w:rStyle w:val="FootnoteReference"/>
        </w:rPr>
        <w:footnoteReference w:id="119"/>
      </w:r>
      <w:r w:rsidR="008C44E7">
        <w:rPr>
          <w:rFonts w:ascii="Times New Roman" w:hAnsi="Times New Roman" w:cs="Times New Roman"/>
        </w:rPr>
        <w:t xml:space="preserve"> </w:t>
      </w:r>
      <w:r w:rsidR="00F66BD4" w:rsidRPr="00B60A04">
        <w:rPr>
          <w:rFonts w:ascii="Times New Roman" w:hAnsi="Times New Roman" w:cs="Times New Roman"/>
        </w:rPr>
        <w:t>Throughout the program’s life, these inputs are assigned as values of variables and used to determine which questions are asked and the ultimate determination of the program, which is delivered at the conclusion of the interview. In its current state, the application purports to identify which contraventions have been breached (if any), what the consequences of these contraventions are in terms of civil and criminal penalty units, and any uncertainties arising from ‘indeterminate’ inputs which might decrease the reliability of the determination.</w:t>
      </w:r>
    </w:p>
    <w:p w14:paraId="2A670020" w14:textId="690A4F18" w:rsidR="006513A2" w:rsidRDefault="00C94353" w:rsidP="009003EA">
      <w:pPr>
        <w:spacing w:line="480" w:lineRule="auto"/>
        <w:jc w:val="both"/>
        <w:rPr>
          <w:rFonts w:ascii="Times New Roman" w:hAnsi="Times New Roman" w:cs="Times New Roman"/>
          <w:sz w:val="24"/>
          <w:szCs w:val="24"/>
        </w:rPr>
      </w:pPr>
      <w:r w:rsidRPr="00B60A04">
        <w:rPr>
          <w:rFonts w:ascii="Times New Roman" w:hAnsi="Times New Roman" w:cs="Times New Roman"/>
        </w:rPr>
        <w:t>Subjects of clauses were classified using an OOP approach,</w:t>
      </w:r>
      <w:r w:rsidR="006513A2" w:rsidRPr="00B60A04">
        <w:rPr>
          <w:rFonts w:ascii="Times New Roman" w:hAnsi="Times New Roman" w:cs="Times New Roman"/>
        </w:rPr>
        <w:t xml:space="preserve"> exemplified in Figure 2,</w:t>
      </w:r>
      <w:r w:rsidRPr="00B60A04">
        <w:rPr>
          <w:rFonts w:ascii="Times New Roman" w:hAnsi="Times New Roman" w:cs="Times New Roman"/>
        </w:rPr>
        <w:t xml:space="preserve"> which</w:t>
      </w:r>
      <w:r w:rsidR="00EE40C8" w:rsidRPr="00B60A04">
        <w:rPr>
          <w:rFonts w:ascii="Times New Roman" w:hAnsi="Times New Roman" w:cs="Times New Roman"/>
        </w:rPr>
        <w:t xml:space="preserve"> assisted in managing the large number of variables associated with determining a breach of the relevant provisions</w:t>
      </w:r>
      <w:r w:rsidR="006513A2" w:rsidRPr="00B60A04">
        <w:rPr>
          <w:rFonts w:ascii="Times New Roman" w:hAnsi="Times New Roman" w:cs="Times New Roman"/>
        </w:rPr>
        <w:t>.</w:t>
      </w:r>
      <w:r w:rsidR="006513A2">
        <w:rPr>
          <w:rFonts w:ascii="Times New Roman" w:hAnsi="Times New Roman" w:cs="Times New Roman"/>
          <w:sz w:val="24"/>
          <w:szCs w:val="24"/>
        </w:rPr>
        <w:t xml:space="preserve"> </w:t>
      </w:r>
    </w:p>
    <w:bookmarkStart w:id="6" w:name="_MON_1662987686"/>
    <w:bookmarkEnd w:id="6"/>
    <w:p w14:paraId="3201D01E" w14:textId="75FD53F9" w:rsidR="006513A2" w:rsidRDefault="0078672E" w:rsidP="006513A2">
      <w:pPr>
        <w:keepNext/>
        <w:spacing w:line="480" w:lineRule="auto"/>
        <w:jc w:val="both"/>
      </w:pPr>
      <w:r>
        <w:rPr>
          <w:rFonts w:ascii="Times New Roman" w:hAnsi="Times New Roman" w:cs="Times New Roman"/>
          <w:sz w:val="24"/>
          <w:szCs w:val="24"/>
        </w:rPr>
        <w:object w:dxaOrig="9026" w:dyaOrig="850" w14:anchorId="31315569">
          <v:shape id="_x0000_i1027" type="#_x0000_t75" style="width:451.35pt;height:42.4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DocumentMacroEnabled.12" ShapeID="_x0000_i1027" DrawAspect="Content" ObjectID="_1665571821" r:id="rId13"/>
        </w:object>
      </w:r>
    </w:p>
    <w:p w14:paraId="61DF5AB0" w14:textId="4D3BCD7B" w:rsidR="006513A2" w:rsidRPr="006513A2" w:rsidRDefault="006513A2" w:rsidP="006513A2">
      <w:pPr>
        <w:pStyle w:val="Caption"/>
        <w:jc w:val="both"/>
        <w:rPr>
          <w:rFonts w:ascii="Times New Roman" w:hAnsi="Times New Roman" w:cs="Times New Roman"/>
          <w:i w:val="0"/>
          <w:iCs w:val="0"/>
          <w:sz w:val="24"/>
          <w:szCs w:val="24"/>
        </w:rPr>
      </w:pPr>
      <w:r w:rsidRPr="006513A2">
        <w:rPr>
          <w:b/>
          <w:bCs/>
          <w:i w:val="0"/>
          <w:iCs w:val="0"/>
        </w:rPr>
        <w:t xml:space="preserve">Figure </w:t>
      </w:r>
      <w:r w:rsidR="00F86259">
        <w:rPr>
          <w:b/>
          <w:bCs/>
          <w:i w:val="0"/>
          <w:iCs w:val="0"/>
        </w:rPr>
        <w:t>IV-1</w:t>
      </w:r>
      <w:r>
        <w:rPr>
          <w:b/>
          <w:bCs/>
          <w:i w:val="0"/>
          <w:iCs w:val="0"/>
        </w:rPr>
        <w:t xml:space="preserve"> – </w:t>
      </w:r>
      <w:r>
        <w:rPr>
          <w:i w:val="0"/>
          <w:iCs w:val="0"/>
        </w:rPr>
        <w:t>A simple example of a class defining a trust. For the selected provisions, the relevant properties of a given trust are the number of trustees it had and whether it existed at the relevant time. The trust’s name is also included as a property for the purposes of the application’s UI and internal logic.</w:t>
      </w:r>
      <w:r w:rsidR="00F86259">
        <w:rPr>
          <w:i w:val="0"/>
          <w:iCs w:val="0"/>
        </w:rPr>
        <w:t xml:space="preserve"> </w:t>
      </w:r>
      <w:r w:rsidR="00F86259" w:rsidRPr="00F86259">
        <w:t>Compatible with Python 3. This code was developed by the author of the present article.</w:t>
      </w:r>
    </w:p>
    <w:p w14:paraId="04B74EE5" w14:textId="78B0208C" w:rsidR="00C94353" w:rsidRPr="00B60A04" w:rsidRDefault="00EE40C8" w:rsidP="00F66BD4">
      <w:pPr>
        <w:spacing w:line="480" w:lineRule="auto"/>
        <w:jc w:val="both"/>
        <w:rPr>
          <w:rFonts w:ascii="Times New Roman" w:hAnsi="Times New Roman" w:cs="Times New Roman"/>
        </w:rPr>
      </w:pPr>
      <w:r w:rsidRPr="00B60A04">
        <w:rPr>
          <w:rFonts w:ascii="Times New Roman" w:hAnsi="Times New Roman" w:cs="Times New Roman"/>
        </w:rPr>
        <w:t xml:space="preserve">Further, the OOP approach suited a module-based structure in which, generally, each relevant section of the </w:t>
      </w:r>
      <w:r w:rsidRPr="00B60A04">
        <w:rPr>
          <w:rFonts w:ascii="Times New Roman" w:hAnsi="Times New Roman" w:cs="Times New Roman"/>
          <w:i/>
          <w:iCs/>
        </w:rPr>
        <w:t>National Credit Act</w:t>
      </w:r>
      <w:r w:rsidRPr="00B60A04">
        <w:rPr>
          <w:rFonts w:ascii="Times New Roman" w:hAnsi="Times New Roman" w:cs="Times New Roman"/>
        </w:rPr>
        <w:t xml:space="preserve"> is coded as a separate function called from the main() program</w:t>
      </w:r>
      <w:r w:rsidR="003D7AEB" w:rsidRPr="00B60A04">
        <w:rPr>
          <w:rFonts w:ascii="Times New Roman" w:hAnsi="Times New Roman" w:cs="Times New Roman"/>
        </w:rPr>
        <w:t xml:space="preserve">, </w:t>
      </w:r>
      <w:r w:rsidRPr="00B60A04">
        <w:rPr>
          <w:rFonts w:ascii="Times New Roman" w:hAnsi="Times New Roman" w:cs="Times New Roman"/>
        </w:rPr>
        <w:t>a task which would have been significantly more difficult if variables were to be supplied and returned individually instead of as object properties. In addition to making the code generally easier to follow, this modul</w:t>
      </w:r>
      <w:r w:rsidR="003D7AEB" w:rsidRPr="00B60A04">
        <w:rPr>
          <w:rFonts w:ascii="Times New Roman" w:hAnsi="Times New Roman" w:cs="Times New Roman"/>
        </w:rPr>
        <w:t>ar</w:t>
      </w:r>
      <w:r w:rsidRPr="00B60A04">
        <w:rPr>
          <w:rFonts w:ascii="Times New Roman" w:hAnsi="Times New Roman" w:cs="Times New Roman"/>
        </w:rPr>
        <w:t xml:space="preserve"> approach</w:t>
      </w:r>
      <w:r w:rsidR="003D7AEB" w:rsidRPr="00B60A04">
        <w:rPr>
          <w:rFonts w:ascii="Times New Roman" w:hAnsi="Times New Roman" w:cs="Times New Roman"/>
        </w:rPr>
        <w:t>, an example of which is seen in Figure 2,</w:t>
      </w:r>
      <w:r w:rsidRPr="00B60A04">
        <w:rPr>
          <w:rFonts w:ascii="Times New Roman" w:hAnsi="Times New Roman" w:cs="Times New Roman"/>
        </w:rPr>
        <w:t xml:space="preserve"> allows for ease of modification in the debugging process or in the case of amendments to the legislation.</w:t>
      </w:r>
    </w:p>
    <w:bookmarkStart w:id="7" w:name="_MON_1662980153"/>
    <w:bookmarkEnd w:id="7"/>
    <w:p w14:paraId="3BC0C222" w14:textId="133E2CEA" w:rsidR="00802FF4" w:rsidRDefault="00B93D50" w:rsidP="00802FF4">
      <w:pPr>
        <w:keepNext/>
        <w:spacing w:line="480" w:lineRule="auto"/>
        <w:jc w:val="both"/>
      </w:pPr>
      <w:r>
        <w:rPr>
          <w:rFonts w:ascii="Times New Roman" w:hAnsi="Times New Roman" w:cs="Times New Roman"/>
          <w:sz w:val="24"/>
          <w:szCs w:val="24"/>
        </w:rPr>
        <w:object w:dxaOrig="9026" w:dyaOrig="1530" w14:anchorId="15C33698">
          <v:shape id="_x0000_i1028" type="#_x0000_t75" style="width:451.35pt;height:78.45pt" o:ole="" o:bordertopcolor="this" o:borderleftcolor="this" o:borderbottomcolor="this" o:borderrightcolor="this">
            <v:imagedata r:id="rId14" o:title="" cropbottom="-1624f"/>
            <w10:bordertop type="single" width="4"/>
            <w10:borderleft type="single" width="4"/>
            <w10:borderbottom type="single" width="4"/>
            <w10:borderright type="single" width="4"/>
          </v:shape>
          <o:OLEObject Type="Embed" ProgID="Word.DocumentMacroEnabled.12" ShapeID="_x0000_i1028" DrawAspect="Content" ObjectID="_1665571822" r:id="rId15"/>
        </w:object>
      </w:r>
    </w:p>
    <w:p w14:paraId="2DC8629F" w14:textId="3BC68894" w:rsidR="00EE40C8" w:rsidRDefault="00802FF4" w:rsidP="00802FF4">
      <w:pPr>
        <w:pStyle w:val="Caption"/>
        <w:jc w:val="both"/>
        <w:rPr>
          <w:i w:val="0"/>
          <w:iCs w:val="0"/>
        </w:rPr>
      </w:pPr>
      <w:r w:rsidRPr="00802FF4">
        <w:rPr>
          <w:b/>
          <w:bCs/>
          <w:i w:val="0"/>
          <w:iCs w:val="0"/>
        </w:rPr>
        <w:t xml:space="preserve">Figure </w:t>
      </w:r>
      <w:r w:rsidR="00F86259">
        <w:rPr>
          <w:b/>
          <w:bCs/>
          <w:i w:val="0"/>
          <w:iCs w:val="0"/>
        </w:rPr>
        <w:t>IV-2</w:t>
      </w:r>
      <w:r>
        <w:rPr>
          <w:b/>
          <w:bCs/>
          <w:i w:val="0"/>
          <w:iCs w:val="0"/>
        </w:rPr>
        <w:t xml:space="preserve"> </w:t>
      </w:r>
      <w:r>
        <w:rPr>
          <w:i w:val="0"/>
          <w:iCs w:val="0"/>
        </w:rPr>
        <w:t xml:space="preserve">– </w:t>
      </w:r>
      <w:r w:rsidR="00F9581E">
        <w:rPr>
          <w:i w:val="0"/>
          <w:iCs w:val="0"/>
        </w:rPr>
        <w:t>An example of the modular nature of the application is seen in this snippet which calls the s 131 function.</w:t>
      </w:r>
      <w:r w:rsidR="00F86259">
        <w:rPr>
          <w:i w:val="0"/>
          <w:iCs w:val="0"/>
        </w:rPr>
        <w:t xml:space="preserve"> </w:t>
      </w:r>
      <w:r w:rsidR="00F86259" w:rsidRPr="00F86259">
        <w:t>Compatible with Python 3. This code was developed by the author of the present article.</w:t>
      </w:r>
      <w:r w:rsidR="00F9581E">
        <w:rPr>
          <w:i w:val="0"/>
          <w:iCs w:val="0"/>
        </w:rPr>
        <w:t xml:space="preserve"> </w:t>
      </w:r>
    </w:p>
    <w:p w14:paraId="4224EDBF" w14:textId="1D0E1B73" w:rsidR="009163A1" w:rsidRDefault="00F9581E" w:rsidP="004F551B">
      <w:pPr>
        <w:spacing w:line="480" w:lineRule="auto"/>
        <w:jc w:val="both"/>
        <w:rPr>
          <w:rFonts w:ascii="Times New Roman" w:hAnsi="Times New Roman" w:cs="Times New Roman"/>
        </w:rPr>
      </w:pPr>
      <w:r w:rsidRPr="00F9581E">
        <w:rPr>
          <w:rFonts w:ascii="Times New Roman" w:hAnsi="Times New Roman" w:cs="Times New Roman"/>
        </w:rPr>
        <w:t xml:space="preserve">Here, each section is coded as a separate function which is called under certain conditions using relevant variables as arguments and returning any modified or new variables. Section 131 is only called </w:t>
      </w:r>
      <w:r>
        <w:rPr>
          <w:rFonts w:ascii="Times New Roman" w:hAnsi="Times New Roman" w:cs="Times New Roman"/>
        </w:rPr>
        <w:t>where</w:t>
      </w:r>
      <w:r w:rsidRPr="00F9581E">
        <w:rPr>
          <w:rFonts w:ascii="Times New Roman" w:hAnsi="Times New Roman" w:cs="Times New Roman"/>
        </w:rPr>
        <w:t xml:space="preserve"> a contract exists between two entities (the provider and debtor), and under that contract the provider</w:t>
      </w:r>
      <w:r>
        <w:rPr>
          <w:rFonts w:ascii="Times New Roman" w:hAnsi="Times New Roman" w:cs="Times New Roman"/>
        </w:rPr>
        <w:t>,</w:t>
      </w:r>
      <w:r w:rsidRPr="00F9581E">
        <w:rPr>
          <w:rFonts w:ascii="Times New Roman" w:hAnsi="Times New Roman" w:cs="Times New Roman"/>
        </w:rPr>
        <w:t xml:space="preserve"> </w:t>
      </w:r>
      <w:r>
        <w:rPr>
          <w:rFonts w:ascii="Times New Roman" w:hAnsi="Times New Roman" w:cs="Times New Roman"/>
        </w:rPr>
        <w:t>‘</w:t>
      </w:r>
      <w:r w:rsidRPr="00F9581E">
        <w:rPr>
          <w:rFonts w:ascii="Times New Roman" w:hAnsi="Times New Roman" w:cs="Times New Roman"/>
        </w:rPr>
        <w:t>Entities[0]</w:t>
      </w:r>
      <w:r>
        <w:rPr>
          <w:rFonts w:ascii="Times New Roman" w:hAnsi="Times New Roman" w:cs="Times New Roman"/>
        </w:rPr>
        <w:t>’,</w:t>
      </w:r>
      <w:r w:rsidRPr="00F9581E">
        <w:rPr>
          <w:rFonts w:ascii="Times New Roman" w:hAnsi="Times New Roman" w:cs="Times New Roman"/>
        </w:rPr>
        <w:t xml:space="preserve"> is both a credit provider and licensee as defined by the Act, while the </w:t>
      </w:r>
      <w:r>
        <w:rPr>
          <w:rFonts w:ascii="Times New Roman" w:hAnsi="Times New Roman" w:cs="Times New Roman"/>
        </w:rPr>
        <w:t>d</w:t>
      </w:r>
      <w:r w:rsidRPr="00F9581E">
        <w:rPr>
          <w:rFonts w:ascii="Times New Roman" w:hAnsi="Times New Roman" w:cs="Times New Roman"/>
        </w:rPr>
        <w:t>ebtor</w:t>
      </w:r>
      <w:r>
        <w:rPr>
          <w:rFonts w:ascii="Times New Roman" w:hAnsi="Times New Roman" w:cs="Times New Roman"/>
        </w:rPr>
        <w:t>, ‘</w:t>
      </w:r>
      <w:r w:rsidRPr="00F9581E">
        <w:rPr>
          <w:rFonts w:ascii="Times New Roman" w:hAnsi="Times New Roman" w:cs="Times New Roman"/>
        </w:rPr>
        <w:t>Entities[1]</w:t>
      </w:r>
      <w:r>
        <w:rPr>
          <w:rFonts w:ascii="Times New Roman" w:hAnsi="Times New Roman" w:cs="Times New Roman"/>
        </w:rPr>
        <w:t>’,</w:t>
      </w:r>
      <w:r w:rsidRPr="00F9581E">
        <w:rPr>
          <w:rFonts w:ascii="Times New Roman" w:hAnsi="Times New Roman" w:cs="Times New Roman"/>
        </w:rPr>
        <w:t xml:space="preserve"> is a consumer as defined by the Act, and finally, an assessment of the unsuitability of the contract for the provider has been made by the debtor. The function is provided with object arguments representing both parties, the contract and assessment, and integer arguments representing the currently accrued civil and criminal penalty units. When the function has completed running, it returns a list containing modifications to variables (such as the summed civil penalty units or properties of the contract) and the section’s local contraventions, which are then added to the list of all contraventions.</w:t>
      </w:r>
    </w:p>
    <w:p w14:paraId="413FD0D6" w14:textId="77777777" w:rsidR="002E748D" w:rsidRDefault="002E748D" w:rsidP="004F551B">
      <w:pPr>
        <w:spacing w:line="480" w:lineRule="auto"/>
        <w:jc w:val="both"/>
        <w:rPr>
          <w:rFonts w:ascii="Times New Roman" w:hAnsi="Times New Roman" w:cs="Times New Roman"/>
        </w:rPr>
      </w:pPr>
    </w:p>
    <w:p w14:paraId="58066E44" w14:textId="3E78FA3E" w:rsidR="00EA0668" w:rsidRPr="009163A1" w:rsidRDefault="007F6761" w:rsidP="004F551B">
      <w:pPr>
        <w:spacing w:line="480" w:lineRule="auto"/>
        <w:jc w:val="both"/>
        <w:rPr>
          <w:rFonts w:ascii="Times New Roman" w:hAnsi="Times New Roman" w:cs="Times New Roman"/>
        </w:rPr>
      </w:pPr>
      <w:r w:rsidRPr="009163A1">
        <w:rPr>
          <w:rFonts w:ascii="Times New Roman" w:hAnsi="Times New Roman" w:cs="Times New Roman"/>
        </w:rPr>
        <w:lastRenderedPageBreak/>
        <w:t>While attempts to code and compare the full application as informed by formalist and non-formalist theories respectively ultimately failed,</w:t>
      </w:r>
      <w:r w:rsidR="00EA0668" w:rsidRPr="009163A1">
        <w:rPr>
          <w:rFonts w:ascii="Times New Roman" w:hAnsi="Times New Roman" w:cs="Times New Roman"/>
        </w:rPr>
        <w:t xml:space="preserve"> clear distinctions between the approaches still became apparent in the process of encoding specific clauses</w:t>
      </w:r>
      <w:r w:rsidRPr="009163A1">
        <w:rPr>
          <w:rFonts w:ascii="Times New Roman" w:hAnsi="Times New Roman" w:cs="Times New Roman"/>
        </w:rPr>
        <w:t>.</w:t>
      </w:r>
      <w:r w:rsidR="00EA0668" w:rsidRPr="009163A1">
        <w:rPr>
          <w:rFonts w:ascii="Times New Roman" w:hAnsi="Times New Roman" w:cs="Times New Roman"/>
        </w:rPr>
        <w:t xml:space="preserve"> In such cases, code was written with regard to the principles of modern statutory interpretation which typically resulted in a non-formalist interpretation. Section 133, which prohibits licensees from entering, or increasing the credit limit of, unsuitable credit contracts, provided two examples of such interpretative decisions. </w:t>
      </w:r>
    </w:p>
    <w:p w14:paraId="1CACA1F7" w14:textId="1D12435A" w:rsidR="00EA0668" w:rsidRPr="009163A1" w:rsidRDefault="00EA0668" w:rsidP="004F551B">
      <w:pPr>
        <w:spacing w:line="480" w:lineRule="auto"/>
        <w:jc w:val="both"/>
        <w:rPr>
          <w:rFonts w:ascii="Times New Roman" w:hAnsi="Times New Roman" w:cs="Times New Roman"/>
        </w:rPr>
      </w:pPr>
      <w:r w:rsidRPr="009163A1">
        <w:rPr>
          <w:rFonts w:ascii="Times New Roman" w:hAnsi="Times New Roman" w:cs="Times New Roman"/>
        </w:rPr>
        <w:t>Section 133</w:t>
      </w:r>
      <w:r w:rsidR="00B15342" w:rsidRPr="009163A1">
        <w:rPr>
          <w:rFonts w:ascii="Times New Roman" w:hAnsi="Times New Roman" w:cs="Times New Roman"/>
        </w:rPr>
        <w:t xml:space="preserve"> is largely functionally identical to s131, which prescribes an obligation on licensees to assess a contract which is unsuitable for consumers as unsuitable. Both sections prescribe the prohibition and obligation respectively in subsection (1) and use subsections (2)-(4) to describe when a contract is unsuitable for the purposes of subsection (1). These subsections are nearly identical and have no functional difference, but s133 also includes an additional subsection which delegates power to the regulations</w:t>
      </w:r>
      <w:r w:rsidR="00B15342" w:rsidRPr="00DD0131">
        <w:rPr>
          <w:rStyle w:val="FootnoteReference"/>
        </w:rPr>
        <w:footnoteReference w:id="120"/>
      </w:r>
      <w:r w:rsidR="00B15342" w:rsidRPr="009163A1">
        <w:rPr>
          <w:rFonts w:ascii="Times New Roman" w:hAnsi="Times New Roman" w:cs="Times New Roman"/>
        </w:rPr>
        <w:t xml:space="preserve"> to “prescribe particular situations in which a credit contract is taken not to be unsuitable for a consumer”.</w:t>
      </w:r>
      <w:r w:rsidR="00B15342" w:rsidRPr="00DD0131">
        <w:rPr>
          <w:rStyle w:val="FootnoteReference"/>
        </w:rPr>
        <w:footnoteReference w:id="121"/>
      </w:r>
      <w:r w:rsidR="00B15342" w:rsidRPr="009163A1">
        <w:rPr>
          <w:rFonts w:ascii="Times New Roman" w:hAnsi="Times New Roman" w:cs="Times New Roman"/>
        </w:rPr>
        <w:t xml:space="preserve"> The resultant interpretative question thus became whether the regulations might be empowered to prescribe such situations in which </w:t>
      </w:r>
      <w:r w:rsidR="002A4EB9" w:rsidRPr="009163A1">
        <w:rPr>
          <w:rFonts w:ascii="Times New Roman" w:hAnsi="Times New Roman" w:cs="Times New Roman"/>
        </w:rPr>
        <w:t xml:space="preserve">a credit contract is not unsuitable for the purposes not just of s133, but also of s131. </w:t>
      </w:r>
      <w:r w:rsidR="00B15342" w:rsidRPr="009163A1">
        <w:rPr>
          <w:rFonts w:ascii="Times New Roman" w:hAnsi="Times New Roman" w:cs="Times New Roman"/>
        </w:rPr>
        <w:t>Lacking any limiting conditions such as “for the purposes of</w:t>
      </w:r>
      <w:r w:rsidR="002A4EB9" w:rsidRPr="009163A1">
        <w:rPr>
          <w:rFonts w:ascii="Times New Roman" w:hAnsi="Times New Roman" w:cs="Times New Roman"/>
        </w:rPr>
        <w:t xml:space="preserve"> this provision”, a strict formalist would likely argue in favour of applying this power to s131 as well, while a non-formalist might point out that the omission of subsection (5) in s131’s otherwise identical set of subsections defining when a contract is unsuitable is a deliberate indicator that Parliament did not intend for the regulations to be empowered to prescribe such circumstances for the purposes of s131. Lacking any clarity in the</w:t>
      </w:r>
      <w:r w:rsidR="0044571A">
        <w:rPr>
          <w:rFonts w:ascii="Times New Roman" w:hAnsi="Times New Roman" w:cs="Times New Roman"/>
        </w:rPr>
        <w:t xml:space="preserve"> regulations or</w:t>
      </w:r>
      <w:r w:rsidR="002A4EB9" w:rsidRPr="009163A1">
        <w:rPr>
          <w:rFonts w:ascii="Times New Roman" w:hAnsi="Times New Roman" w:cs="Times New Roman"/>
        </w:rPr>
        <w:t xml:space="preserve"> relevant explanatory memoranda,</w:t>
      </w:r>
      <w:r w:rsidR="002A4EB9" w:rsidRPr="00DD0131">
        <w:rPr>
          <w:rStyle w:val="FootnoteReference"/>
        </w:rPr>
        <w:footnoteReference w:id="122"/>
      </w:r>
      <w:r w:rsidR="002A4EB9" w:rsidRPr="009163A1">
        <w:rPr>
          <w:rFonts w:ascii="Times New Roman" w:hAnsi="Times New Roman" w:cs="Times New Roman"/>
        </w:rPr>
        <w:t xml:space="preserve"> it was ultimately determined that the modern principles of statutory interpretation aligned with the non-formalist approach to this particular issue, and thus, the application was coded accordingly.</w:t>
      </w:r>
    </w:p>
    <w:p w14:paraId="16A9F202" w14:textId="6D746B96" w:rsidR="00DD0BAB" w:rsidRPr="009163A1" w:rsidRDefault="002A4EB9" w:rsidP="004F551B">
      <w:pPr>
        <w:spacing w:line="480" w:lineRule="auto"/>
        <w:jc w:val="both"/>
        <w:rPr>
          <w:rFonts w:ascii="Times New Roman" w:hAnsi="Times New Roman" w:cs="Times New Roman"/>
        </w:rPr>
      </w:pPr>
      <w:r w:rsidRPr="009163A1">
        <w:rPr>
          <w:rFonts w:ascii="Times New Roman" w:hAnsi="Times New Roman" w:cs="Times New Roman"/>
        </w:rPr>
        <w:lastRenderedPageBreak/>
        <w:t>A similar example arose out of s133(6), which prescribes a criminal penalty of two years imprisonment where a ‘person’ subject to s133(1)</w:t>
      </w:r>
      <w:r w:rsidRPr="00DD0131">
        <w:rPr>
          <w:rStyle w:val="FootnoteReference"/>
        </w:rPr>
        <w:footnoteReference w:id="123"/>
      </w:r>
      <w:r w:rsidRPr="009163A1">
        <w:rPr>
          <w:rFonts w:ascii="Times New Roman" w:hAnsi="Times New Roman" w:cs="Times New Roman"/>
        </w:rPr>
        <w:t xml:space="preserve"> engages in conduct</w:t>
      </w:r>
      <w:r w:rsidRPr="00DD0131">
        <w:rPr>
          <w:rStyle w:val="FootnoteReference"/>
        </w:rPr>
        <w:footnoteReference w:id="124"/>
      </w:r>
      <w:r w:rsidRPr="009163A1">
        <w:rPr>
          <w:rFonts w:ascii="Times New Roman" w:hAnsi="Times New Roman" w:cs="Times New Roman"/>
        </w:rPr>
        <w:t xml:space="preserve"> which contravenes s133(1).</w:t>
      </w:r>
      <w:r w:rsidRPr="00DD0131">
        <w:rPr>
          <w:rStyle w:val="FootnoteReference"/>
        </w:rPr>
        <w:footnoteReference w:id="125"/>
      </w:r>
      <w:r w:rsidRPr="009163A1">
        <w:rPr>
          <w:rFonts w:ascii="Times New Roman" w:hAnsi="Times New Roman" w:cs="Times New Roman"/>
        </w:rPr>
        <w:t xml:space="preserve"> Given that, for the purposes of the Act, a ‘person’ need not be a natural person</w:t>
      </w:r>
      <w:r w:rsidR="00722D98" w:rsidRPr="00DD0131">
        <w:rPr>
          <w:rStyle w:val="FootnoteReference"/>
        </w:rPr>
        <w:footnoteReference w:id="126"/>
      </w:r>
      <w:r w:rsidR="00722D98" w:rsidRPr="009163A1">
        <w:rPr>
          <w:rFonts w:ascii="Times New Roman" w:hAnsi="Times New Roman" w:cs="Times New Roman"/>
        </w:rPr>
        <w:t xml:space="preserve"> it was necessary to convert this penalty to one which could apply to all entities</w:t>
      </w:r>
      <w:r w:rsidR="007028EF" w:rsidRPr="009163A1">
        <w:rPr>
          <w:rFonts w:ascii="Times New Roman" w:hAnsi="Times New Roman" w:cs="Times New Roman"/>
        </w:rPr>
        <w:t xml:space="preserve">, an effort which </w:t>
      </w:r>
      <w:r w:rsidR="00805826" w:rsidRPr="009163A1">
        <w:rPr>
          <w:rFonts w:ascii="Times New Roman" w:hAnsi="Times New Roman" w:cs="Times New Roman"/>
        </w:rPr>
        <w:t>is informed</w:t>
      </w:r>
      <w:r w:rsidR="007028EF" w:rsidRPr="009163A1">
        <w:rPr>
          <w:rFonts w:ascii="Times New Roman" w:hAnsi="Times New Roman" w:cs="Times New Roman"/>
        </w:rPr>
        <w:t xml:space="preserve"> through </w:t>
      </w:r>
      <w:r w:rsidR="00805826" w:rsidRPr="009163A1">
        <w:rPr>
          <w:rFonts w:ascii="Times New Roman" w:hAnsi="Times New Roman" w:cs="Times New Roman"/>
        </w:rPr>
        <w:t>rejection of</w:t>
      </w:r>
      <w:r w:rsidR="007028EF" w:rsidRPr="009163A1">
        <w:rPr>
          <w:rFonts w:ascii="Times New Roman" w:hAnsi="Times New Roman" w:cs="Times New Roman"/>
        </w:rPr>
        <w:t xml:space="preserve"> strict formalism</w:t>
      </w:r>
      <w:r w:rsidR="00DD0BAB" w:rsidRPr="009163A1">
        <w:rPr>
          <w:rFonts w:ascii="Times New Roman" w:hAnsi="Times New Roman" w:cs="Times New Roman"/>
        </w:rPr>
        <w:t xml:space="preserve"> and </w:t>
      </w:r>
      <w:r w:rsidR="00805826" w:rsidRPr="009163A1">
        <w:rPr>
          <w:rFonts w:ascii="Times New Roman" w:hAnsi="Times New Roman" w:cs="Times New Roman"/>
        </w:rPr>
        <w:t>consideration of</w:t>
      </w:r>
      <w:r w:rsidR="00DD0BAB" w:rsidRPr="009163A1">
        <w:rPr>
          <w:rFonts w:ascii="Times New Roman" w:hAnsi="Times New Roman" w:cs="Times New Roman"/>
        </w:rPr>
        <w:t xml:space="preserve"> explanatory memoranda. Where a provision such as s133(6) prescribes imprisonment as a punishment for offence, the </w:t>
      </w:r>
      <w:r w:rsidR="00DD0BAB" w:rsidRPr="009163A1">
        <w:rPr>
          <w:rFonts w:ascii="Times New Roman" w:hAnsi="Times New Roman" w:cs="Times New Roman"/>
          <w:i/>
          <w:iCs/>
        </w:rPr>
        <w:t xml:space="preserve">Crimes Act 1914 </w:t>
      </w:r>
      <w:r w:rsidR="00DD0BAB" w:rsidRPr="009163A1">
        <w:rPr>
          <w:rFonts w:ascii="Times New Roman" w:hAnsi="Times New Roman" w:cs="Times New Roman"/>
        </w:rPr>
        <w:t xml:space="preserve">(Cth) (“the </w:t>
      </w:r>
      <w:r w:rsidR="00DD0BAB" w:rsidRPr="009163A1">
        <w:rPr>
          <w:rFonts w:ascii="Times New Roman" w:hAnsi="Times New Roman" w:cs="Times New Roman"/>
          <w:i/>
          <w:iCs/>
        </w:rPr>
        <w:t>Crimes Act</w:t>
      </w:r>
      <w:r w:rsidR="00DD0BAB" w:rsidRPr="009163A1">
        <w:rPr>
          <w:rFonts w:ascii="Times New Roman" w:hAnsi="Times New Roman" w:cs="Times New Roman"/>
        </w:rPr>
        <w:t>”) empowers the courts to instead convert the imprisonment period to penalty units per Equation (1):</w:t>
      </w:r>
      <w:r w:rsidR="008F443E" w:rsidRPr="00DD0131">
        <w:rPr>
          <w:rStyle w:val="FootnoteReference"/>
        </w:rPr>
        <w:footnoteReference w:id="127"/>
      </w:r>
    </w:p>
    <w:p w14:paraId="2A02DE63" w14:textId="70870532" w:rsidR="00DD0BAB" w:rsidRDefault="00DD0BAB" w:rsidP="004F551B">
      <w:pPr>
        <w:spacing w:line="480" w:lineRule="auto"/>
        <w:jc w:val="both"/>
      </w:pPr>
      <w:r w:rsidRPr="00B11197">
        <w:rPr>
          <w:rFonts w:eastAsiaTheme="minorEastAsia"/>
          <w:noProof/>
          <w:sz w:val="24"/>
          <w:szCs w:val="24"/>
        </w:rPr>
        <mc:AlternateContent>
          <mc:Choice Requires="wpg">
            <w:drawing>
              <wp:inline distT="0" distB="0" distL="0" distR="0" wp14:anchorId="06DF2FFA" wp14:editId="4CB1EE6E">
                <wp:extent cx="5731510" cy="1057110"/>
                <wp:effectExtent l="0" t="0" r="2540" b="0"/>
                <wp:docPr id="1" name="Group 1"/>
                <wp:cNvGraphicFramePr/>
                <a:graphic xmlns:a="http://schemas.openxmlformats.org/drawingml/2006/main">
                  <a:graphicData uri="http://schemas.microsoft.com/office/word/2010/wordprocessingGroup">
                    <wpg:wgp>
                      <wpg:cNvGrpSpPr/>
                      <wpg:grpSpPr>
                        <a:xfrm>
                          <a:off x="0" y="0"/>
                          <a:ext cx="5731510" cy="1057110"/>
                          <a:chOff x="-119062" y="0"/>
                          <a:chExt cx="6306248" cy="633095"/>
                        </a:xfrm>
                      </wpg:grpSpPr>
                      <wps:wsp>
                        <wps:cNvPr id="2" name="Text Box 2"/>
                        <wps:cNvSpPr txBox="1">
                          <a:spLocks noChangeArrowheads="1"/>
                        </wps:cNvSpPr>
                        <wps:spPr bwMode="auto">
                          <a:xfrm>
                            <a:off x="5715000" y="0"/>
                            <a:ext cx="472186" cy="633095"/>
                          </a:xfrm>
                          <a:prstGeom prst="rect">
                            <a:avLst/>
                          </a:prstGeom>
                          <a:solidFill>
                            <a:srgbClr val="FFFFFF"/>
                          </a:solidFill>
                          <a:ln w="9525">
                            <a:noFill/>
                            <a:miter lim="800000"/>
                            <a:headEnd/>
                            <a:tailEnd/>
                          </a:ln>
                        </wps:spPr>
                        <wps:txbx>
                          <w:txbxContent>
                            <w:p w14:paraId="49DF4E17" w14:textId="77777777" w:rsidR="004538FF" w:rsidRPr="00C555B3" w:rsidRDefault="004538FF" w:rsidP="00DD0BAB">
                              <w:pPr>
                                <w:jc w:val="center"/>
                                <w:rPr>
                                  <w:b/>
                                  <w:bCs/>
                                </w:rPr>
                              </w:pPr>
                              <w:r w:rsidRPr="00C555B3">
                                <w:rPr>
                                  <w:b/>
                                  <w:bCs/>
                                </w:rPr>
                                <w:t>(</w:t>
                              </w:r>
                              <w:r>
                                <w:rPr>
                                  <w:b/>
                                  <w:bCs/>
                                </w:rPr>
                                <w:t>1</w:t>
                              </w:r>
                              <w:r w:rsidRPr="00C555B3">
                                <w:rPr>
                                  <w:b/>
                                  <w:bCs/>
                                </w:rPr>
                                <w:t>)</w:t>
                              </w:r>
                            </w:p>
                          </w:txbxContent>
                        </wps:txbx>
                        <wps:bodyPr rot="0" vert="horz" wrap="square" lIns="91440" tIns="45720" rIns="91440" bIns="45720" anchor="ctr" anchorCtr="0">
                          <a:noAutofit/>
                        </wps:bodyPr>
                      </wps:wsp>
                      <wps:wsp>
                        <wps:cNvPr id="3" name="Text Box 3"/>
                        <wps:cNvSpPr txBox="1"/>
                        <wps:spPr>
                          <a:xfrm>
                            <a:off x="-119062" y="0"/>
                            <a:ext cx="5834062" cy="633002"/>
                          </a:xfrm>
                          <a:prstGeom prst="rect">
                            <a:avLst/>
                          </a:prstGeom>
                          <a:solidFill>
                            <a:schemeClr val="lt1"/>
                          </a:solidFill>
                          <a:ln w="6350">
                            <a:noFill/>
                          </a:ln>
                        </wps:spPr>
                        <wps:txbx>
                          <w:txbxContent>
                            <w:p w14:paraId="68A29BCF" w14:textId="47C55D4F" w:rsidR="004538FF" w:rsidRPr="00DD0BAB" w:rsidRDefault="004538FF" w:rsidP="00DD0BAB">
                              <w:pPr>
                                <w:spacing w:line="276" w:lineRule="auto"/>
                                <w:rPr>
                                  <w:iCs/>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 xml:space="preserve">  =5× </m:t>
                                  </m:r>
                                  <m:r>
                                    <m:rPr>
                                      <m:sty m:val="p"/>
                                    </m:rPr>
                                    <w:rPr>
                                      <w:rFonts w:ascii="Cambria Math" w:hAnsi="Cambria Math"/>
                                    </w:rPr>
                                    <m:t>Term of Imprisonment</m:t>
                                  </m:r>
                                </m:oMath>
                              </m:oMathPara>
                            </w:p>
                            <w:p w14:paraId="41405154" w14:textId="77777777" w:rsidR="004538FF" w:rsidRPr="008C60A9" w:rsidRDefault="004538FF" w:rsidP="00DD0BAB">
                              <w:pPr>
                                <w:ind w:left="720"/>
                                <w:rPr>
                                  <w:rFonts w:eastAsiaTheme="minorEastAsia"/>
                                </w:rPr>
                              </w:pPr>
                              <w:r w:rsidRPr="00952AAF">
                                <w:rPr>
                                  <w:rFonts w:ascii="Times New Roman" w:hAnsi="Times New Roman" w:cs="Times New Roman"/>
                                </w:rPr>
                                <w:t>Where</w:t>
                              </w:r>
                              <w:r w:rsidRPr="008C60A9">
                                <w:t xml:space="preserve">: </w:t>
                              </w:r>
                            </w:p>
                            <w:p w14:paraId="3C0B814D" w14:textId="03E3DE36" w:rsidR="004538FF" w:rsidRPr="008C60A9" w:rsidRDefault="004538FF" w:rsidP="00DD0BAB">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eastAsiaTheme="minorEastAsia"/>
                                </w:rPr>
                                <w:t xml:space="preserve"> = </w:t>
                              </w:r>
                              <w:r w:rsidRPr="00952AAF">
                                <w:rPr>
                                  <w:rFonts w:ascii="Times New Roman" w:eastAsiaTheme="minorEastAsia" w:hAnsi="Times New Roman" w:cs="Times New Roman"/>
                                </w:rPr>
                                <w:t>The maximum number of criminal penalty units which may be imposed by the court.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6DF2FFA" id="Group 1" o:spid="_x0000_s1026" style="width:451.3pt;height:83.25pt;mso-position-horizontal-relative:char;mso-position-vertical-relative:line" coordorigin="-1190" coordsize="63062,6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">
                <v:shapetype id="_x0000_t202" coordsize="21600,21600" o:spt="202" path="m,l,21600r21600,l21600,xe">
                  <v:stroke joinstyle="miter"/>
                  <v:path gradientshapeok="t" o:connecttype="rect"/>
                </v:shapetype>
                <v:shape id="Text Box 2" o:spid="_x0000_s1027" type="#_x0000_t202" style="position:absolute;left:57150;width:4721;height:6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" stroked="f">
                  <v:textbox>
                    <w:txbxContent>
                      <w:p w14:paraId="49DF4E17" w14:textId="77777777" w:rsidR="004538FF" w:rsidRPr="00C555B3" w:rsidRDefault="004538FF" w:rsidP="00DD0BAB">
                        <w:pPr>
                          <w:jc w:val="center"/>
                          <w:rPr>
                            <w:b/>
                            <w:bCs/>
                          </w:rPr>
                        </w:pPr>
                        <w:r w:rsidRPr="00C555B3">
                          <w:rPr>
                            <w:b/>
                            <w:bCs/>
                          </w:rPr>
                          <w:t>(</w:t>
                        </w:r>
                        <w:r>
                          <w:rPr>
                            <w:b/>
                            <w:bCs/>
                          </w:rPr>
                          <w:t>1</w:t>
                        </w:r>
                        <w:r w:rsidRPr="00C555B3">
                          <w:rPr>
                            <w:b/>
                            <w:bCs/>
                          </w:rPr>
                          <w:t>)</w:t>
                        </w:r>
                      </w:p>
                    </w:txbxContent>
                  </v:textbox>
                </v:shape>
                <v:shape id="Text Box 3" o:spid="_x0000_s1028" type="#_x0000_t202" style="position:absolute;left:-1190;width:58340;height:6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68A29BCF" w14:textId="47C55D4F" w:rsidR="004538FF" w:rsidRPr="00DD0BAB" w:rsidRDefault="004538FF" w:rsidP="00DD0BAB">
                        <w:pPr>
                          <w:spacing w:line="276" w:lineRule="auto"/>
                          <w:rPr>
                            <w:iCs/>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 xml:space="preserve">  =5× </m:t>
                            </m:r>
                            <m:r>
                              <m:rPr>
                                <m:sty m:val="p"/>
                              </m:rPr>
                              <w:rPr>
                                <w:rFonts w:ascii="Cambria Math" w:hAnsi="Cambria Math"/>
                              </w:rPr>
                              <m:t>Term of Imprisonment</m:t>
                            </m:r>
                          </m:oMath>
                        </m:oMathPara>
                      </w:p>
                      <w:p w14:paraId="41405154" w14:textId="77777777" w:rsidR="004538FF" w:rsidRPr="008C60A9" w:rsidRDefault="004538FF" w:rsidP="00DD0BAB">
                        <w:pPr>
                          <w:ind w:left="720"/>
                          <w:rPr>
                            <w:rFonts w:eastAsiaTheme="minorEastAsia"/>
                          </w:rPr>
                        </w:pPr>
                        <w:r w:rsidRPr="00952AAF">
                          <w:rPr>
                            <w:rFonts w:ascii="Times New Roman" w:hAnsi="Times New Roman" w:cs="Times New Roman"/>
                          </w:rPr>
                          <w:t>Where</w:t>
                        </w:r>
                        <w:r w:rsidRPr="008C60A9">
                          <w:t xml:space="preserve">: </w:t>
                        </w:r>
                      </w:p>
                      <w:p w14:paraId="3C0B814D" w14:textId="03E3DE36" w:rsidR="004538FF" w:rsidRPr="008C60A9" w:rsidRDefault="004538FF" w:rsidP="00DD0BAB">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eastAsiaTheme="minorEastAsia"/>
                          </w:rPr>
                          <w:t xml:space="preserve"> = </w:t>
                        </w:r>
                        <w:r w:rsidRPr="00952AAF">
                          <w:rPr>
                            <w:rFonts w:ascii="Times New Roman" w:eastAsiaTheme="minorEastAsia" w:hAnsi="Times New Roman" w:cs="Times New Roman"/>
                          </w:rPr>
                          <w:t>The maximum number of criminal penalty units which may be imposed by the court.</w:t>
                        </w:r>
                      </w:p>
                    </w:txbxContent>
                  </v:textbox>
                </v:shape>
                <w10:anchorlock/>
              </v:group>
            </w:pict>
          </mc:Fallback>
        </mc:AlternateContent>
      </w:r>
    </w:p>
    <w:p w14:paraId="29C947DE" w14:textId="49BB73A1" w:rsidR="00DD0BAB" w:rsidRPr="009163A1" w:rsidRDefault="00805826" w:rsidP="004F551B">
      <w:pPr>
        <w:spacing w:line="480" w:lineRule="auto"/>
        <w:jc w:val="both"/>
        <w:rPr>
          <w:rFonts w:ascii="Times New Roman" w:hAnsi="Times New Roman" w:cs="Times New Roman"/>
        </w:rPr>
      </w:pPr>
      <w:r w:rsidRPr="009163A1">
        <w:rPr>
          <w:rFonts w:ascii="Times New Roman" w:hAnsi="Times New Roman" w:cs="Times New Roman"/>
        </w:rPr>
        <w:t xml:space="preserve">Section 4(3) of the </w:t>
      </w:r>
      <w:r w:rsidRPr="009163A1">
        <w:rPr>
          <w:rFonts w:ascii="Times New Roman" w:hAnsi="Times New Roman" w:cs="Times New Roman"/>
          <w:i/>
          <w:iCs/>
        </w:rPr>
        <w:t xml:space="preserve">Crimes Act </w:t>
      </w:r>
      <w:r w:rsidRPr="009163A1">
        <w:rPr>
          <w:rFonts w:ascii="Times New Roman" w:hAnsi="Times New Roman" w:cs="Times New Roman"/>
        </w:rPr>
        <w:t xml:space="preserve">further </w:t>
      </w:r>
      <w:r w:rsidR="00E6172A" w:rsidRPr="009163A1">
        <w:rPr>
          <w:rFonts w:ascii="Times New Roman" w:hAnsi="Times New Roman" w:cs="Times New Roman"/>
        </w:rPr>
        <w:t>establishes a relationship between</w:t>
      </w:r>
      <w:r w:rsidRPr="009163A1">
        <w:rPr>
          <w:rFonts w:ascii="Times New Roman" w:hAnsi="Times New Roman" w:cs="Times New Roman"/>
        </w:rPr>
        <w:t xml:space="preserve"> the maximum pecuniary penalty for a body corporate</w:t>
      </w:r>
      <w:r w:rsidR="00E6172A" w:rsidRPr="009163A1">
        <w:rPr>
          <w:rFonts w:ascii="Times New Roman" w:hAnsi="Times New Roman" w:cs="Times New Roman"/>
        </w:rPr>
        <w:t xml:space="preserve"> and that for a natural person. One might correctly assume that the conversion set out in subsection (2) should therefore indicate that a similar conversion can be applied to body corporates, but this could ultimately only be confirmed through consideration of the explanatory memorandum.</w:t>
      </w:r>
      <w:r w:rsidR="00E6172A" w:rsidRPr="00DD0131">
        <w:rPr>
          <w:rStyle w:val="FootnoteReference"/>
        </w:rPr>
        <w:footnoteReference w:id="128"/>
      </w:r>
    </w:p>
    <w:p w14:paraId="6C385DB9" w14:textId="32F54CF5" w:rsidR="00EA0668" w:rsidRPr="009163A1" w:rsidRDefault="00F5099E" w:rsidP="004F551B">
      <w:pPr>
        <w:spacing w:line="480" w:lineRule="auto"/>
        <w:jc w:val="both"/>
        <w:rPr>
          <w:rFonts w:ascii="Times New Roman" w:hAnsi="Times New Roman" w:cs="Times New Roman"/>
        </w:rPr>
      </w:pPr>
      <w:r w:rsidRPr="009163A1">
        <w:rPr>
          <w:rFonts w:ascii="Times New Roman" w:hAnsi="Times New Roman" w:cs="Times New Roman"/>
        </w:rPr>
        <w:t>Additional interpretative issues arose</w:t>
      </w:r>
      <w:r w:rsidR="00967D72" w:rsidRPr="009163A1">
        <w:rPr>
          <w:rFonts w:ascii="Times New Roman" w:hAnsi="Times New Roman" w:cs="Times New Roman"/>
        </w:rPr>
        <w:t xml:space="preserve"> which were better addressed through deferral to caselaw, such as determining whether a breach has occurred under s131 in the absence of any preliminary assessment.</w:t>
      </w:r>
      <w:r w:rsidR="00D04259" w:rsidRPr="009163A1">
        <w:rPr>
          <w:rFonts w:ascii="Times New Roman" w:hAnsi="Times New Roman" w:cs="Times New Roman"/>
        </w:rPr>
        <w:t xml:space="preserve"> While the lack of an assessment in the relevant circumstances would certainly result in a s128 breach,</w:t>
      </w:r>
      <w:r w:rsidR="00967D72" w:rsidRPr="009163A1">
        <w:rPr>
          <w:rFonts w:ascii="Times New Roman" w:hAnsi="Times New Roman" w:cs="Times New Roman"/>
        </w:rPr>
        <w:t xml:space="preserve"> </w:t>
      </w:r>
      <w:r w:rsidR="00D04259" w:rsidRPr="009163A1">
        <w:rPr>
          <w:rFonts w:ascii="Times New Roman" w:hAnsi="Times New Roman" w:cs="Times New Roman"/>
        </w:rPr>
        <w:t xml:space="preserve">the temporal nature of s131(2), enshrined in the phrasing, “the contract will be unsuitable for the consumer if, at the time of the assessment,” would suggest that no breach would occur under s131(1). </w:t>
      </w:r>
      <w:r w:rsidR="00D04259" w:rsidRPr="009163A1">
        <w:rPr>
          <w:rFonts w:ascii="Times New Roman" w:hAnsi="Times New Roman" w:cs="Times New Roman"/>
        </w:rPr>
        <w:lastRenderedPageBreak/>
        <w:t>This interpretation might seem counterintuitive and at odds with Parliament’s intent,</w:t>
      </w:r>
      <w:r w:rsidR="00D04259" w:rsidRPr="00DD0131">
        <w:rPr>
          <w:rStyle w:val="FootnoteReference"/>
        </w:rPr>
        <w:footnoteReference w:id="129"/>
      </w:r>
      <w:r w:rsidR="00D04259" w:rsidRPr="009163A1">
        <w:rPr>
          <w:rFonts w:ascii="Times New Roman" w:hAnsi="Times New Roman" w:cs="Times New Roman"/>
        </w:rPr>
        <w:t xml:space="preserve"> as it functionally punishes licensees who conduct insufficient assessments moreso than those who conduct no assessment whatsoever.</w:t>
      </w:r>
      <w:r w:rsidR="00A03648" w:rsidRPr="00DD0131">
        <w:rPr>
          <w:rStyle w:val="FootnoteReference"/>
        </w:rPr>
        <w:footnoteReference w:id="130"/>
      </w:r>
      <w:r w:rsidR="00D04259" w:rsidRPr="009163A1">
        <w:rPr>
          <w:rFonts w:ascii="Times New Roman" w:hAnsi="Times New Roman" w:cs="Times New Roman"/>
        </w:rPr>
        <w:t xml:space="preserve"> Despite this,</w:t>
      </w:r>
      <w:r w:rsidR="00B16671" w:rsidRPr="009163A1">
        <w:rPr>
          <w:rFonts w:ascii="Times New Roman" w:hAnsi="Times New Roman" w:cs="Times New Roman"/>
        </w:rPr>
        <w:t xml:space="preserve"> when such facts came before the Federal Court in </w:t>
      </w:r>
      <w:r w:rsidR="00B16671" w:rsidRPr="009163A1">
        <w:rPr>
          <w:rFonts w:ascii="Times New Roman" w:hAnsi="Times New Roman" w:cs="Times New Roman"/>
          <w:i/>
          <w:iCs/>
        </w:rPr>
        <w:t>Australian Securities and Investments Commission v Cash Store Pty Ltd (in liquidation)</w:t>
      </w:r>
      <w:r w:rsidR="00B16671" w:rsidRPr="00DD0131">
        <w:rPr>
          <w:rStyle w:val="FootnoteReference"/>
        </w:rPr>
        <w:footnoteReference w:id="131"/>
      </w:r>
      <w:r w:rsidR="00FC5FB5" w:rsidRPr="009163A1">
        <w:rPr>
          <w:rFonts w:ascii="Times New Roman" w:hAnsi="Times New Roman" w:cs="Times New Roman"/>
          <w:i/>
          <w:iCs/>
        </w:rPr>
        <w:t xml:space="preserve"> </w:t>
      </w:r>
      <w:r w:rsidR="00FC5FB5" w:rsidRPr="009163A1">
        <w:rPr>
          <w:rFonts w:ascii="Times New Roman" w:hAnsi="Times New Roman" w:cs="Times New Roman"/>
        </w:rPr>
        <w:t>(“</w:t>
      </w:r>
      <w:r w:rsidR="00FC5FB5" w:rsidRPr="009163A1">
        <w:rPr>
          <w:rFonts w:ascii="Times New Roman" w:hAnsi="Times New Roman" w:cs="Times New Roman"/>
          <w:i/>
          <w:iCs/>
        </w:rPr>
        <w:t>Cash Store</w:t>
      </w:r>
      <w:r w:rsidR="00FC5FB5" w:rsidRPr="009163A1">
        <w:rPr>
          <w:rFonts w:ascii="Times New Roman" w:hAnsi="Times New Roman" w:cs="Times New Roman"/>
        </w:rPr>
        <w:t>”)</w:t>
      </w:r>
      <w:r w:rsidR="00B16671" w:rsidRPr="009163A1">
        <w:rPr>
          <w:rFonts w:ascii="Times New Roman" w:hAnsi="Times New Roman" w:cs="Times New Roman"/>
        </w:rPr>
        <w:t xml:space="preserve"> the licensees, who had failed to make any preliminary assessments, were found to have breached ss128-130, but not s131.</w:t>
      </w:r>
      <w:r w:rsidR="00B16671" w:rsidRPr="00DD0131">
        <w:rPr>
          <w:rStyle w:val="FootnoteReference"/>
        </w:rPr>
        <w:footnoteReference w:id="132"/>
      </w:r>
      <w:r w:rsidR="00B16671" w:rsidRPr="009163A1">
        <w:rPr>
          <w:rFonts w:ascii="Times New Roman" w:hAnsi="Times New Roman" w:cs="Times New Roman"/>
        </w:rPr>
        <w:t xml:space="preserve"> In translating this decision to the application, the s131 function is thus only called where the ‘assessment.exists’ property is true, as in Figure 4.</w:t>
      </w:r>
    </w:p>
    <w:bookmarkStart w:id="8" w:name="_MON_1663064899"/>
    <w:bookmarkEnd w:id="8"/>
    <w:p w14:paraId="09767229" w14:textId="77777777" w:rsidR="00B16671" w:rsidRDefault="00B16671" w:rsidP="00B16671">
      <w:pPr>
        <w:keepNext/>
        <w:jc w:val="both"/>
      </w:pPr>
      <w:r>
        <w:rPr>
          <w:i/>
          <w:iCs/>
        </w:rPr>
        <w:object w:dxaOrig="9026" w:dyaOrig="680" w14:anchorId="31178D57">
          <v:shape id="_x0000_i1029" type="#_x0000_t75" style="width:451.35pt;height:34.4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Word.DocumentMacroEnabled.12" ShapeID="_x0000_i1029" DrawAspect="Content" ObjectID="_1665571823" r:id="rId17"/>
        </w:object>
      </w:r>
    </w:p>
    <w:p w14:paraId="08A2E29D" w14:textId="6E558227" w:rsidR="00B16671" w:rsidRPr="00B16671" w:rsidRDefault="00B16671" w:rsidP="00B16671">
      <w:pPr>
        <w:pStyle w:val="Caption"/>
        <w:jc w:val="both"/>
        <w:rPr>
          <w:b/>
          <w:bCs/>
          <w:i w:val="0"/>
          <w:iCs w:val="0"/>
        </w:rPr>
      </w:pPr>
      <w:r w:rsidRPr="00B16671">
        <w:rPr>
          <w:b/>
          <w:bCs/>
          <w:i w:val="0"/>
          <w:iCs w:val="0"/>
        </w:rPr>
        <w:t xml:space="preserve">Figure </w:t>
      </w:r>
      <w:r w:rsidR="00F86259">
        <w:rPr>
          <w:b/>
          <w:bCs/>
          <w:i w:val="0"/>
          <w:iCs w:val="0"/>
        </w:rPr>
        <w:t>IV-3</w:t>
      </w:r>
      <w:r w:rsidRPr="00B16671">
        <w:rPr>
          <w:b/>
          <w:bCs/>
          <w:i w:val="0"/>
          <w:iCs w:val="0"/>
        </w:rPr>
        <w:t xml:space="preserve"> – </w:t>
      </w:r>
      <w:r w:rsidR="00FC5FB5">
        <w:rPr>
          <w:i w:val="0"/>
          <w:iCs w:val="0"/>
        </w:rPr>
        <w:t xml:space="preserve">In consistence with the </w:t>
      </w:r>
      <w:r w:rsidR="00FC5FB5">
        <w:t>Cash Store</w:t>
      </w:r>
      <w:r w:rsidR="00FC5FB5">
        <w:rPr>
          <w:i w:val="0"/>
          <w:iCs w:val="0"/>
        </w:rPr>
        <w:t xml:space="preserve"> judgement, s131 is only evaluated where a relevant assessment exists.</w:t>
      </w:r>
      <w:r w:rsidR="00F86259">
        <w:rPr>
          <w:i w:val="0"/>
          <w:iCs w:val="0"/>
        </w:rPr>
        <w:t xml:space="preserve"> </w:t>
      </w:r>
      <w:r w:rsidR="00F86259" w:rsidRPr="00F86259">
        <w:t>Compatible with Python 3. This code was developed by the author of the present article.</w:t>
      </w:r>
      <w:r w:rsidR="00FC5FB5">
        <w:rPr>
          <w:i w:val="0"/>
          <w:iCs w:val="0"/>
        </w:rPr>
        <w:t xml:space="preserve"> </w:t>
      </w:r>
      <w:r w:rsidRPr="00B16671">
        <w:rPr>
          <w:b/>
          <w:bCs/>
          <w:i w:val="0"/>
          <w:iCs w:val="0"/>
        </w:rPr>
        <w:t xml:space="preserve"> </w:t>
      </w:r>
    </w:p>
    <w:p w14:paraId="7D8BC10D" w14:textId="77777777" w:rsidR="00F5099E" w:rsidRPr="00151CC4" w:rsidRDefault="00F5099E" w:rsidP="00151CC4">
      <w:pPr>
        <w:spacing w:line="480" w:lineRule="auto"/>
        <w:rPr>
          <w:rFonts w:ascii="Times New Roman" w:hAnsi="Times New Roman" w:cs="Times New Roman"/>
          <w:sz w:val="24"/>
          <w:szCs w:val="24"/>
        </w:rPr>
      </w:pPr>
    </w:p>
    <w:p w14:paraId="7CE3DF62" w14:textId="3DF7E360" w:rsidR="00DF0D8F" w:rsidRDefault="00AD2743" w:rsidP="00DF0D8F">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t>B</w:t>
      </w:r>
      <w:r w:rsidRPr="00B67F00">
        <w:rPr>
          <w:rFonts w:ascii="Times New Roman" w:hAnsi="Times New Roman" w:cs="Times New Roman"/>
          <w:sz w:val="24"/>
          <w:szCs w:val="24"/>
        </w:rPr>
        <w:t xml:space="preserve"> </w:t>
      </w:r>
      <w:r>
        <w:rPr>
          <w:rFonts w:ascii="Times New Roman" w:hAnsi="Times New Roman" w:cs="Times New Roman"/>
          <w:i/>
          <w:iCs/>
          <w:sz w:val="24"/>
          <w:szCs w:val="24"/>
        </w:rPr>
        <w:t xml:space="preserve">The </w:t>
      </w:r>
      <w:r w:rsidR="00055E76">
        <w:rPr>
          <w:rFonts w:ascii="Times New Roman" w:hAnsi="Times New Roman" w:cs="Times New Roman"/>
          <w:i/>
          <w:iCs/>
          <w:sz w:val="24"/>
          <w:szCs w:val="24"/>
        </w:rPr>
        <w:t>Discretionary</w:t>
      </w:r>
      <w:r>
        <w:rPr>
          <w:rFonts w:ascii="Times New Roman" w:hAnsi="Times New Roman" w:cs="Times New Roman"/>
          <w:i/>
          <w:iCs/>
          <w:sz w:val="24"/>
          <w:szCs w:val="24"/>
        </w:rPr>
        <w:t xml:space="preserve"> Dilemma</w:t>
      </w:r>
    </w:p>
    <w:p w14:paraId="514CFAEC" w14:textId="3544C8E3" w:rsidR="00B60A04" w:rsidRPr="001C300E" w:rsidRDefault="00A03648" w:rsidP="00B60A04">
      <w:pPr>
        <w:spacing w:line="480" w:lineRule="auto"/>
        <w:jc w:val="both"/>
        <w:rPr>
          <w:rFonts w:ascii="Times New Roman" w:hAnsi="Times New Roman" w:cs="Times New Roman"/>
        </w:rPr>
      </w:pPr>
      <w:r w:rsidRPr="001C300E">
        <w:rPr>
          <w:rFonts w:ascii="Times New Roman" w:hAnsi="Times New Roman" w:cs="Times New Roman"/>
        </w:rPr>
        <w:t>Ultimately, while the considered literature has not erred in identifying formalist and non-formalist considerations as relevant in the task of digitising legislation, it is put forward that the proposed methodology’s framing of the problem within the context of legal formalism was perhaps short-sighted. While such theories of interpretation should certainly be referred to throughout the act of coding, attempting to adhere fully to one alignment or the other was ultimately harmful to the exercise on the basis that, barring significant legal reform or technological advances, one cannot expect to produce digitised legislation which is fully formalist or non-formalist.</w:t>
      </w:r>
      <w:r w:rsidR="00F51080" w:rsidRPr="001C300E">
        <w:rPr>
          <w:rFonts w:ascii="Times New Roman" w:hAnsi="Times New Roman" w:cs="Times New Roman"/>
        </w:rPr>
        <w:t xml:space="preserve"> This dilemma arises largely – though not solely – due to the presence of discretionary clauses.</w:t>
      </w:r>
      <w:r w:rsidRPr="001C300E">
        <w:rPr>
          <w:rFonts w:ascii="Times New Roman" w:hAnsi="Times New Roman" w:cs="Times New Roman"/>
        </w:rPr>
        <w:t xml:space="preserve"> </w:t>
      </w:r>
    </w:p>
    <w:p w14:paraId="774B902E" w14:textId="5447F6C8" w:rsidR="00ED0565" w:rsidRPr="001C300E" w:rsidRDefault="00D7008B" w:rsidP="00865E68">
      <w:pPr>
        <w:spacing w:line="480" w:lineRule="auto"/>
        <w:jc w:val="both"/>
        <w:rPr>
          <w:rFonts w:ascii="Times New Roman" w:hAnsi="Times New Roman" w:cs="Times New Roman"/>
        </w:rPr>
      </w:pPr>
      <w:r w:rsidRPr="001C300E">
        <w:rPr>
          <w:rFonts w:ascii="Times New Roman" w:hAnsi="Times New Roman" w:cs="Times New Roman"/>
        </w:rPr>
        <w:lastRenderedPageBreak/>
        <w:t xml:space="preserve">In the case of the non-formalist approach, it was found that presence of discretionary </w:t>
      </w:r>
      <w:r w:rsidR="00C930F2" w:rsidRPr="001C300E">
        <w:rPr>
          <w:rFonts w:ascii="Times New Roman" w:hAnsi="Times New Roman" w:cs="Times New Roman"/>
        </w:rPr>
        <w:t>clauses</w:t>
      </w:r>
      <w:r w:rsidRPr="001C300E">
        <w:rPr>
          <w:rFonts w:ascii="Times New Roman" w:hAnsi="Times New Roman" w:cs="Times New Roman"/>
        </w:rPr>
        <w:t xml:space="preserve"> posed computational problems </w:t>
      </w:r>
      <w:r w:rsidR="001E7C3C">
        <w:rPr>
          <w:rFonts w:ascii="Times New Roman" w:hAnsi="Times New Roman" w:cs="Times New Roman"/>
        </w:rPr>
        <w:t>not yet addressed in the literature</w:t>
      </w:r>
      <w:r w:rsidRPr="001C300E">
        <w:rPr>
          <w:rFonts w:ascii="Times New Roman" w:hAnsi="Times New Roman" w:cs="Times New Roman"/>
        </w:rPr>
        <w:t xml:space="preserve"> through incompatibility with the calculative and deterministic nature of algorithms first raised in Section II</w:t>
      </w:r>
      <w:r w:rsidR="00C930F2" w:rsidRPr="001C300E">
        <w:rPr>
          <w:rFonts w:ascii="Times New Roman" w:hAnsi="Times New Roman" w:cs="Times New Roman"/>
        </w:rPr>
        <w:t xml:space="preserve">, and ultimately, this article failed to identify a justifiable non-formalist approach to such provisions. </w:t>
      </w:r>
      <w:r w:rsidR="00D15B11" w:rsidRPr="001C300E">
        <w:rPr>
          <w:rFonts w:ascii="Times New Roman" w:hAnsi="Times New Roman" w:cs="Times New Roman"/>
        </w:rPr>
        <w:t>Initial efforts revolved around attempting to address the incompatibility of algorithms with non-formalism through quantitative emulation of non-formalist decisions. It was hypothesised that this might be achievable by determining, for example, whether</w:t>
      </w:r>
      <w:r w:rsidR="00ED0565" w:rsidRPr="001C300E">
        <w:rPr>
          <w:rFonts w:ascii="Times New Roman" w:hAnsi="Times New Roman" w:cs="Times New Roman"/>
        </w:rPr>
        <w:t xml:space="preserve"> a set of given inquiries were reasonable,</w:t>
      </w:r>
      <w:r w:rsidR="00ED0565" w:rsidRPr="00DD0131">
        <w:rPr>
          <w:rStyle w:val="FootnoteReference"/>
        </w:rPr>
        <w:footnoteReference w:id="133"/>
      </w:r>
      <w:r w:rsidR="00ED0565" w:rsidRPr="001C300E">
        <w:rPr>
          <w:rFonts w:ascii="Times New Roman" w:hAnsi="Times New Roman" w:cs="Times New Roman"/>
        </w:rPr>
        <w:t xml:space="preserve"> through calculating the weighted sum of all possible non-formalist considerations</w:t>
      </w:r>
      <w:r w:rsidR="00ED0565" w:rsidRPr="00DD0131">
        <w:rPr>
          <w:rStyle w:val="FootnoteReference"/>
        </w:rPr>
        <w:footnoteReference w:id="134"/>
      </w:r>
      <w:r w:rsidR="00ED0565" w:rsidRPr="001C300E">
        <w:rPr>
          <w:rFonts w:ascii="Times New Roman" w:hAnsi="Times New Roman" w:cs="Times New Roman"/>
        </w:rPr>
        <w:t xml:space="preserve"> against a given threshold</w:t>
      </w:r>
      <w:r w:rsidR="002C68DF">
        <w:rPr>
          <w:rFonts w:ascii="Times New Roman" w:hAnsi="Times New Roman" w:cs="Times New Roman"/>
        </w:rPr>
        <w:t xml:space="preserve">. This </w:t>
      </w:r>
      <w:r w:rsidR="00BA7082">
        <w:rPr>
          <w:rFonts w:ascii="Times New Roman" w:hAnsi="Times New Roman" w:cs="Times New Roman"/>
        </w:rPr>
        <w:t xml:space="preserve">method, </w:t>
      </w:r>
      <w:r w:rsidR="002C68DF">
        <w:rPr>
          <w:rFonts w:ascii="Times New Roman" w:hAnsi="Times New Roman" w:cs="Times New Roman"/>
        </w:rPr>
        <w:t>much like the neural networks of machine learning,</w:t>
      </w:r>
      <w:r w:rsidR="00BA7082" w:rsidRPr="00DD0131">
        <w:rPr>
          <w:rStyle w:val="FootnoteReference"/>
        </w:rPr>
        <w:footnoteReference w:id="135"/>
      </w:r>
      <w:r w:rsidR="002C68DF">
        <w:rPr>
          <w:rFonts w:ascii="Times New Roman" w:hAnsi="Times New Roman" w:cs="Times New Roman"/>
        </w:rPr>
        <w:t xml:space="preserve"> emulates the process by which neurons in a brain </w:t>
      </w:r>
      <w:r w:rsidR="00BA7082">
        <w:rPr>
          <w:rFonts w:ascii="Times New Roman" w:hAnsi="Times New Roman" w:cs="Times New Roman"/>
        </w:rPr>
        <w:t>are activated based on a series of weighted binary inputs,</w:t>
      </w:r>
      <w:r w:rsidR="007C3F3B" w:rsidRPr="00DD0131">
        <w:rPr>
          <w:rStyle w:val="FootnoteReference"/>
        </w:rPr>
        <w:footnoteReference w:id="136"/>
      </w:r>
      <w:r w:rsidR="00BA7082">
        <w:rPr>
          <w:rFonts w:ascii="Times New Roman" w:hAnsi="Times New Roman" w:cs="Times New Roman"/>
        </w:rPr>
        <w:t xml:space="preserve"> and is therefore an arguably appropriate starting point for modelling the process by which one might exercise discretion.</w:t>
      </w:r>
      <w:r w:rsidR="002C68DF">
        <w:rPr>
          <w:rFonts w:ascii="Times New Roman" w:hAnsi="Times New Roman" w:cs="Times New Roman"/>
        </w:rPr>
        <w:t xml:space="preserve"> Such an approach is described</w:t>
      </w:r>
      <w:r w:rsidR="00D642D9">
        <w:rPr>
          <w:rFonts w:ascii="Times New Roman" w:hAnsi="Times New Roman" w:cs="Times New Roman"/>
        </w:rPr>
        <w:t xml:space="preserve"> in</w:t>
      </w:r>
      <w:r w:rsidR="00ED0565" w:rsidRPr="001C300E">
        <w:rPr>
          <w:rFonts w:ascii="Times New Roman" w:hAnsi="Times New Roman" w:cs="Times New Roman"/>
        </w:rPr>
        <w:t xml:space="preserve"> Equation (</w:t>
      </w:r>
      <w:r w:rsidR="00DD0BAB" w:rsidRPr="001C300E">
        <w:rPr>
          <w:rFonts w:ascii="Times New Roman" w:hAnsi="Times New Roman" w:cs="Times New Roman"/>
        </w:rPr>
        <w:t>2</w:t>
      </w:r>
      <w:r w:rsidR="00ED0565" w:rsidRPr="001C300E">
        <w:rPr>
          <w:rFonts w:ascii="Times New Roman" w:hAnsi="Times New Roman" w:cs="Times New Roman"/>
        </w:rPr>
        <w:t>)</w:t>
      </w:r>
      <w:r w:rsidR="00D642D9">
        <w:rPr>
          <w:rFonts w:ascii="Times New Roman" w:hAnsi="Times New Roman" w:cs="Times New Roman"/>
        </w:rPr>
        <w:t xml:space="preserve"> and visualised logically in Figure 5</w:t>
      </w:r>
      <w:r w:rsidR="0045475E">
        <w:rPr>
          <w:rFonts w:ascii="Times New Roman" w:hAnsi="Times New Roman" w:cs="Times New Roman"/>
        </w:rPr>
        <w:t>.</w:t>
      </w:r>
    </w:p>
    <w:p w14:paraId="49D79359" w14:textId="59FCBA85" w:rsidR="00ED0565" w:rsidRDefault="00B3249D" w:rsidP="00ED0565">
      <w:pPr>
        <w:spacing w:line="480" w:lineRule="auto"/>
        <w:rPr>
          <w:rFonts w:ascii="Times New Roman" w:hAnsi="Times New Roman" w:cs="Times New Roman"/>
          <w:sz w:val="24"/>
          <w:szCs w:val="24"/>
        </w:rPr>
      </w:pPr>
      <w:r w:rsidRPr="00B11197">
        <w:rPr>
          <w:rFonts w:eastAsiaTheme="minorEastAsia"/>
          <w:noProof/>
          <w:sz w:val="24"/>
          <w:szCs w:val="24"/>
        </w:rPr>
        <mc:AlternateContent>
          <mc:Choice Requires="wpg">
            <w:drawing>
              <wp:inline distT="0" distB="0" distL="0" distR="0" wp14:anchorId="21ACCA68" wp14:editId="001900F1">
                <wp:extent cx="5731510" cy="1828800"/>
                <wp:effectExtent l="0" t="0" r="2540" b="0"/>
                <wp:docPr id="25" name="Group 25"/>
                <wp:cNvGraphicFramePr/>
                <a:graphic xmlns:a="http://schemas.openxmlformats.org/drawingml/2006/main">
                  <a:graphicData uri="http://schemas.microsoft.com/office/word/2010/wordprocessingGroup">
                    <wpg:wgp>
                      <wpg:cNvGrpSpPr/>
                      <wpg:grpSpPr>
                        <a:xfrm>
                          <a:off x="0" y="0"/>
                          <a:ext cx="5731510" cy="1828800"/>
                          <a:chOff x="-119062" y="0"/>
                          <a:chExt cx="6306248" cy="633095"/>
                        </a:xfrm>
                      </wpg:grpSpPr>
                      <wps:wsp>
                        <wps:cNvPr id="26" name="Text Box 26"/>
                        <wps:cNvSpPr txBox="1">
                          <a:spLocks noChangeArrowheads="1"/>
                        </wps:cNvSpPr>
                        <wps:spPr bwMode="auto">
                          <a:xfrm>
                            <a:off x="5715000" y="0"/>
                            <a:ext cx="472186" cy="633095"/>
                          </a:xfrm>
                          <a:prstGeom prst="rect">
                            <a:avLst/>
                          </a:prstGeom>
                          <a:solidFill>
                            <a:srgbClr val="FFFFFF"/>
                          </a:solidFill>
                          <a:ln w="9525">
                            <a:noFill/>
                            <a:miter lim="800000"/>
                            <a:headEnd/>
                            <a:tailEnd/>
                          </a:ln>
                        </wps:spPr>
                        <wps:txbx>
                          <w:txbxContent>
                            <w:p w14:paraId="6FC6EEF4" w14:textId="74237CEE" w:rsidR="004538FF" w:rsidRPr="00C555B3" w:rsidRDefault="004538FF" w:rsidP="00B3249D">
                              <w:pPr>
                                <w:jc w:val="center"/>
                                <w:rPr>
                                  <w:b/>
                                  <w:bCs/>
                                </w:rPr>
                              </w:pPr>
                              <w:r w:rsidRPr="00C555B3">
                                <w:rPr>
                                  <w:b/>
                                  <w:bCs/>
                                </w:rPr>
                                <w:t>(</w:t>
                              </w:r>
                              <w:r>
                                <w:rPr>
                                  <w:b/>
                                  <w:bCs/>
                                </w:rPr>
                                <w:t>2</w:t>
                              </w:r>
                              <w:r w:rsidRPr="00C555B3">
                                <w:rPr>
                                  <w:b/>
                                  <w:bCs/>
                                </w:rPr>
                                <w:t>)</w:t>
                              </w:r>
                            </w:p>
                          </w:txbxContent>
                        </wps:txbx>
                        <wps:bodyPr rot="0" vert="horz" wrap="square" lIns="91440" tIns="45720" rIns="91440" bIns="45720" anchor="ctr" anchorCtr="0">
                          <a:noAutofit/>
                        </wps:bodyPr>
                      </wps:wsp>
                      <wps:wsp>
                        <wps:cNvPr id="27" name="Text Box 27"/>
                        <wps:cNvSpPr txBox="1"/>
                        <wps:spPr>
                          <a:xfrm>
                            <a:off x="-119062" y="0"/>
                            <a:ext cx="5834062" cy="633002"/>
                          </a:xfrm>
                          <a:prstGeom prst="rect">
                            <a:avLst/>
                          </a:prstGeom>
                          <a:solidFill>
                            <a:schemeClr val="lt1"/>
                          </a:solidFill>
                          <a:ln w="6350">
                            <a:noFill/>
                          </a:ln>
                        </wps:spPr>
                        <wps:txbx>
                          <w:txbxContent>
                            <w:p w14:paraId="0A082322" w14:textId="2BC5BAE5" w:rsidR="004538FF" w:rsidRPr="00B3249D" w:rsidRDefault="004538FF" w:rsidP="00B3249D">
                              <w:pPr>
                                <w:spacing w:line="276" w:lineRule="auto"/>
                                <w:rPr>
                                  <w:i/>
                                  <w:iCs/>
                                </w:rPr>
                              </w:pPr>
                              <m:oMathPara>
                                <m:oMath>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 xml:space="preserve">≥T </m:t>
                                  </m:r>
                                </m:oMath>
                              </m:oMathPara>
                            </w:p>
                            <w:p w14:paraId="75388C7D" w14:textId="77777777" w:rsidR="004538FF" w:rsidRPr="008C60A9" w:rsidRDefault="004538FF" w:rsidP="00B3249D">
                              <w:pPr>
                                <w:ind w:left="720"/>
                                <w:rPr>
                                  <w:rFonts w:eastAsiaTheme="minorEastAsia"/>
                                </w:rPr>
                              </w:pPr>
                              <w:r w:rsidRPr="00952AAF">
                                <w:rPr>
                                  <w:rFonts w:ascii="Times New Roman" w:hAnsi="Times New Roman" w:cs="Times New Roman"/>
                                </w:rPr>
                                <w:t>Where</w:t>
                              </w:r>
                              <w:r w:rsidRPr="008C60A9">
                                <w:t xml:space="preserve">: </w:t>
                              </w:r>
                            </w:p>
                            <w:p w14:paraId="6025F058" w14:textId="73432F22" w:rsidR="004538FF" w:rsidRPr="00952AAF" w:rsidRDefault="004538FF" w:rsidP="00B3249D">
                              <w:pPr>
                                <w:pStyle w:val="ListParagraph"/>
                                <w:numPr>
                                  <w:ilvl w:val="0"/>
                                  <w:numId w:val="13"/>
                                </w:numPr>
                                <w:rPr>
                                  <w:rFonts w:ascii="Times New Roman" w:eastAsiaTheme="minorEastAsia" w:hAnsi="Times New Roman" w:cs="Times New Roman"/>
                                </w:rPr>
                              </w:pP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 </w:t>
                              </w:r>
                              <w:r w:rsidRPr="00952AAF">
                                <w:rPr>
                                  <w:rFonts w:ascii="Times New Roman" w:eastAsiaTheme="minorEastAsia" w:hAnsi="Times New Roman" w:cs="Times New Roman"/>
                                </w:rPr>
                                <w:t xml:space="preserve">A binary value representing whether the </w:t>
                              </w:r>
                              <m:oMath>
                                <m:r>
                                  <w:rPr>
                                    <w:rFonts w:ascii="Cambria Math" w:hAnsi="Cambria Math" w:cs="Times New Roman"/>
                                  </w:rPr>
                                  <m:t>n</m:t>
                                </m:r>
                              </m:oMath>
                              <w:r w:rsidRPr="00952AAF">
                                <w:rPr>
                                  <w:rFonts w:ascii="Times New Roman" w:eastAsiaTheme="minorEastAsia" w:hAnsi="Times New Roman" w:cs="Times New Roman"/>
                                </w:rPr>
                                <w:t>th source of information has been considered (1) or not (0).</w:t>
                              </w:r>
                            </w:p>
                            <w:p w14:paraId="1572A002" w14:textId="43767BFE" w:rsidR="004538FF" w:rsidRDefault="004538FF"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eastAsiaTheme="minorEastAsia"/>
                                  <w:i/>
                                  <w:iCs/>
                                </w:rPr>
                                <w:t xml:space="preserve"> </w:t>
                              </w:r>
                              <w:r>
                                <w:rPr>
                                  <w:rFonts w:eastAsiaTheme="minorEastAsia"/>
                                </w:rPr>
                                <w:t xml:space="preserve">= </w:t>
                              </w:r>
                              <w:r w:rsidRPr="00952AAF">
                                <w:rPr>
                                  <w:rFonts w:ascii="Times New Roman" w:eastAsiaTheme="minorEastAsia" w:hAnsi="Times New Roman" w:cs="Times New Roman"/>
                                </w:rPr>
                                <w:t>The weighting given to</w:t>
                              </w:r>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w:t>
                              </w:r>
                            </w:p>
                            <w:p w14:paraId="6971254C" w14:textId="36B66951" w:rsidR="004538FF" w:rsidRPr="00952AAF" w:rsidRDefault="004538FF" w:rsidP="00B3249D">
                              <w:pPr>
                                <w:pStyle w:val="ListParagraph"/>
                                <w:numPr>
                                  <w:ilvl w:val="0"/>
                                  <w:numId w:val="13"/>
                                </w:numPr>
                                <w:rPr>
                                  <w:rFonts w:ascii="Times New Roman" w:eastAsiaTheme="minorEastAsia" w:hAnsi="Times New Roman" w:cs="Times New Roman"/>
                                </w:rPr>
                              </w:pPr>
                              <m:oMath>
                                <m:r>
                                  <w:rPr>
                                    <w:rFonts w:ascii="Cambria Math" w:eastAsiaTheme="minorEastAsia" w:hAnsi="Cambria Math"/>
                                  </w:rPr>
                                  <m:t>T</m:t>
                                </m:r>
                              </m:oMath>
                              <w:r w:rsidRPr="008C60A9">
                                <w:rPr>
                                  <w:rFonts w:eastAsiaTheme="minorEastAsia"/>
                                  <w:i/>
                                  <w:iCs/>
                                </w:rPr>
                                <w:t xml:space="preserve"> </w:t>
                              </w:r>
                              <w:r w:rsidRPr="008C60A9">
                                <w:rPr>
                                  <w:rFonts w:eastAsiaTheme="minorEastAsia"/>
                                </w:rPr>
                                <w:t xml:space="preserve">= </w:t>
                              </w:r>
                              <w:r w:rsidRPr="00952AAF">
                                <w:rPr>
                                  <w:rFonts w:ascii="Times New Roman" w:eastAsiaTheme="minorEastAsia" w:hAnsi="Times New Roman" w:cs="Times New Roman"/>
                                </w:rPr>
                                <w:t>The prescribed threshold that must be met or surpassed for a licensee to have ‘passed’ the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1ACCA68" id="Group 25" o:spid="_x0000_s1029" style="width:451.3pt;height:2in;mso-position-horizontal-relative:char;mso-position-vertical-relative:line" coordorigin="-1190" coordsize="63062,6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">
                <v:shape id="Text Box 26" o:spid="_x0000_s1030" type="#_x0000_t202" style="position:absolute;left:57150;width:4721;height:6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" stroked="f">
                  <v:textbox>
                    <w:txbxContent>
                      <w:p w14:paraId="6FC6EEF4" w14:textId="74237CEE" w:rsidR="004538FF" w:rsidRPr="00C555B3" w:rsidRDefault="004538FF" w:rsidP="00B3249D">
                        <w:pPr>
                          <w:jc w:val="center"/>
                          <w:rPr>
                            <w:b/>
                            <w:bCs/>
                          </w:rPr>
                        </w:pPr>
                        <w:r w:rsidRPr="00C555B3">
                          <w:rPr>
                            <w:b/>
                            <w:bCs/>
                          </w:rPr>
                          <w:t>(</w:t>
                        </w:r>
                        <w:r>
                          <w:rPr>
                            <w:b/>
                            <w:bCs/>
                          </w:rPr>
                          <w:t>2</w:t>
                        </w:r>
                        <w:r w:rsidRPr="00C555B3">
                          <w:rPr>
                            <w:b/>
                            <w:bCs/>
                          </w:rPr>
                          <w:t>)</w:t>
                        </w:r>
                      </w:p>
                    </w:txbxContent>
                  </v:textbox>
                </v:shape>
                <v:shape id="Text Box 27" o:spid="_x0000_s1031" type="#_x0000_t202" style="position:absolute;left:-1190;width:58340;height:6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0A082322" w14:textId="2BC5BAE5" w:rsidR="004538FF" w:rsidRPr="00B3249D" w:rsidRDefault="004538FF" w:rsidP="00B3249D">
                        <w:pPr>
                          <w:spacing w:line="276" w:lineRule="auto"/>
                          <w:rPr>
                            <w:i/>
                            <w:iCs/>
                          </w:rPr>
                        </w:pPr>
                        <m:oMathPara>
                          <m:oMath>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 xml:space="preserve">≥T </m:t>
                            </m:r>
                          </m:oMath>
                        </m:oMathPara>
                      </w:p>
                      <w:p w14:paraId="75388C7D" w14:textId="77777777" w:rsidR="004538FF" w:rsidRPr="008C60A9" w:rsidRDefault="004538FF" w:rsidP="00B3249D">
                        <w:pPr>
                          <w:ind w:left="720"/>
                          <w:rPr>
                            <w:rFonts w:eastAsiaTheme="minorEastAsia"/>
                          </w:rPr>
                        </w:pPr>
                        <w:r w:rsidRPr="00952AAF">
                          <w:rPr>
                            <w:rFonts w:ascii="Times New Roman" w:hAnsi="Times New Roman" w:cs="Times New Roman"/>
                          </w:rPr>
                          <w:t>Where</w:t>
                        </w:r>
                        <w:r w:rsidRPr="008C60A9">
                          <w:t xml:space="preserve">: </w:t>
                        </w:r>
                      </w:p>
                      <w:p w14:paraId="6025F058" w14:textId="73432F22" w:rsidR="004538FF" w:rsidRPr="00952AAF" w:rsidRDefault="004538FF" w:rsidP="00B3249D">
                        <w:pPr>
                          <w:pStyle w:val="ListParagraph"/>
                          <w:numPr>
                            <w:ilvl w:val="0"/>
                            <w:numId w:val="13"/>
                          </w:numPr>
                          <w:rPr>
                            <w:rFonts w:ascii="Times New Roman" w:eastAsiaTheme="minorEastAsia" w:hAnsi="Times New Roman" w:cs="Times New Roman"/>
                          </w:rPr>
                        </w:pP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 </w:t>
                        </w:r>
                        <w:r w:rsidRPr="00952AAF">
                          <w:rPr>
                            <w:rFonts w:ascii="Times New Roman" w:eastAsiaTheme="minorEastAsia" w:hAnsi="Times New Roman" w:cs="Times New Roman"/>
                          </w:rPr>
                          <w:t xml:space="preserve">A binary value representing whether the </w:t>
                        </w:r>
                        <m:oMath>
                          <m:r>
                            <w:rPr>
                              <w:rFonts w:ascii="Cambria Math" w:hAnsi="Cambria Math" w:cs="Times New Roman"/>
                            </w:rPr>
                            <m:t>n</m:t>
                          </m:r>
                        </m:oMath>
                        <w:r w:rsidRPr="00952AAF">
                          <w:rPr>
                            <w:rFonts w:ascii="Times New Roman" w:eastAsiaTheme="minorEastAsia" w:hAnsi="Times New Roman" w:cs="Times New Roman"/>
                          </w:rPr>
                          <w:t>th source of information has been considered (1) or not (0).</w:t>
                        </w:r>
                      </w:p>
                      <w:p w14:paraId="1572A002" w14:textId="43767BFE" w:rsidR="004538FF" w:rsidRDefault="004538FF"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eastAsiaTheme="minorEastAsia"/>
                            <w:i/>
                            <w:iCs/>
                          </w:rPr>
                          <w:t xml:space="preserve"> </w:t>
                        </w:r>
                        <w:r>
                          <w:rPr>
                            <w:rFonts w:eastAsiaTheme="minorEastAsia"/>
                          </w:rPr>
                          <w:t xml:space="preserve">= </w:t>
                        </w:r>
                        <w:r w:rsidRPr="00952AAF">
                          <w:rPr>
                            <w:rFonts w:ascii="Times New Roman" w:eastAsiaTheme="minorEastAsia" w:hAnsi="Times New Roman" w:cs="Times New Roman"/>
                          </w:rPr>
                          <w:t>The weighting given to</w:t>
                        </w:r>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w:t>
                        </w:r>
                      </w:p>
                      <w:p w14:paraId="6971254C" w14:textId="36B66951" w:rsidR="004538FF" w:rsidRPr="00952AAF" w:rsidRDefault="004538FF" w:rsidP="00B3249D">
                        <w:pPr>
                          <w:pStyle w:val="ListParagraph"/>
                          <w:numPr>
                            <w:ilvl w:val="0"/>
                            <w:numId w:val="13"/>
                          </w:numPr>
                          <w:rPr>
                            <w:rFonts w:ascii="Times New Roman" w:eastAsiaTheme="minorEastAsia" w:hAnsi="Times New Roman" w:cs="Times New Roman"/>
                          </w:rPr>
                        </w:pPr>
                        <m:oMath>
                          <m:r>
                            <w:rPr>
                              <w:rFonts w:ascii="Cambria Math" w:eastAsiaTheme="minorEastAsia" w:hAnsi="Cambria Math"/>
                            </w:rPr>
                            <m:t>T</m:t>
                          </m:r>
                        </m:oMath>
                        <w:r w:rsidRPr="008C60A9">
                          <w:rPr>
                            <w:rFonts w:eastAsiaTheme="minorEastAsia"/>
                            <w:i/>
                            <w:iCs/>
                          </w:rPr>
                          <w:t xml:space="preserve"> </w:t>
                        </w:r>
                        <w:r w:rsidRPr="008C60A9">
                          <w:rPr>
                            <w:rFonts w:eastAsiaTheme="minorEastAsia"/>
                          </w:rPr>
                          <w:t xml:space="preserve">= </w:t>
                        </w:r>
                        <w:r w:rsidRPr="00952AAF">
                          <w:rPr>
                            <w:rFonts w:ascii="Times New Roman" w:eastAsiaTheme="minorEastAsia" w:hAnsi="Times New Roman" w:cs="Times New Roman"/>
                          </w:rPr>
                          <w:t>The prescribed threshold that must be met or surpassed for a licensee to have ‘passed’ the requirement.</w:t>
                        </w:r>
                      </w:p>
                    </w:txbxContent>
                  </v:textbox>
                </v:shape>
                <w10:anchorlock/>
              </v:group>
            </w:pict>
          </mc:Fallback>
        </mc:AlternateContent>
      </w:r>
    </w:p>
    <w:bookmarkStart w:id="9" w:name="_MON_1663089418"/>
    <w:bookmarkEnd w:id="9"/>
    <w:p w14:paraId="119BEF48" w14:textId="77777777" w:rsidR="00EF76E3" w:rsidRDefault="00EF76E3" w:rsidP="00EF76E3">
      <w:pPr>
        <w:keepNext/>
        <w:spacing w:line="480" w:lineRule="auto"/>
        <w:jc w:val="both"/>
      </w:pPr>
      <w:r>
        <w:rPr>
          <w:rFonts w:ascii="Times New Roman" w:hAnsi="Times New Roman" w:cs="Times New Roman"/>
        </w:rPr>
        <w:object w:dxaOrig="9026" w:dyaOrig="2379" w14:anchorId="6A614854">
          <v:shape id="_x0000_i1030" type="#_x0000_t75" style="width:451.35pt;height:119.3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Word.DocumentMacroEnabled.12" ShapeID="_x0000_i1030" DrawAspect="Content" ObjectID="_1665571824" r:id="rId19"/>
        </w:object>
      </w:r>
    </w:p>
    <w:p w14:paraId="7D2A24FB" w14:textId="2D613879" w:rsidR="00D642D9" w:rsidRPr="00EF76E3" w:rsidRDefault="00EF76E3" w:rsidP="00EF76E3">
      <w:pPr>
        <w:pStyle w:val="Caption"/>
        <w:jc w:val="both"/>
        <w:rPr>
          <w:rFonts w:ascii="Times New Roman" w:hAnsi="Times New Roman" w:cs="Times New Roman"/>
          <w:i w:val="0"/>
          <w:iCs w:val="0"/>
        </w:rPr>
      </w:pPr>
      <w:r w:rsidRPr="00EF76E3">
        <w:rPr>
          <w:b/>
          <w:bCs/>
          <w:i w:val="0"/>
          <w:iCs w:val="0"/>
        </w:rPr>
        <w:t xml:space="preserve">Figure </w:t>
      </w:r>
      <w:r w:rsidR="00F86259">
        <w:rPr>
          <w:b/>
          <w:bCs/>
          <w:i w:val="0"/>
          <w:iCs w:val="0"/>
        </w:rPr>
        <w:t>IV-4</w:t>
      </w:r>
      <w:r>
        <w:rPr>
          <w:b/>
          <w:bCs/>
          <w:i w:val="0"/>
          <w:iCs w:val="0"/>
        </w:rPr>
        <w:t xml:space="preserve"> – </w:t>
      </w:r>
      <w:r>
        <w:rPr>
          <w:i w:val="0"/>
          <w:iCs w:val="0"/>
        </w:rPr>
        <w:t>Equation (2) represented in python syntax. Each relevant factor is assigned a weighting which is multiplied by 1 if it has been considered, or zero if not. These resultant values are summed as each factor is checked. If, after all checks, the running total is equal to or surpasses a given threshold, the licensee can be considered to have met their obligation to make ‘reasonable inquiries’.</w:t>
      </w:r>
      <w:r w:rsidR="00F86259">
        <w:rPr>
          <w:i w:val="0"/>
          <w:iCs w:val="0"/>
        </w:rPr>
        <w:t xml:space="preserve"> </w:t>
      </w:r>
      <w:r w:rsidR="00F86259" w:rsidRPr="00F86259">
        <w:t>Compatible with Python 3. This code was developed by the author of the present article.</w:t>
      </w:r>
    </w:p>
    <w:p w14:paraId="0E38D010" w14:textId="44D0D11D" w:rsidR="001C300E" w:rsidRPr="001C300E" w:rsidRDefault="00C930F2" w:rsidP="001C300E">
      <w:pPr>
        <w:spacing w:line="480" w:lineRule="auto"/>
        <w:jc w:val="both"/>
        <w:rPr>
          <w:rFonts w:ascii="Times New Roman" w:hAnsi="Times New Roman" w:cs="Times New Roman"/>
        </w:rPr>
      </w:pPr>
      <w:r w:rsidRPr="001C300E">
        <w:rPr>
          <w:rFonts w:ascii="Times New Roman" w:hAnsi="Times New Roman" w:cs="Times New Roman"/>
        </w:rPr>
        <w:t xml:space="preserve">It became apparent, however, that no practicable method of determining acceptable weightings and thresholds could be produced with any academic or legal </w:t>
      </w:r>
      <w:r w:rsidR="006F7A8D">
        <w:rPr>
          <w:rFonts w:ascii="Times New Roman" w:hAnsi="Times New Roman" w:cs="Times New Roman"/>
        </w:rPr>
        <w:t>justification</w:t>
      </w:r>
      <w:r w:rsidR="00DA7891">
        <w:rPr>
          <w:rFonts w:ascii="Times New Roman" w:hAnsi="Times New Roman" w:cs="Times New Roman"/>
        </w:rPr>
        <w:t xml:space="preserve"> present in the literature</w:t>
      </w:r>
      <w:r w:rsidRPr="001C300E">
        <w:rPr>
          <w:rFonts w:ascii="Times New Roman" w:hAnsi="Times New Roman" w:cs="Times New Roman"/>
        </w:rPr>
        <w:t>. Nonetheless, it is put forward that such efforts would be well-suited in further RaC research</w:t>
      </w:r>
      <w:r w:rsidR="00DA7891">
        <w:rPr>
          <w:rFonts w:ascii="Times New Roman" w:hAnsi="Times New Roman" w:cs="Times New Roman"/>
        </w:rPr>
        <w:t>, particularly in analysing how the field might evolve from deterministic code to predictive systems developed using machine-leaning methods</w:t>
      </w:r>
      <w:r w:rsidRPr="001C300E">
        <w:rPr>
          <w:rFonts w:ascii="Times New Roman" w:hAnsi="Times New Roman" w:cs="Times New Roman"/>
        </w:rPr>
        <w:t>. Specifically, such attempts at quantifying legal discretion harken to the limited but relevant literature surrounding attempts to quantify ‘reasonable doubt’ in criminal trials</w:t>
      </w:r>
      <w:r w:rsidR="00A258EB">
        <w:rPr>
          <w:rFonts w:ascii="Times New Roman" w:hAnsi="Times New Roman" w:cs="Times New Roman"/>
        </w:rPr>
        <w:t>,</w:t>
      </w:r>
      <w:r w:rsidR="00130BD8" w:rsidRPr="00DD0131">
        <w:rPr>
          <w:rStyle w:val="FootnoteReference"/>
        </w:rPr>
        <w:footnoteReference w:id="137"/>
      </w:r>
      <w:r w:rsidR="006B5E78">
        <w:rPr>
          <w:rFonts w:ascii="Times New Roman" w:hAnsi="Times New Roman" w:cs="Times New Roman"/>
        </w:rPr>
        <w:t xml:space="preserve"> as proposed in </w:t>
      </w:r>
      <w:r w:rsidR="006B5E78">
        <w:rPr>
          <w:rFonts w:ascii="Times New Roman" w:hAnsi="Times New Roman" w:cs="Times New Roman"/>
          <w:i/>
          <w:iCs/>
        </w:rPr>
        <w:t>United States v Copeland</w:t>
      </w:r>
      <w:r w:rsidR="00130BD8">
        <w:rPr>
          <w:rFonts w:ascii="Times New Roman" w:hAnsi="Times New Roman" w:cs="Times New Roman"/>
        </w:rPr>
        <w:t>.</w:t>
      </w:r>
      <w:r w:rsidR="006B5E78" w:rsidRPr="00DD0131">
        <w:rPr>
          <w:rStyle w:val="FootnoteReference"/>
        </w:rPr>
        <w:footnoteReference w:id="138"/>
      </w:r>
      <w:r w:rsidR="00130BD8">
        <w:rPr>
          <w:rFonts w:ascii="Times New Roman" w:hAnsi="Times New Roman" w:cs="Times New Roman"/>
        </w:rPr>
        <w:t xml:space="preserve"> It is noted that the common critiques of quantifying such thresholds involve doubt that the jury might adequately adhere to the given quantification without it interfering with the way they view evidence,</w:t>
      </w:r>
      <w:r w:rsidR="00A35FD4">
        <w:rPr>
          <w:rStyle w:val="FootnoteReference"/>
          <w:rFonts w:ascii="Times New Roman" w:hAnsi="Times New Roman" w:cs="Times New Roman"/>
        </w:rPr>
        <w:footnoteReference w:id="139"/>
      </w:r>
      <w:r w:rsidR="00130BD8">
        <w:rPr>
          <w:rFonts w:ascii="Times New Roman" w:hAnsi="Times New Roman" w:cs="Times New Roman"/>
        </w:rPr>
        <w:t xml:space="preserve"> and as such an err inherently cannot extend to an algorithm,</w:t>
      </w:r>
      <w:r w:rsidRPr="001C300E">
        <w:rPr>
          <w:rFonts w:ascii="Times New Roman" w:hAnsi="Times New Roman" w:cs="Times New Roman"/>
        </w:rPr>
        <w:t xml:space="preserve"> it is posited </w:t>
      </w:r>
      <w:r w:rsidR="001C300E" w:rsidRPr="001C300E">
        <w:rPr>
          <w:rFonts w:ascii="Times New Roman" w:hAnsi="Times New Roman" w:cs="Times New Roman"/>
        </w:rPr>
        <w:t xml:space="preserve">that further investigation could produce methods supported by academic and legal justification. </w:t>
      </w:r>
    </w:p>
    <w:p w14:paraId="404E9C36" w14:textId="55A180B7" w:rsidR="001C300E" w:rsidRDefault="001C300E" w:rsidP="001C300E">
      <w:pPr>
        <w:spacing w:line="480" w:lineRule="auto"/>
        <w:jc w:val="both"/>
        <w:rPr>
          <w:rFonts w:ascii="Times New Roman" w:hAnsi="Times New Roman" w:cs="Times New Roman"/>
        </w:rPr>
      </w:pPr>
      <w:r>
        <w:rPr>
          <w:rFonts w:ascii="Times New Roman" w:hAnsi="Times New Roman" w:cs="Times New Roman"/>
        </w:rPr>
        <w:lastRenderedPageBreak/>
        <w:t xml:space="preserve">In contrast to the computational difficulties encountered operating as a non-formalist, approaching discretionary terms from a strict formalist’s approach was deemed to be an inherently flawed process. Indeed, it is argued that the very existence of such discretionary terms invalidates the notion that the law could ever be adequately coded in an absolutely strict formalist </w:t>
      </w:r>
      <w:r w:rsidR="006F7A8D">
        <w:rPr>
          <w:rFonts w:ascii="Times New Roman" w:hAnsi="Times New Roman" w:cs="Times New Roman"/>
        </w:rPr>
        <w:t>manner</w:t>
      </w:r>
      <w:r>
        <w:rPr>
          <w:rFonts w:ascii="Times New Roman" w:hAnsi="Times New Roman" w:cs="Times New Roman"/>
        </w:rPr>
        <w:t>.</w:t>
      </w:r>
      <w:r w:rsidR="006F00A3">
        <w:rPr>
          <w:rFonts w:ascii="Times New Roman" w:hAnsi="Times New Roman" w:cs="Times New Roman"/>
        </w:rPr>
        <w:t xml:space="preserve"> Beyond statute, cases considering Chapter III have been influenced by the principles of modern statutory interpretation which inherently disagree with </w:t>
      </w:r>
      <w:r w:rsidR="00A35FD4">
        <w:rPr>
          <w:rFonts w:ascii="Times New Roman" w:hAnsi="Times New Roman" w:cs="Times New Roman"/>
        </w:rPr>
        <w:t xml:space="preserve">certain </w:t>
      </w:r>
      <w:r w:rsidR="006F00A3">
        <w:rPr>
          <w:rFonts w:ascii="Times New Roman" w:hAnsi="Times New Roman" w:cs="Times New Roman"/>
        </w:rPr>
        <w:t>facets of formalism.</w:t>
      </w:r>
      <w:r w:rsidR="006F00A3" w:rsidRPr="00DD0131">
        <w:rPr>
          <w:rStyle w:val="FootnoteReference"/>
        </w:rPr>
        <w:footnoteReference w:id="140"/>
      </w:r>
      <w:r w:rsidR="006F00A3">
        <w:rPr>
          <w:rFonts w:ascii="Times New Roman" w:hAnsi="Times New Roman" w:cs="Times New Roman"/>
        </w:rPr>
        <w:t xml:space="preserve"> </w:t>
      </w:r>
      <w:r>
        <w:rPr>
          <w:rFonts w:ascii="Times New Roman" w:hAnsi="Times New Roman" w:cs="Times New Roman"/>
        </w:rPr>
        <w:t xml:space="preserve">Referring to provisions included in </w:t>
      </w:r>
      <w:r w:rsidR="006F7A8D">
        <w:rPr>
          <w:rFonts w:ascii="Times New Roman" w:hAnsi="Times New Roman" w:cs="Times New Roman"/>
        </w:rPr>
        <w:t>this</w:t>
      </w:r>
      <w:r>
        <w:rPr>
          <w:rFonts w:ascii="Times New Roman" w:hAnsi="Times New Roman" w:cs="Times New Roman"/>
        </w:rPr>
        <w:t xml:space="preserve"> coding exercise, Lee J wrote that “if…</w:t>
      </w:r>
      <w:r w:rsidRPr="001C300E">
        <w:rPr>
          <w:rFonts w:ascii="Times New Roman" w:hAnsi="Times New Roman" w:cs="Times New Roman"/>
        </w:rPr>
        <w:t>Parliament intended to make it pellucid exactly what licensees needed to do before entering into a credit contract, that effort miscarried</w:t>
      </w:r>
      <w:r>
        <w:rPr>
          <w:rFonts w:ascii="Times New Roman" w:hAnsi="Times New Roman" w:cs="Times New Roman"/>
        </w:rPr>
        <w:t>.”</w:t>
      </w:r>
      <w:r w:rsidRPr="00DD0131">
        <w:rPr>
          <w:rStyle w:val="FootnoteReference"/>
        </w:rPr>
        <w:footnoteReference w:id="141"/>
      </w:r>
      <w:r>
        <w:rPr>
          <w:rFonts w:ascii="Times New Roman" w:hAnsi="Times New Roman" w:cs="Times New Roman"/>
        </w:rPr>
        <w:t xml:space="preserve"> In light of the literature considered in Section II, it is argued that such a statement places Chapter III of the </w:t>
      </w:r>
      <w:r>
        <w:rPr>
          <w:rFonts w:ascii="Times New Roman" w:hAnsi="Times New Roman" w:cs="Times New Roman"/>
          <w:i/>
          <w:iCs/>
        </w:rPr>
        <w:t>National Credit Act</w:t>
      </w:r>
      <w:r>
        <w:rPr>
          <w:rFonts w:ascii="Times New Roman" w:hAnsi="Times New Roman" w:cs="Times New Roman"/>
        </w:rPr>
        <w:t xml:space="preserve"> irretrievably at odds with the notion of legal formalism. Attempting to code it in such way, therefore, was soon considered a fool’s errand.</w:t>
      </w:r>
    </w:p>
    <w:p w14:paraId="29F49122" w14:textId="4315C3B1" w:rsidR="00B15C6A" w:rsidRDefault="00F64D9C" w:rsidP="001C300E">
      <w:pPr>
        <w:spacing w:line="480" w:lineRule="auto"/>
        <w:jc w:val="both"/>
        <w:rPr>
          <w:rFonts w:ascii="Times New Roman" w:hAnsi="Times New Roman" w:cs="Times New Roman"/>
        </w:rPr>
      </w:pPr>
      <w:r w:rsidRPr="00F64D9C">
        <w:rPr>
          <w:rFonts w:ascii="Times New Roman" w:hAnsi="Times New Roman" w:cs="Times New Roman"/>
        </w:rPr>
        <w:t xml:space="preserve">In light </w:t>
      </w:r>
      <w:r>
        <w:rPr>
          <w:rFonts w:ascii="Times New Roman" w:hAnsi="Times New Roman" w:cs="Times New Roman"/>
        </w:rPr>
        <w:t>of these understandings, the approach which was ultimately applied in coding discretionary clauses was to treat them not as a question of law, as they would be considered by the courts, but as one of fact. To this end, one might interpret the relevant question</w:t>
      </w:r>
      <w:r w:rsidR="006F7A8D">
        <w:rPr>
          <w:rFonts w:ascii="Times New Roman" w:hAnsi="Times New Roman" w:cs="Times New Roman"/>
        </w:rPr>
        <w:t xml:space="preserve">s concerning the obligations described in, for example, s130(1), </w:t>
      </w:r>
      <w:r>
        <w:rPr>
          <w:rFonts w:ascii="Times New Roman" w:hAnsi="Times New Roman" w:cs="Times New Roman"/>
        </w:rPr>
        <w:t>being “is it factually correct that reasonable inquiries were made</w:t>
      </w:r>
      <w:r w:rsidR="006F7A8D">
        <w:rPr>
          <w:rFonts w:ascii="Times New Roman" w:hAnsi="Times New Roman" w:cs="Times New Roman"/>
        </w:rPr>
        <w:t xml:space="preserve"> regarding </w:t>
      </w:r>
      <w:r w:rsidR="006F7A8D">
        <w:rPr>
          <w:rFonts w:ascii="Times New Roman" w:hAnsi="Times New Roman" w:cs="Times New Roman"/>
          <w:i/>
          <w:iCs/>
        </w:rPr>
        <w:t>x</w:t>
      </w:r>
      <w:r>
        <w:rPr>
          <w:rFonts w:ascii="Times New Roman" w:hAnsi="Times New Roman" w:cs="Times New Roman"/>
        </w:rPr>
        <w:t>?” Such an approach is obviously problematic in that it knowingly distances itself from the approach the judiciary would take and places</w:t>
      </w:r>
      <w:r w:rsidR="000C620A">
        <w:rPr>
          <w:rFonts w:ascii="Times New Roman" w:hAnsi="Times New Roman" w:cs="Times New Roman"/>
        </w:rPr>
        <w:t xml:space="preserve"> </w:t>
      </w:r>
      <w:r>
        <w:rPr>
          <w:rFonts w:ascii="Times New Roman" w:hAnsi="Times New Roman" w:cs="Times New Roman"/>
        </w:rPr>
        <w:t>discretionary power in the hands of the user, whos</w:t>
      </w:r>
      <w:r w:rsidR="000C620A">
        <w:rPr>
          <w:rFonts w:ascii="Times New Roman" w:hAnsi="Times New Roman" w:cs="Times New Roman"/>
        </w:rPr>
        <w:t>e</w:t>
      </w:r>
      <w:r>
        <w:rPr>
          <w:rFonts w:ascii="Times New Roman" w:hAnsi="Times New Roman" w:cs="Times New Roman"/>
        </w:rPr>
        <w:t xml:space="preserve"> authority and role in the dispute is undefined. Despite this, it is argued that, absent a non-formalist method of algorithmically determining ‘reasonableness’, the factual approach is most practical and appropriate when considering the potential contexts in which such an application might be deployed. If operated in a private advisory context, the act of determining whether something is likely to be deemed ‘reasonable’ is performed regularly by licensees making internal judgements as to whether their processes are compliant with the law, and such an application would merely be an extension of this. If, however, such an application was deployed in a legally binding context,</w:t>
      </w:r>
      <w:r w:rsidRPr="00DD0131">
        <w:rPr>
          <w:rStyle w:val="FootnoteReference"/>
        </w:rPr>
        <w:footnoteReference w:id="142"/>
      </w:r>
      <w:r w:rsidR="006F00A3">
        <w:rPr>
          <w:rFonts w:ascii="Times New Roman" w:hAnsi="Times New Roman" w:cs="Times New Roman"/>
        </w:rPr>
        <w:t xml:space="preserve"> broader questions would need consideration </w:t>
      </w:r>
      <w:r w:rsidR="006F00A3">
        <w:rPr>
          <w:rFonts w:ascii="Times New Roman" w:hAnsi="Times New Roman" w:cs="Times New Roman"/>
        </w:rPr>
        <w:lastRenderedPageBreak/>
        <w:t>regarding the factual accuracy of all inputs. Though such questions threaten to breach the scope of this article, it is proposed that such user inputs could be treated  in the same manner in which a statutory declaration might, prompting the licensee to declare that they subjectively believe they have been ‘reasonable’ as informed by the relevant guidelines.</w:t>
      </w:r>
    </w:p>
    <w:p w14:paraId="4DCEE743" w14:textId="55D561D1" w:rsidR="00B15C6A" w:rsidRPr="00F64D9C" w:rsidRDefault="00B15C6A" w:rsidP="001C300E">
      <w:pPr>
        <w:spacing w:line="480" w:lineRule="auto"/>
        <w:jc w:val="both"/>
        <w:rPr>
          <w:rFonts w:ascii="Times New Roman" w:hAnsi="Times New Roman" w:cs="Times New Roman"/>
        </w:rPr>
      </w:pPr>
      <w:r>
        <w:rPr>
          <w:rFonts w:ascii="Times New Roman" w:hAnsi="Times New Roman" w:cs="Times New Roman"/>
        </w:rPr>
        <w:t>Ultimately, the coding exercise that was undertaken illustrated fairly clearly that adhering strictly to a formalist or non-formalist philosophy is unhelpful, both in describing and developing RaC. Within the context of the presently available literature, it was determined that a more appropriate method would be to emulate the modern approach to statutory interpretation. While such an approach is useful in the context of RaC, it is not one which is inherently designed to assist in translating from one language, plain text, to another, machine-consumable code, and thus, the remainder of this paper seeks to propose an alternative approach based off the manner in which legal texts are produced and published in multilingual jurisdictions.</w:t>
      </w:r>
    </w:p>
    <w:p w14:paraId="4EC80E82" w14:textId="77777777" w:rsidR="00096FD9" w:rsidRDefault="00096FD9" w:rsidP="001D223E">
      <w:pPr>
        <w:spacing w:line="480" w:lineRule="auto"/>
        <w:rPr>
          <w:rFonts w:ascii="Times New Roman" w:hAnsi="Times New Roman" w:cs="Times New Roman"/>
        </w:rPr>
      </w:pPr>
    </w:p>
    <w:p w14:paraId="7B2FB97B" w14:textId="0625A549" w:rsidR="00D73D79" w:rsidRDefault="00AD2743" w:rsidP="00D73D79">
      <w:pPr>
        <w:spacing w:line="480" w:lineRule="auto"/>
        <w:jc w:val="center"/>
        <w:rPr>
          <w:rFonts w:ascii="Times New Roman" w:hAnsi="Times New Roman" w:cs="Times New Roman"/>
          <w:sz w:val="24"/>
          <w:szCs w:val="24"/>
        </w:rPr>
      </w:pPr>
      <w:r>
        <w:rPr>
          <w:rFonts w:ascii="Times New Roman" w:hAnsi="Times New Roman" w:cs="Times New Roman"/>
          <w:sz w:val="28"/>
          <w:szCs w:val="28"/>
        </w:rPr>
        <w:t>V</w:t>
      </w:r>
      <w:r w:rsidR="00D73D79" w:rsidRPr="00B67F00">
        <w:rPr>
          <w:rFonts w:ascii="Times New Roman" w:hAnsi="Times New Roman" w:cs="Times New Roman"/>
          <w:sz w:val="28"/>
          <w:szCs w:val="28"/>
        </w:rPr>
        <w:tab/>
      </w:r>
      <w:r w:rsidR="00577AE0">
        <w:rPr>
          <w:rFonts w:ascii="Times New Roman" w:hAnsi="Times New Roman" w:cs="Times New Roman"/>
          <w:sz w:val="28"/>
          <w:szCs w:val="28"/>
        </w:rPr>
        <w:t>A</w:t>
      </w:r>
      <w:r>
        <w:rPr>
          <w:rFonts w:ascii="Times New Roman" w:hAnsi="Times New Roman" w:cs="Times New Roman"/>
          <w:sz w:val="24"/>
          <w:szCs w:val="24"/>
        </w:rPr>
        <w:t xml:space="preserve">N </w:t>
      </w:r>
      <w:r>
        <w:rPr>
          <w:rFonts w:ascii="Times New Roman" w:hAnsi="Times New Roman" w:cs="Times New Roman"/>
          <w:sz w:val="28"/>
          <w:szCs w:val="28"/>
        </w:rPr>
        <w:t>A</w:t>
      </w:r>
      <w:r>
        <w:rPr>
          <w:rFonts w:ascii="Times New Roman" w:hAnsi="Times New Roman" w:cs="Times New Roman"/>
          <w:sz w:val="24"/>
          <w:szCs w:val="24"/>
        </w:rPr>
        <w:t xml:space="preserve">LTERNATIVE </w:t>
      </w:r>
      <w:r>
        <w:rPr>
          <w:rFonts w:ascii="Times New Roman" w:hAnsi="Times New Roman" w:cs="Times New Roman"/>
          <w:sz w:val="28"/>
          <w:szCs w:val="28"/>
        </w:rPr>
        <w:t>A</w:t>
      </w:r>
      <w:r>
        <w:rPr>
          <w:rFonts w:ascii="Times New Roman" w:hAnsi="Times New Roman" w:cs="Times New Roman"/>
          <w:sz w:val="24"/>
          <w:szCs w:val="24"/>
        </w:rPr>
        <w:t xml:space="preserve">PPROACH: </w:t>
      </w:r>
      <w:r>
        <w:rPr>
          <w:rFonts w:ascii="Times New Roman" w:hAnsi="Times New Roman" w:cs="Times New Roman"/>
          <w:sz w:val="28"/>
          <w:szCs w:val="28"/>
        </w:rPr>
        <w:t>M</w:t>
      </w:r>
      <w:r>
        <w:rPr>
          <w:rFonts w:ascii="Times New Roman" w:hAnsi="Times New Roman" w:cs="Times New Roman"/>
          <w:sz w:val="24"/>
          <w:szCs w:val="24"/>
        </w:rPr>
        <w:t xml:space="preserve">ULTILINGUAL </w:t>
      </w:r>
      <w:r>
        <w:rPr>
          <w:rFonts w:ascii="Times New Roman" w:hAnsi="Times New Roman" w:cs="Times New Roman"/>
          <w:sz w:val="28"/>
          <w:szCs w:val="28"/>
        </w:rPr>
        <w:t>L</w:t>
      </w:r>
      <w:r>
        <w:rPr>
          <w:rFonts w:ascii="Times New Roman" w:hAnsi="Times New Roman" w:cs="Times New Roman"/>
          <w:sz w:val="24"/>
          <w:szCs w:val="24"/>
        </w:rPr>
        <w:t>EGISLATION</w:t>
      </w:r>
    </w:p>
    <w:p w14:paraId="5CCD878F" w14:textId="7CCC0EE7" w:rsidR="001D02D8" w:rsidRPr="00702FCF" w:rsidRDefault="006F00A3" w:rsidP="006F00A3">
      <w:pPr>
        <w:spacing w:line="480" w:lineRule="auto"/>
        <w:jc w:val="both"/>
        <w:rPr>
          <w:rFonts w:ascii="Times New Roman" w:hAnsi="Times New Roman" w:cs="Times New Roman"/>
        </w:rPr>
      </w:pPr>
      <w:r w:rsidRPr="00702FCF">
        <w:rPr>
          <w:rFonts w:ascii="Times New Roman" w:hAnsi="Times New Roman" w:cs="Times New Roman"/>
        </w:rPr>
        <w:t>Absent a clear solution stemming from comparisons of formalism and non-formalism-influenced coding, it proposed, as alluded to in Section II, that analysing the approaches taken in jurisdictions with multilingual legislation could bare more positive findings.</w:t>
      </w:r>
      <w:r w:rsidR="00C32282">
        <w:rPr>
          <w:rFonts w:ascii="Times New Roman" w:hAnsi="Times New Roman" w:cs="Times New Roman"/>
        </w:rPr>
        <w:t xml:space="preserve"> This section argues that lessons learned from multilingual jurisdictions are particularly applicable to both the development and publication of RaC by showing similarities in the challenges faced and applying principles of legal translation to RaC issues.</w:t>
      </w:r>
      <w:r w:rsidR="004F551B" w:rsidRPr="00702FCF">
        <w:rPr>
          <w:rFonts w:ascii="Times New Roman" w:hAnsi="Times New Roman" w:cs="Times New Roman"/>
        </w:rPr>
        <w:t xml:space="preserve"> </w:t>
      </w:r>
      <w:r w:rsidR="00577AE0" w:rsidRPr="00702FCF">
        <w:rPr>
          <w:rFonts w:ascii="Times New Roman" w:hAnsi="Times New Roman" w:cs="Times New Roman"/>
        </w:rPr>
        <w:t xml:space="preserve">Concerning multilingual drafting in the context of a supranational regime such as the </w:t>
      </w:r>
      <w:r w:rsidR="00727ED7" w:rsidRPr="00702FCF">
        <w:rPr>
          <w:rFonts w:ascii="Times New Roman" w:hAnsi="Times New Roman" w:cs="Times New Roman"/>
        </w:rPr>
        <w:t>EU</w:t>
      </w:r>
      <w:r w:rsidR="00577AE0" w:rsidRPr="00702FCF">
        <w:rPr>
          <w:rFonts w:ascii="Times New Roman" w:hAnsi="Times New Roman" w:cs="Times New Roman"/>
        </w:rPr>
        <w:t>, Solan</w:t>
      </w:r>
      <w:r w:rsidR="00577AE0" w:rsidRPr="00DD0131">
        <w:rPr>
          <w:rStyle w:val="FootnoteReference"/>
        </w:rPr>
        <w:footnoteReference w:id="143"/>
      </w:r>
      <w:r w:rsidR="00577AE0" w:rsidRPr="00702FCF">
        <w:rPr>
          <w:rFonts w:ascii="Times New Roman" w:hAnsi="Times New Roman" w:cs="Times New Roman"/>
        </w:rPr>
        <w:t xml:space="preserve"> identifies three goals: equality of language, fidelity in interpretation and efficiency of translation.</w:t>
      </w:r>
      <w:r w:rsidR="00577AE0" w:rsidRPr="00DD0131">
        <w:rPr>
          <w:rStyle w:val="FootnoteReference"/>
        </w:rPr>
        <w:footnoteReference w:id="144"/>
      </w:r>
      <w:r w:rsidR="00577AE0" w:rsidRPr="00702FCF">
        <w:rPr>
          <w:rFonts w:ascii="Times New Roman" w:hAnsi="Times New Roman" w:cs="Times New Roman"/>
        </w:rPr>
        <w:t xml:space="preserve"> Though certainly an important consideration in encoding legal rules, the latter falls outside of the scope of the presently tested methodology, which instead purports to consider and compare equality with fidelity. Where the multilingual notion of equality is concerned with the </w:t>
      </w:r>
      <w:r w:rsidR="00727ED7" w:rsidRPr="00702FCF">
        <w:rPr>
          <w:rFonts w:ascii="Times New Roman" w:hAnsi="Times New Roman" w:cs="Times New Roman"/>
        </w:rPr>
        <w:t>EU</w:t>
      </w:r>
      <w:r w:rsidR="00577AE0" w:rsidRPr="00702FCF">
        <w:rPr>
          <w:rFonts w:ascii="Times New Roman" w:hAnsi="Times New Roman" w:cs="Times New Roman"/>
        </w:rPr>
        <w:t xml:space="preserve">’s </w:t>
      </w:r>
      <w:r w:rsidR="00577AE0" w:rsidRPr="00702FCF">
        <w:rPr>
          <w:rFonts w:ascii="Times New Roman" w:hAnsi="Times New Roman" w:cs="Times New Roman"/>
        </w:rPr>
        <w:lastRenderedPageBreak/>
        <w:t>declaration that all translations of a law hold equal authority,</w:t>
      </w:r>
      <w:r w:rsidR="00577AE0" w:rsidRPr="00DD0131">
        <w:rPr>
          <w:rStyle w:val="FootnoteReference"/>
        </w:rPr>
        <w:footnoteReference w:id="145"/>
      </w:r>
      <w:r w:rsidR="00577AE0" w:rsidRPr="00702FCF">
        <w:rPr>
          <w:rFonts w:ascii="Times New Roman" w:hAnsi="Times New Roman" w:cs="Times New Roman"/>
        </w:rPr>
        <w:t xml:space="preserve"> this article questions whether such an affirmation should be made with regards to the authority of any conclusions reached by digitised legislation. Similarly, the notion of fidelity is prioritised in both multilingualism and digitisation of legislation, with this article’s considerations of ambiguity and syntactic differences between </w:t>
      </w:r>
      <w:r w:rsidR="00CA509C">
        <w:rPr>
          <w:rFonts w:ascii="Times New Roman" w:hAnsi="Times New Roman" w:cs="Times New Roman"/>
        </w:rPr>
        <w:t xml:space="preserve">natural </w:t>
      </w:r>
      <w:r w:rsidR="00577AE0" w:rsidRPr="00702FCF">
        <w:rPr>
          <w:rFonts w:ascii="Times New Roman" w:hAnsi="Times New Roman" w:cs="Times New Roman"/>
        </w:rPr>
        <w:t>languages mirroring the concerns of legal translators.</w:t>
      </w:r>
    </w:p>
    <w:p w14:paraId="0ED472E7" w14:textId="77777777" w:rsidR="00096FD9" w:rsidRDefault="00096FD9" w:rsidP="001D223E">
      <w:pPr>
        <w:spacing w:line="480" w:lineRule="auto"/>
      </w:pPr>
    </w:p>
    <w:p w14:paraId="1E5520DD" w14:textId="77777777" w:rsidR="00096FD9" w:rsidRDefault="00096FD9" w:rsidP="00096FD9">
      <w:pPr>
        <w:spacing w:line="480" w:lineRule="auto"/>
        <w:jc w:val="center"/>
        <w:rPr>
          <w:rFonts w:ascii="Times New Roman" w:hAnsi="Times New Roman" w:cs="Times New Roman"/>
          <w:sz w:val="24"/>
          <w:szCs w:val="24"/>
        </w:rPr>
      </w:pPr>
      <w:r>
        <w:rPr>
          <w:rFonts w:ascii="Times New Roman" w:hAnsi="Times New Roman" w:cs="Times New Roman"/>
          <w:sz w:val="24"/>
          <w:szCs w:val="24"/>
        </w:rPr>
        <w:t>A</w:t>
      </w:r>
      <w:r w:rsidRPr="00B67F00">
        <w:rPr>
          <w:rFonts w:ascii="Times New Roman" w:hAnsi="Times New Roman" w:cs="Times New Roman"/>
          <w:sz w:val="24"/>
          <w:szCs w:val="24"/>
        </w:rPr>
        <w:t xml:space="preserve"> </w:t>
      </w:r>
      <w:r>
        <w:rPr>
          <w:rFonts w:ascii="Times New Roman" w:hAnsi="Times New Roman" w:cs="Times New Roman"/>
          <w:i/>
          <w:iCs/>
          <w:sz w:val="24"/>
          <w:szCs w:val="24"/>
        </w:rPr>
        <w:t>Equality</w:t>
      </w:r>
    </w:p>
    <w:p w14:paraId="4A106EF1" w14:textId="3B64B0D3" w:rsidR="00AE538D" w:rsidRPr="002B70F8" w:rsidRDefault="00096FD9" w:rsidP="00AE538D">
      <w:pPr>
        <w:spacing w:line="480" w:lineRule="auto"/>
        <w:jc w:val="both"/>
        <w:rPr>
          <w:rFonts w:ascii="Times New Roman" w:hAnsi="Times New Roman" w:cs="Times New Roman"/>
        </w:rPr>
      </w:pPr>
      <w:r w:rsidRPr="002B70F8">
        <w:rPr>
          <w:rFonts w:ascii="Times New Roman" w:hAnsi="Times New Roman" w:cs="Times New Roman"/>
        </w:rPr>
        <w:t xml:space="preserve">A largely unanswered question amongst RaC endeavours is that of the context in which such a solution might be deployed, yet such a decision is arguably vital in ensuring efficient and effective development both from a technical and legal standpoint. The question of how constitutionally valid the act of programming law might be can only be answered when the program’s contextual application, and therefore its standing compared with standard legislation, is </w:t>
      </w:r>
      <w:r w:rsidR="00142440" w:rsidRPr="002B70F8">
        <w:rPr>
          <w:rFonts w:ascii="Times New Roman" w:hAnsi="Times New Roman" w:cs="Times New Roman"/>
        </w:rPr>
        <w:t xml:space="preserve">known. </w:t>
      </w:r>
    </w:p>
    <w:p w14:paraId="703CA465" w14:textId="58F51A0B" w:rsidR="00142440" w:rsidRPr="002B70F8" w:rsidRDefault="00142440" w:rsidP="00AE538D">
      <w:pPr>
        <w:spacing w:line="480" w:lineRule="auto"/>
        <w:jc w:val="both"/>
        <w:rPr>
          <w:rFonts w:ascii="Times New Roman" w:hAnsi="Times New Roman" w:cs="Times New Roman"/>
        </w:rPr>
      </w:pPr>
      <w:r w:rsidRPr="002B70F8">
        <w:rPr>
          <w:rFonts w:ascii="Times New Roman" w:hAnsi="Times New Roman" w:cs="Times New Roman"/>
        </w:rPr>
        <w:t>For present purposes, it is posited that a spectrum describing legal authority upon which an RaC application might be placed, can be split into three broad areas: advisory, influential, and binding.</w:t>
      </w:r>
      <w:r w:rsidR="00AE538D" w:rsidRPr="002B70F8">
        <w:rPr>
          <w:rFonts w:ascii="Times New Roman" w:hAnsi="Times New Roman" w:cs="Times New Roman"/>
        </w:rPr>
        <w:t xml:space="preserve"> </w:t>
      </w:r>
      <w:r w:rsidR="004F551B">
        <w:rPr>
          <w:rFonts w:ascii="Times New Roman" w:hAnsi="Times New Roman" w:cs="Times New Roman"/>
        </w:rPr>
        <w:t>For example, within</w:t>
      </w:r>
      <w:r w:rsidR="00AE538D" w:rsidRPr="002B70F8">
        <w:rPr>
          <w:rFonts w:ascii="Times New Roman" w:hAnsi="Times New Roman" w:cs="Times New Roman"/>
        </w:rPr>
        <w:t xml:space="preserve"> the context of Australia’s banking compliance framework</w:t>
      </w:r>
      <w:r w:rsidR="004F551B">
        <w:rPr>
          <w:rFonts w:ascii="Times New Roman" w:hAnsi="Times New Roman" w:cs="Times New Roman"/>
        </w:rPr>
        <w:t xml:space="preserve">, the </w:t>
      </w:r>
      <w:r w:rsidR="00AE538D" w:rsidRPr="002B70F8">
        <w:rPr>
          <w:rFonts w:ascii="Times New Roman" w:hAnsi="Times New Roman" w:cs="Times New Roman"/>
        </w:rPr>
        <w:t>‘advisory’ section of such a spectrum might be populated by legal textbooks on consumer law or a barrister’s opinion, while the ‘influential’ area would be populated, for example, by ASIC’s regulatory guidelines and explanatory memoranda. Within the ‘binding’ portion of the spectrum, one would expect caselaw, regulations and statute.</w:t>
      </w:r>
    </w:p>
    <w:p w14:paraId="34A7C6E0" w14:textId="1ABD2E94" w:rsidR="00AE538D" w:rsidRPr="00160C66" w:rsidRDefault="00AE538D" w:rsidP="00AE538D">
      <w:pPr>
        <w:spacing w:line="480" w:lineRule="auto"/>
        <w:jc w:val="both"/>
        <w:rPr>
          <w:rFonts w:ascii="Times New Roman" w:hAnsi="Times New Roman" w:cs="Times New Roman"/>
        </w:rPr>
      </w:pPr>
      <w:r w:rsidRPr="00160C66">
        <w:rPr>
          <w:rFonts w:ascii="Times New Roman" w:hAnsi="Times New Roman" w:cs="Times New Roman"/>
        </w:rPr>
        <w:t xml:space="preserve">Considering in which third of this spectrum an RaC application might be deployed helps to define the constitutional roadblocks a programmer might navigate in interpreting and publishing, while also assisting in setting boundaries upon the actual functionality and design of the application. For example, </w:t>
      </w:r>
      <w:r w:rsidR="002A2B60">
        <w:rPr>
          <w:rFonts w:ascii="Times New Roman" w:hAnsi="Times New Roman" w:cs="Times New Roman"/>
        </w:rPr>
        <w:t>AUSTLII’s</w:t>
      </w:r>
      <w:r w:rsidRPr="00160C66">
        <w:rPr>
          <w:rFonts w:ascii="Times New Roman" w:hAnsi="Times New Roman" w:cs="Times New Roman"/>
        </w:rPr>
        <w:t xml:space="preserve"> </w:t>
      </w:r>
      <w:r w:rsidR="002B70F8" w:rsidRPr="00160C66">
        <w:rPr>
          <w:rFonts w:ascii="Times New Roman" w:hAnsi="Times New Roman" w:cs="Times New Roman"/>
        </w:rPr>
        <w:t>‘ElectKB’ application</w:t>
      </w:r>
      <w:r w:rsidR="002B70F8" w:rsidRPr="00DD0131">
        <w:rPr>
          <w:rStyle w:val="FootnoteReference"/>
        </w:rPr>
        <w:footnoteReference w:id="146"/>
      </w:r>
      <w:r w:rsidR="002B70F8" w:rsidRPr="00160C66">
        <w:rPr>
          <w:rFonts w:ascii="Times New Roman" w:hAnsi="Times New Roman" w:cs="Times New Roman"/>
        </w:rPr>
        <w:t xml:space="preserve"> gathers information and draws conclusions surrounding an </w:t>
      </w:r>
      <w:r w:rsidR="002B70F8" w:rsidRPr="00160C66">
        <w:rPr>
          <w:rFonts w:ascii="Times New Roman" w:hAnsi="Times New Roman" w:cs="Times New Roman"/>
        </w:rPr>
        <w:lastRenderedPageBreak/>
        <w:t xml:space="preserve">individual’s eligibility as a member of </w:t>
      </w:r>
      <w:r w:rsidR="002A2B60">
        <w:rPr>
          <w:rFonts w:ascii="Times New Roman" w:hAnsi="Times New Roman" w:cs="Times New Roman"/>
        </w:rPr>
        <w:t>federal parliament</w:t>
      </w:r>
      <w:r w:rsidR="00DF5049" w:rsidRPr="00160C66">
        <w:rPr>
          <w:rFonts w:ascii="Times New Roman" w:hAnsi="Times New Roman" w:cs="Times New Roman"/>
          <w:i/>
          <w:iCs/>
        </w:rPr>
        <w:t>.</w:t>
      </w:r>
      <w:r w:rsidR="00E9528A" w:rsidRPr="00DD0131">
        <w:rPr>
          <w:rStyle w:val="FootnoteReference"/>
        </w:rPr>
        <w:footnoteReference w:id="147"/>
      </w:r>
      <w:r w:rsidR="00DF5049" w:rsidRPr="00160C66">
        <w:rPr>
          <w:rFonts w:ascii="Times New Roman" w:hAnsi="Times New Roman" w:cs="Times New Roman"/>
        </w:rPr>
        <w:t xml:space="preserve"> </w:t>
      </w:r>
      <w:r w:rsidR="00C153C2" w:rsidRPr="00160C66">
        <w:rPr>
          <w:rFonts w:ascii="Times New Roman" w:hAnsi="Times New Roman" w:cs="Times New Roman"/>
        </w:rPr>
        <w:t>This is achieved</w:t>
      </w:r>
      <w:r w:rsidR="00DF5049" w:rsidRPr="00160C66">
        <w:rPr>
          <w:rFonts w:ascii="Times New Roman" w:hAnsi="Times New Roman" w:cs="Times New Roman"/>
        </w:rPr>
        <w:t xml:space="preserve"> through a simple chatbot interface in which users are asked relevant questions and can respond only with ‘yes’, ‘no’, ‘uncertain’ or ask why a question is relevant. </w:t>
      </w:r>
      <w:r w:rsidR="00C909E9" w:rsidRPr="00160C66">
        <w:rPr>
          <w:rFonts w:ascii="Times New Roman" w:hAnsi="Times New Roman" w:cs="Times New Roman"/>
        </w:rPr>
        <w:t xml:space="preserve">ElectKB </w:t>
      </w:r>
      <w:r w:rsidR="00A07E0D" w:rsidRPr="00160C66">
        <w:rPr>
          <w:rFonts w:ascii="Times New Roman" w:hAnsi="Times New Roman" w:cs="Times New Roman"/>
        </w:rPr>
        <w:t xml:space="preserve">simply accepts limited inputs to hard-coded questions as facts and applies them directly to a straightforward set of rules from relevant </w:t>
      </w:r>
      <w:r w:rsidR="009C44D9">
        <w:rPr>
          <w:rFonts w:ascii="Times New Roman" w:hAnsi="Times New Roman" w:cs="Times New Roman"/>
        </w:rPr>
        <w:t>legislative pieces</w:t>
      </w:r>
      <w:r w:rsidR="00A07E0D" w:rsidRPr="00160C66">
        <w:rPr>
          <w:rFonts w:ascii="Times New Roman" w:hAnsi="Times New Roman" w:cs="Times New Roman"/>
        </w:rPr>
        <w:t>,</w:t>
      </w:r>
      <w:r w:rsidR="009C44D9" w:rsidRPr="00DD0131">
        <w:rPr>
          <w:rStyle w:val="FootnoteReference"/>
        </w:rPr>
        <w:footnoteReference w:id="148"/>
      </w:r>
      <w:r w:rsidR="00A07E0D" w:rsidRPr="00160C66">
        <w:rPr>
          <w:rFonts w:ascii="Times New Roman" w:hAnsi="Times New Roman" w:cs="Times New Roman"/>
        </w:rPr>
        <w:t xml:space="preserve"> and thus b</w:t>
      </w:r>
      <w:r w:rsidR="00C909E9" w:rsidRPr="00160C66">
        <w:rPr>
          <w:rFonts w:ascii="Times New Roman" w:hAnsi="Times New Roman" w:cs="Times New Roman"/>
        </w:rPr>
        <w:t>eyond its obvious purpose as a basic proof of concept for RaC applications, ElectKB</w:t>
      </w:r>
      <w:r w:rsidR="00A07E0D" w:rsidRPr="00160C66">
        <w:rPr>
          <w:rFonts w:ascii="Times New Roman" w:hAnsi="Times New Roman" w:cs="Times New Roman"/>
        </w:rPr>
        <w:t>’s sole objective is to advise its user of the relevant law.</w:t>
      </w:r>
      <w:r w:rsidR="009C44D9" w:rsidRPr="00DD0131">
        <w:rPr>
          <w:rStyle w:val="FootnoteReference"/>
        </w:rPr>
        <w:footnoteReference w:id="149"/>
      </w:r>
      <w:r w:rsidR="00A07E0D" w:rsidRPr="00160C66">
        <w:rPr>
          <w:rFonts w:ascii="Times New Roman" w:hAnsi="Times New Roman" w:cs="Times New Roman"/>
        </w:rPr>
        <w:t xml:space="preserve"> In contrast, the use of automation tools in the judiciary, such as the Wisconsin Supreme Court’s use of the COMPAS software to predict recidivism,</w:t>
      </w:r>
      <w:r w:rsidR="00CA509C">
        <w:rPr>
          <w:rStyle w:val="FootnoteReference"/>
          <w:rFonts w:ascii="Times New Roman" w:hAnsi="Times New Roman" w:cs="Times New Roman"/>
        </w:rPr>
        <w:footnoteReference w:id="150"/>
      </w:r>
      <w:r w:rsidR="00A07E0D" w:rsidRPr="00160C66">
        <w:rPr>
          <w:rFonts w:ascii="Times New Roman" w:hAnsi="Times New Roman" w:cs="Times New Roman"/>
        </w:rPr>
        <w:t xml:space="preserve"> </w:t>
      </w:r>
      <w:r w:rsidR="00457DE7" w:rsidRPr="00160C66">
        <w:rPr>
          <w:rFonts w:ascii="Times New Roman" w:hAnsi="Times New Roman" w:cs="Times New Roman"/>
        </w:rPr>
        <w:t xml:space="preserve">provide insights through complex algorithms which influence judicial decision-making, and </w:t>
      </w:r>
      <w:r w:rsidR="00A07E0D" w:rsidRPr="00160C66">
        <w:rPr>
          <w:rFonts w:ascii="Times New Roman" w:hAnsi="Times New Roman" w:cs="Times New Roman"/>
        </w:rPr>
        <w:t>would fall within the boundaries of ‘influential’.</w:t>
      </w:r>
      <w:r w:rsidR="00FA5461">
        <w:rPr>
          <w:rFonts w:ascii="Times New Roman" w:hAnsi="Times New Roman" w:cs="Times New Roman"/>
        </w:rPr>
        <w:t xml:space="preserve"> </w:t>
      </w:r>
      <w:r w:rsidR="00C153C2" w:rsidRPr="00160C66">
        <w:rPr>
          <w:rFonts w:ascii="Times New Roman" w:hAnsi="Times New Roman" w:cs="Times New Roman"/>
        </w:rPr>
        <w:t>Finally, Centrelink’s Online Compliance Intervention scheme, better known as ‘robodebt’,</w:t>
      </w:r>
      <w:r w:rsidR="00D15386">
        <w:rPr>
          <w:rStyle w:val="FootnoteReference"/>
          <w:rFonts w:ascii="Times New Roman" w:hAnsi="Times New Roman" w:cs="Times New Roman"/>
        </w:rPr>
        <w:footnoteReference w:id="151"/>
      </w:r>
      <w:r w:rsidR="00C153C2" w:rsidRPr="00160C66">
        <w:rPr>
          <w:rFonts w:ascii="Times New Roman" w:hAnsi="Times New Roman" w:cs="Times New Roman"/>
        </w:rPr>
        <w:t xml:space="preserve"> might arguably be considered ‘binding’, with a caveat. Strictly, the </w:t>
      </w:r>
      <w:r w:rsidR="003B7661">
        <w:rPr>
          <w:rFonts w:ascii="Times New Roman" w:hAnsi="Times New Roman" w:cs="Times New Roman"/>
        </w:rPr>
        <w:t xml:space="preserve">Full </w:t>
      </w:r>
      <w:r w:rsidR="00C153C2" w:rsidRPr="00160C66">
        <w:rPr>
          <w:rFonts w:ascii="Times New Roman" w:hAnsi="Times New Roman" w:cs="Times New Roman"/>
        </w:rPr>
        <w:t xml:space="preserve">Federal Court </w:t>
      </w:r>
      <w:r w:rsidR="003B7661">
        <w:rPr>
          <w:rFonts w:ascii="Times New Roman" w:hAnsi="Times New Roman" w:cs="Times New Roman"/>
        </w:rPr>
        <w:t xml:space="preserve">majority </w:t>
      </w:r>
      <w:r w:rsidR="00160C66" w:rsidRPr="00160C66">
        <w:rPr>
          <w:rFonts w:ascii="Times New Roman" w:hAnsi="Times New Roman" w:cs="Times New Roman"/>
        </w:rPr>
        <w:t xml:space="preserve">held in </w:t>
      </w:r>
      <w:r w:rsidR="00160C66" w:rsidRPr="00160C66">
        <w:rPr>
          <w:rFonts w:ascii="Times New Roman" w:hAnsi="Times New Roman" w:cs="Times New Roman"/>
          <w:i/>
          <w:iCs/>
        </w:rPr>
        <w:t>Pintarich v Deputy Commission of Taxation</w:t>
      </w:r>
      <w:r w:rsidR="005E18DF">
        <w:rPr>
          <w:rStyle w:val="FootnoteReference"/>
          <w:rFonts w:ascii="Times New Roman" w:hAnsi="Times New Roman" w:cs="Times New Roman"/>
          <w:i/>
          <w:iCs/>
        </w:rPr>
        <w:footnoteReference w:id="152"/>
      </w:r>
      <w:r w:rsidR="001A3C0C">
        <w:rPr>
          <w:rFonts w:ascii="Times New Roman" w:hAnsi="Times New Roman" w:cs="Times New Roman"/>
        </w:rPr>
        <w:t xml:space="preserve"> (“</w:t>
      </w:r>
      <w:r w:rsidR="001A3C0C">
        <w:rPr>
          <w:rFonts w:ascii="Times New Roman" w:hAnsi="Times New Roman" w:cs="Times New Roman"/>
          <w:i/>
          <w:iCs/>
        </w:rPr>
        <w:t>Pintarich</w:t>
      </w:r>
      <w:r w:rsidR="001A3C0C">
        <w:rPr>
          <w:rFonts w:ascii="Times New Roman" w:hAnsi="Times New Roman" w:cs="Times New Roman"/>
        </w:rPr>
        <w:t>”)</w:t>
      </w:r>
      <w:r w:rsidR="00160C66" w:rsidRPr="00160C66">
        <w:rPr>
          <w:rFonts w:ascii="Times New Roman" w:hAnsi="Times New Roman" w:cs="Times New Roman"/>
          <w:i/>
          <w:iCs/>
        </w:rPr>
        <w:t xml:space="preserve"> </w:t>
      </w:r>
      <w:r w:rsidR="00C153C2" w:rsidRPr="00160C66">
        <w:rPr>
          <w:rFonts w:ascii="Times New Roman" w:hAnsi="Times New Roman" w:cs="Times New Roman"/>
        </w:rPr>
        <w:t>that a binding decision cannot be made without a mental process on the part of the authorised officer,</w:t>
      </w:r>
      <w:r w:rsidR="00C153C2" w:rsidRPr="00DD0131">
        <w:rPr>
          <w:rStyle w:val="FootnoteReference"/>
        </w:rPr>
        <w:footnoteReference w:id="153"/>
      </w:r>
      <w:r w:rsidR="00C153C2" w:rsidRPr="00160C66">
        <w:rPr>
          <w:rFonts w:ascii="Times New Roman" w:hAnsi="Times New Roman" w:cs="Times New Roman"/>
        </w:rPr>
        <w:t xml:space="preserve"> </w:t>
      </w:r>
      <w:r w:rsidR="0074091F" w:rsidRPr="00160C66">
        <w:rPr>
          <w:rFonts w:ascii="Times New Roman" w:hAnsi="Times New Roman" w:cs="Times New Roman"/>
        </w:rPr>
        <w:t xml:space="preserve">though by placing an onus upon debtors to take action on behalf of an executive agency, the scheme purported itself to be binding, </w:t>
      </w:r>
      <w:r w:rsidR="00F52DFA">
        <w:rPr>
          <w:rFonts w:ascii="Times New Roman" w:hAnsi="Times New Roman" w:cs="Times New Roman"/>
        </w:rPr>
        <w:t>creating a presumption of validity</w:t>
      </w:r>
      <w:r w:rsidR="0074091F" w:rsidRPr="00160C66">
        <w:rPr>
          <w:rFonts w:ascii="Times New Roman" w:hAnsi="Times New Roman" w:cs="Times New Roman"/>
        </w:rPr>
        <w:t>.</w:t>
      </w:r>
      <w:r w:rsidR="0074091F" w:rsidRPr="00DD0131">
        <w:rPr>
          <w:rStyle w:val="FootnoteReference"/>
        </w:rPr>
        <w:footnoteReference w:id="154"/>
      </w:r>
      <w:r w:rsidR="00FA5461">
        <w:rPr>
          <w:rFonts w:ascii="Times New Roman" w:hAnsi="Times New Roman" w:cs="Times New Roman"/>
        </w:rPr>
        <w:t xml:space="preserve"> </w:t>
      </w:r>
    </w:p>
    <w:p w14:paraId="6230450B" w14:textId="02949CC4" w:rsidR="0074091F" w:rsidRDefault="0074091F" w:rsidP="00AE538D">
      <w:pPr>
        <w:spacing w:line="480" w:lineRule="auto"/>
        <w:jc w:val="both"/>
        <w:rPr>
          <w:rFonts w:ascii="Times New Roman" w:hAnsi="Times New Roman" w:cs="Times New Roman"/>
        </w:rPr>
      </w:pPr>
      <w:r>
        <w:rPr>
          <w:rFonts w:ascii="Times New Roman" w:hAnsi="Times New Roman" w:cs="Times New Roman"/>
        </w:rPr>
        <w:t xml:space="preserve">That the provided examples grow increasingly controversial as one travels positively along the spectrum of legal authority should come as no surprise and illustrates the importance of context in determining how constitutionally valid the act of converting legislation to code might be. </w:t>
      </w:r>
      <w:r w:rsidR="001A3C0C">
        <w:rPr>
          <w:rFonts w:ascii="Times New Roman" w:hAnsi="Times New Roman" w:cs="Times New Roman"/>
        </w:rPr>
        <w:t xml:space="preserve">Indeed, if the </w:t>
      </w:r>
      <w:r w:rsidR="001A3C0C">
        <w:rPr>
          <w:rFonts w:ascii="Times New Roman" w:hAnsi="Times New Roman" w:cs="Times New Roman"/>
          <w:i/>
          <w:iCs/>
        </w:rPr>
        <w:t>Pintarich</w:t>
      </w:r>
      <w:r w:rsidR="001A3C0C">
        <w:rPr>
          <w:rFonts w:ascii="Times New Roman" w:hAnsi="Times New Roman" w:cs="Times New Roman"/>
        </w:rPr>
        <w:t xml:space="preserve"> decision holds, it would seem that an RaC application could </w:t>
      </w:r>
      <w:r w:rsidR="00532F0E">
        <w:rPr>
          <w:rFonts w:ascii="Times New Roman" w:hAnsi="Times New Roman" w:cs="Times New Roman"/>
        </w:rPr>
        <w:t>not</w:t>
      </w:r>
      <w:r w:rsidR="001A3C0C">
        <w:rPr>
          <w:rFonts w:ascii="Times New Roman" w:hAnsi="Times New Roman" w:cs="Times New Roman"/>
        </w:rPr>
        <w:t xml:space="preserve"> be taken to have binding outputs</w:t>
      </w:r>
      <w:r w:rsidR="00722174">
        <w:rPr>
          <w:rFonts w:ascii="Times New Roman" w:hAnsi="Times New Roman" w:cs="Times New Roman"/>
        </w:rPr>
        <w:t>,</w:t>
      </w:r>
      <w:r w:rsidR="00532F0E">
        <w:rPr>
          <w:rFonts w:ascii="Times New Roman" w:hAnsi="Times New Roman" w:cs="Times New Roman"/>
        </w:rPr>
        <w:t xml:space="preserve"> insofar </w:t>
      </w:r>
      <w:r w:rsidR="00532F0E">
        <w:rPr>
          <w:rFonts w:ascii="Times New Roman" w:hAnsi="Times New Roman" w:cs="Times New Roman"/>
        </w:rPr>
        <w:lastRenderedPageBreak/>
        <w:t>that ‘decision-making’ is required</w:t>
      </w:r>
      <w:r w:rsidR="00722174">
        <w:rPr>
          <w:rFonts w:ascii="Times New Roman" w:hAnsi="Times New Roman" w:cs="Times New Roman"/>
        </w:rPr>
        <w:t>,</w:t>
      </w:r>
      <w:r w:rsidR="00532F0E">
        <w:rPr>
          <w:rFonts w:ascii="Times New Roman" w:hAnsi="Times New Roman" w:cs="Times New Roman"/>
        </w:rPr>
        <w:t xml:space="preserve"> </w:t>
      </w:r>
      <w:r w:rsidR="001A3C0C">
        <w:rPr>
          <w:rFonts w:ascii="Times New Roman" w:hAnsi="Times New Roman" w:cs="Times New Roman"/>
        </w:rPr>
        <w:t xml:space="preserve">without some form of human </w:t>
      </w:r>
      <w:r w:rsidR="00D15386">
        <w:rPr>
          <w:rFonts w:ascii="Times New Roman" w:hAnsi="Times New Roman" w:cs="Times New Roman"/>
        </w:rPr>
        <w:t>intervention,</w:t>
      </w:r>
      <w:r w:rsidR="003B7661">
        <w:rPr>
          <w:rFonts w:ascii="Times New Roman" w:hAnsi="Times New Roman" w:cs="Times New Roman"/>
        </w:rPr>
        <w:t xml:space="preserve"> though this condition is not certain</w:t>
      </w:r>
      <w:r w:rsidR="00926552">
        <w:rPr>
          <w:rFonts w:ascii="Times New Roman" w:hAnsi="Times New Roman" w:cs="Times New Roman"/>
        </w:rPr>
        <w:t xml:space="preserve">. In his dissent, Kerr J argued that the ‘mental process’ element relied upon by the majority, stemming from Finn J in </w:t>
      </w:r>
      <w:r w:rsidR="00926552">
        <w:rPr>
          <w:rFonts w:ascii="Times New Roman" w:hAnsi="Times New Roman" w:cs="Times New Roman"/>
          <w:i/>
          <w:iCs/>
        </w:rPr>
        <w:t>Semunigus v Minister for Immigration and Multicultural Affairs</w:t>
      </w:r>
      <w:r w:rsidR="00926552" w:rsidRPr="00DD0131">
        <w:rPr>
          <w:rStyle w:val="FootnoteReference"/>
        </w:rPr>
        <w:footnoteReference w:id="155"/>
      </w:r>
      <w:r w:rsidR="00206C14">
        <w:rPr>
          <w:rFonts w:ascii="Times New Roman" w:hAnsi="Times New Roman" w:cs="Times New Roman"/>
          <w:i/>
          <w:iCs/>
        </w:rPr>
        <w:t xml:space="preserve"> </w:t>
      </w:r>
      <w:r w:rsidR="00206C14">
        <w:rPr>
          <w:rFonts w:ascii="Times New Roman" w:hAnsi="Times New Roman" w:cs="Times New Roman"/>
        </w:rPr>
        <w:t>(“</w:t>
      </w:r>
      <w:r w:rsidR="00206C14">
        <w:rPr>
          <w:rFonts w:ascii="Times New Roman" w:hAnsi="Times New Roman" w:cs="Times New Roman"/>
          <w:i/>
          <w:iCs/>
        </w:rPr>
        <w:t>Semunigus</w:t>
      </w:r>
      <w:r w:rsidR="00206C14">
        <w:rPr>
          <w:rFonts w:ascii="Times New Roman" w:hAnsi="Times New Roman" w:cs="Times New Roman"/>
        </w:rPr>
        <w:t>”)</w:t>
      </w:r>
      <w:r w:rsidR="00926552">
        <w:rPr>
          <w:rFonts w:ascii="Times New Roman" w:hAnsi="Times New Roman" w:cs="Times New Roman"/>
          <w:i/>
          <w:iCs/>
        </w:rPr>
        <w:t xml:space="preserve"> </w:t>
      </w:r>
      <w:r w:rsidR="00926552">
        <w:rPr>
          <w:rFonts w:ascii="Times New Roman" w:hAnsi="Times New Roman" w:cs="Times New Roman"/>
        </w:rPr>
        <w:t>and accepted on appeal to the Full Federal Court,</w:t>
      </w:r>
      <w:r w:rsidR="00926552" w:rsidRPr="00DD0131">
        <w:rPr>
          <w:rStyle w:val="FootnoteReference"/>
        </w:rPr>
        <w:footnoteReference w:id="156"/>
      </w:r>
      <w:r w:rsidR="00926552">
        <w:rPr>
          <w:rFonts w:ascii="Times New Roman" w:hAnsi="Times New Roman" w:cs="Times New Roman"/>
        </w:rPr>
        <w:t xml:space="preserve"> </w:t>
      </w:r>
      <w:r w:rsidR="00BB3D48">
        <w:rPr>
          <w:rFonts w:ascii="Times New Roman" w:hAnsi="Times New Roman" w:cs="Times New Roman"/>
        </w:rPr>
        <w:t xml:space="preserve">was misapplied because </w:t>
      </w:r>
      <w:r w:rsidR="00206C14">
        <w:rPr>
          <w:rFonts w:ascii="Times New Roman" w:hAnsi="Times New Roman" w:cs="Times New Roman"/>
        </w:rPr>
        <w:t xml:space="preserve">its establishment in </w:t>
      </w:r>
      <w:r w:rsidR="00206C14">
        <w:rPr>
          <w:rFonts w:ascii="Times New Roman" w:hAnsi="Times New Roman" w:cs="Times New Roman"/>
          <w:i/>
          <w:iCs/>
        </w:rPr>
        <w:t>Semunigus</w:t>
      </w:r>
      <w:r w:rsidR="00206C14">
        <w:rPr>
          <w:rFonts w:ascii="Times New Roman" w:hAnsi="Times New Roman" w:cs="Times New Roman"/>
        </w:rPr>
        <w:t xml:space="preserve"> lacked the </w:t>
      </w:r>
      <w:r w:rsidR="00BB3D48">
        <w:rPr>
          <w:rFonts w:ascii="Times New Roman" w:hAnsi="Times New Roman" w:cs="Times New Roman"/>
        </w:rPr>
        <w:t xml:space="preserve">context of </w:t>
      </w:r>
      <w:r w:rsidR="003E281F">
        <w:rPr>
          <w:rFonts w:ascii="Times New Roman" w:hAnsi="Times New Roman" w:cs="Times New Roman"/>
        </w:rPr>
        <w:t>intelligent, algorithmic decision-making systems</w:t>
      </w:r>
      <w:r w:rsidR="00206C14">
        <w:rPr>
          <w:rFonts w:ascii="Times New Roman" w:hAnsi="Times New Roman" w:cs="Times New Roman"/>
        </w:rPr>
        <w:t xml:space="preserve">, such as the system in question in </w:t>
      </w:r>
      <w:r w:rsidR="00206C14">
        <w:rPr>
          <w:rFonts w:ascii="Times New Roman" w:hAnsi="Times New Roman" w:cs="Times New Roman"/>
          <w:i/>
          <w:iCs/>
        </w:rPr>
        <w:t>Pintarich</w:t>
      </w:r>
      <w:r w:rsidR="00206C14">
        <w:rPr>
          <w:rFonts w:ascii="Times New Roman" w:hAnsi="Times New Roman" w:cs="Times New Roman"/>
        </w:rPr>
        <w:t>.</w:t>
      </w:r>
      <w:r w:rsidR="00206C14" w:rsidRPr="00DD0131">
        <w:rPr>
          <w:rStyle w:val="FootnoteReference"/>
        </w:rPr>
        <w:footnoteReference w:id="157"/>
      </w:r>
      <w:r w:rsidR="00206C14">
        <w:rPr>
          <w:rFonts w:ascii="Times New Roman" w:hAnsi="Times New Roman" w:cs="Times New Roman"/>
        </w:rPr>
        <w:t xml:space="preserve"> Justice Kerr </w:t>
      </w:r>
      <w:r w:rsidR="00D710FA">
        <w:rPr>
          <w:rFonts w:ascii="Times New Roman" w:hAnsi="Times New Roman" w:cs="Times New Roman"/>
        </w:rPr>
        <w:t xml:space="preserve">further </w:t>
      </w:r>
      <w:r w:rsidR="00206C14">
        <w:rPr>
          <w:rFonts w:ascii="Times New Roman" w:hAnsi="Times New Roman" w:cs="Times New Roman"/>
        </w:rPr>
        <w:t xml:space="preserve">argued that in light of the </w:t>
      </w:r>
      <w:r w:rsidR="00E94939">
        <w:rPr>
          <w:rFonts w:ascii="Times New Roman" w:hAnsi="Times New Roman" w:cs="Times New Roman"/>
        </w:rPr>
        <w:t>increasing</w:t>
      </w:r>
      <w:r w:rsidR="00206C14">
        <w:rPr>
          <w:rFonts w:ascii="Times New Roman" w:hAnsi="Times New Roman" w:cs="Times New Roman"/>
        </w:rPr>
        <w:t xml:space="preserve"> prevalence of such systems, the majority’s decision promoted </w:t>
      </w:r>
      <w:r w:rsidR="00D710FA">
        <w:rPr>
          <w:rFonts w:ascii="Times New Roman" w:hAnsi="Times New Roman" w:cs="Times New Roman"/>
        </w:rPr>
        <w:t xml:space="preserve">unfairness </w:t>
      </w:r>
      <w:r w:rsidR="00206C14">
        <w:rPr>
          <w:rFonts w:ascii="Times New Roman" w:hAnsi="Times New Roman" w:cs="Times New Roman"/>
        </w:rPr>
        <w:t>administrative uncertainty,</w:t>
      </w:r>
      <w:r w:rsidR="00206C14" w:rsidRPr="00DD0131">
        <w:rPr>
          <w:rStyle w:val="FootnoteReference"/>
        </w:rPr>
        <w:footnoteReference w:id="158"/>
      </w:r>
      <w:r w:rsidR="00206C14">
        <w:rPr>
          <w:rFonts w:ascii="Times New Roman" w:hAnsi="Times New Roman" w:cs="Times New Roman"/>
        </w:rPr>
        <w:t xml:space="preserve"> </w:t>
      </w:r>
      <w:r w:rsidR="00D710FA">
        <w:rPr>
          <w:rFonts w:ascii="Times New Roman" w:hAnsi="Times New Roman" w:cs="Times New Roman"/>
        </w:rPr>
        <w:t>and while the majority agreed that the outcome could lead to these unwelcome results,</w:t>
      </w:r>
      <w:r w:rsidR="00D710FA" w:rsidRPr="00DD0131">
        <w:rPr>
          <w:rStyle w:val="FootnoteReference"/>
        </w:rPr>
        <w:footnoteReference w:id="159"/>
      </w:r>
      <w:r w:rsidR="00D710FA">
        <w:rPr>
          <w:rFonts w:ascii="Times New Roman" w:hAnsi="Times New Roman" w:cs="Times New Roman"/>
        </w:rPr>
        <w:t xml:space="preserve"> they justified it by claim that such circumstances were “quite unusual” and “unlikely to arise very often”</w:t>
      </w:r>
      <w:r w:rsidR="008B1A98">
        <w:rPr>
          <w:rFonts w:ascii="Times New Roman" w:hAnsi="Times New Roman" w:cs="Times New Roman"/>
        </w:rPr>
        <w:t>.</w:t>
      </w:r>
      <w:r w:rsidR="008B1A98" w:rsidRPr="00DD0131">
        <w:rPr>
          <w:rStyle w:val="FootnoteReference"/>
        </w:rPr>
        <w:footnoteReference w:id="160"/>
      </w:r>
      <w:r w:rsidR="008B1A98">
        <w:rPr>
          <w:rFonts w:ascii="Times New Roman" w:hAnsi="Times New Roman" w:cs="Times New Roman"/>
        </w:rPr>
        <w:t xml:space="preserve"> While the High Court refused the opportunity to consider this,</w:t>
      </w:r>
      <w:r w:rsidR="008B1A98" w:rsidRPr="00DD0131">
        <w:rPr>
          <w:rStyle w:val="FootnoteReference"/>
        </w:rPr>
        <w:footnoteReference w:id="161"/>
      </w:r>
      <w:r w:rsidR="008B1A98">
        <w:rPr>
          <w:rFonts w:ascii="Times New Roman" w:hAnsi="Times New Roman" w:cs="Times New Roman"/>
        </w:rPr>
        <w:t xml:space="preserve"> the majority’s decision has been widely criticised for denying the </w:t>
      </w:r>
      <w:r w:rsidR="00E94939">
        <w:rPr>
          <w:rFonts w:ascii="Times New Roman" w:hAnsi="Times New Roman" w:cs="Times New Roman"/>
        </w:rPr>
        <w:t>growing</w:t>
      </w:r>
      <w:r w:rsidR="008B1A98">
        <w:rPr>
          <w:rFonts w:ascii="Times New Roman" w:hAnsi="Times New Roman" w:cs="Times New Roman"/>
        </w:rPr>
        <w:t xml:space="preserve"> dominance of automation</w:t>
      </w:r>
      <w:r w:rsidR="00E94939">
        <w:rPr>
          <w:rFonts w:ascii="Times New Roman" w:hAnsi="Times New Roman" w:cs="Times New Roman"/>
        </w:rPr>
        <w:t xml:space="preserve"> in administrative decision-making</w:t>
      </w:r>
      <w:r w:rsidR="003634F4">
        <w:rPr>
          <w:rFonts w:ascii="Times New Roman" w:hAnsi="Times New Roman" w:cs="Times New Roman"/>
        </w:rPr>
        <w:t>,</w:t>
      </w:r>
      <w:r w:rsidR="00F52DFA" w:rsidRPr="00DD0131">
        <w:rPr>
          <w:rStyle w:val="FootnoteReference"/>
        </w:rPr>
        <w:footnoteReference w:id="162"/>
      </w:r>
      <w:r w:rsidR="003634F4">
        <w:rPr>
          <w:rFonts w:ascii="Times New Roman" w:hAnsi="Times New Roman" w:cs="Times New Roman"/>
        </w:rPr>
        <w:t xml:space="preserve"> and given the vast majority of automated systems in administrative decision-making at present, it seems unlikely that the </w:t>
      </w:r>
      <w:r w:rsidR="003634F4">
        <w:rPr>
          <w:rFonts w:ascii="Times New Roman" w:hAnsi="Times New Roman" w:cs="Times New Roman"/>
          <w:i/>
          <w:iCs/>
        </w:rPr>
        <w:t xml:space="preserve">Pintarich </w:t>
      </w:r>
      <w:r w:rsidR="003634F4">
        <w:rPr>
          <w:rFonts w:ascii="Times New Roman" w:hAnsi="Times New Roman" w:cs="Times New Roman"/>
        </w:rPr>
        <w:t>decision should be taken to apply to all automated decisions.</w:t>
      </w:r>
      <w:r w:rsidR="00E9200B" w:rsidRPr="00DD0131">
        <w:rPr>
          <w:rStyle w:val="FootnoteReference"/>
        </w:rPr>
        <w:footnoteReference w:id="163"/>
      </w:r>
      <w:r w:rsidR="003634F4">
        <w:rPr>
          <w:rFonts w:ascii="Times New Roman" w:hAnsi="Times New Roman" w:cs="Times New Roman"/>
        </w:rPr>
        <w:t xml:space="preserve"> Interestingly, the Australian Taxation Office appeared to distance itself from such a broad precedent, noting in the case’s Decision Impact Statement</w:t>
      </w:r>
      <w:r w:rsidR="003634F4" w:rsidRPr="00DD0131">
        <w:rPr>
          <w:rStyle w:val="FootnoteReference"/>
        </w:rPr>
        <w:footnoteReference w:id="164"/>
      </w:r>
      <w:r w:rsidR="00321CCD">
        <w:rPr>
          <w:rFonts w:ascii="Times New Roman" w:hAnsi="Times New Roman" w:cs="Times New Roman"/>
        </w:rPr>
        <w:t xml:space="preserve"> that, in contrast to Kerr J’s remarks, the facts did not involve the </w:t>
      </w:r>
      <w:r w:rsidR="00321CCD">
        <w:rPr>
          <w:rFonts w:ascii="Times New Roman" w:hAnsi="Times New Roman" w:cs="Times New Roman"/>
        </w:rPr>
        <w:lastRenderedPageBreak/>
        <w:t>use of “automated ‘intelligent’ decision-making systems such as to lay down the application of some wider legal principle to such systems.”</w:t>
      </w:r>
      <w:r w:rsidR="00321CCD" w:rsidRPr="00DD0131">
        <w:rPr>
          <w:rStyle w:val="FootnoteReference"/>
        </w:rPr>
        <w:footnoteReference w:id="165"/>
      </w:r>
    </w:p>
    <w:p w14:paraId="20233552" w14:textId="2A46C099" w:rsidR="008555DF" w:rsidRDefault="00882407" w:rsidP="00FC0B34">
      <w:pPr>
        <w:spacing w:line="480" w:lineRule="auto"/>
        <w:jc w:val="both"/>
        <w:rPr>
          <w:rFonts w:ascii="Times New Roman" w:hAnsi="Times New Roman" w:cs="Times New Roman"/>
        </w:rPr>
      </w:pPr>
      <w:r w:rsidRPr="00FC0B34">
        <w:rPr>
          <w:rFonts w:ascii="Times New Roman" w:hAnsi="Times New Roman" w:cs="Times New Roman"/>
        </w:rPr>
        <w:t xml:space="preserve">Of greater importance than the </w:t>
      </w:r>
      <w:r w:rsidRPr="00FC0B34">
        <w:rPr>
          <w:rFonts w:ascii="Times New Roman" w:hAnsi="Times New Roman" w:cs="Times New Roman"/>
          <w:i/>
          <w:iCs/>
        </w:rPr>
        <w:t>Pintarich</w:t>
      </w:r>
      <w:r w:rsidRPr="00FC0B34">
        <w:rPr>
          <w:rFonts w:ascii="Times New Roman" w:hAnsi="Times New Roman" w:cs="Times New Roman"/>
        </w:rPr>
        <w:t xml:space="preserve"> decision, however, is the constitutional issue raised in Section II.</w:t>
      </w:r>
      <w:r w:rsidR="00727ED7" w:rsidRPr="00FC0B34">
        <w:rPr>
          <w:rFonts w:ascii="Times New Roman" w:hAnsi="Times New Roman" w:cs="Times New Roman"/>
        </w:rPr>
        <w:t xml:space="preserve"> As noted previously, in the absence of literature addressing this issue, this paper analogises it to the question of authority vested in legislative translations present in multilingual jurisdictions, such as the EU. In extending such an analogy, a hypothetical binding context within which RaC might be deployed is as a piece of digitised legislation which is wholly equal in authority to its non-digitised counterpart, in much the same way that a given translation of an EU legal text has equal authority to all other translations.</w:t>
      </w:r>
      <w:r w:rsidR="00727ED7" w:rsidRPr="00DD0131">
        <w:rPr>
          <w:rStyle w:val="FootnoteReference"/>
        </w:rPr>
        <w:footnoteReference w:id="166"/>
      </w:r>
      <w:r w:rsidR="005F4A4C" w:rsidRPr="00FC0B34">
        <w:rPr>
          <w:rFonts w:ascii="Times New Roman" w:hAnsi="Times New Roman" w:cs="Times New Roman"/>
        </w:rPr>
        <w:t xml:space="preserve"> </w:t>
      </w:r>
      <w:r w:rsidR="00C31F75" w:rsidRPr="00FC0B34">
        <w:rPr>
          <w:rFonts w:ascii="Times New Roman" w:hAnsi="Times New Roman" w:cs="Times New Roman"/>
        </w:rPr>
        <w:t xml:space="preserve">As highlighted in Section II, the </w:t>
      </w:r>
      <w:r w:rsidR="00180D2D">
        <w:rPr>
          <w:rFonts w:ascii="Times New Roman" w:hAnsi="Times New Roman" w:cs="Times New Roman"/>
        </w:rPr>
        <w:t>separation of powers</w:t>
      </w:r>
      <w:r w:rsidR="00C31F75" w:rsidRPr="00FC0B34">
        <w:rPr>
          <w:rFonts w:ascii="Times New Roman" w:hAnsi="Times New Roman" w:cs="Times New Roman"/>
        </w:rPr>
        <w:t xml:space="preserve"> is arguably present within the EU’s constitutional framework</w:t>
      </w:r>
      <w:r w:rsidR="00392B16">
        <w:rPr>
          <w:rFonts w:ascii="Times New Roman" w:hAnsi="Times New Roman" w:cs="Times New Roman"/>
        </w:rPr>
        <w:t>, given that</w:t>
      </w:r>
      <w:r w:rsidR="008555DF" w:rsidRPr="00FC0B34">
        <w:rPr>
          <w:rFonts w:ascii="Times New Roman" w:hAnsi="Times New Roman" w:cs="Times New Roman"/>
        </w:rPr>
        <w:t xml:space="preserve"> the power to interpret treaties is vested in its courts,</w:t>
      </w:r>
      <w:r w:rsidR="004D7EC5" w:rsidRPr="00DD0131">
        <w:rPr>
          <w:rStyle w:val="FootnoteReference"/>
        </w:rPr>
        <w:footnoteReference w:id="167"/>
      </w:r>
      <w:r w:rsidR="008555DF" w:rsidRPr="00FC0B34">
        <w:rPr>
          <w:rFonts w:ascii="Times New Roman" w:hAnsi="Times New Roman" w:cs="Times New Roman"/>
        </w:rPr>
        <w:t xml:space="preserve"> just as the federal courts of Australia enjoy the power to interpret Commonwealth legislation.</w:t>
      </w:r>
      <w:r w:rsidR="004D7EC5" w:rsidRPr="00DD0131">
        <w:rPr>
          <w:rStyle w:val="FootnoteReference"/>
        </w:rPr>
        <w:footnoteReference w:id="168"/>
      </w:r>
      <w:r w:rsidR="008555DF" w:rsidRPr="00FC0B34">
        <w:rPr>
          <w:rFonts w:ascii="Times New Roman" w:hAnsi="Times New Roman" w:cs="Times New Roman"/>
        </w:rPr>
        <w:t xml:space="preserve"> Nonetheless, the role of translating EU legislation, one which inherently involves interpretation, is conducted outside of the judiciary. </w:t>
      </w:r>
      <w:r w:rsidR="00BA1346" w:rsidRPr="00FC0B34">
        <w:rPr>
          <w:rFonts w:ascii="Times New Roman" w:hAnsi="Times New Roman" w:cs="Times New Roman"/>
        </w:rPr>
        <w:t>Specifically</w:t>
      </w:r>
      <w:r w:rsidR="008555DF" w:rsidRPr="00FC0B34">
        <w:rPr>
          <w:rFonts w:ascii="Times New Roman" w:hAnsi="Times New Roman" w:cs="Times New Roman"/>
        </w:rPr>
        <w:t>, while translations are carried out by the Directorate-General for Translation,</w:t>
      </w:r>
      <w:r w:rsidR="008555DF" w:rsidRPr="00DD0131">
        <w:rPr>
          <w:rStyle w:val="FootnoteReference"/>
        </w:rPr>
        <w:footnoteReference w:id="169"/>
      </w:r>
      <w:r w:rsidR="008555DF" w:rsidRPr="00FC0B34">
        <w:rPr>
          <w:rFonts w:ascii="Times New Roman" w:hAnsi="Times New Roman" w:cs="Times New Roman"/>
        </w:rPr>
        <w:t>, an executive body,</w:t>
      </w:r>
      <w:r w:rsidR="008555DF" w:rsidRPr="00DD0131">
        <w:rPr>
          <w:rStyle w:val="FootnoteReference"/>
        </w:rPr>
        <w:footnoteReference w:id="170"/>
      </w:r>
      <w:r w:rsidR="008555DF" w:rsidRPr="00FC0B34">
        <w:rPr>
          <w:rFonts w:ascii="Times New Roman" w:hAnsi="Times New Roman" w:cs="Times New Roman"/>
        </w:rPr>
        <w:t xml:space="preserve"> they are technically drafted and published by </w:t>
      </w:r>
      <w:r w:rsidR="00BA1346" w:rsidRPr="00FC0B34">
        <w:rPr>
          <w:rFonts w:ascii="Times New Roman" w:hAnsi="Times New Roman" w:cs="Times New Roman"/>
        </w:rPr>
        <w:t>the Council of the European Union and the European Parliament</w:t>
      </w:r>
      <w:r w:rsidR="00FC0B34" w:rsidRPr="00FC0B34">
        <w:rPr>
          <w:rFonts w:ascii="Times New Roman" w:hAnsi="Times New Roman" w:cs="Times New Roman"/>
        </w:rPr>
        <w:t xml:space="preserve">, bodies of the </w:t>
      </w:r>
      <w:r w:rsidR="00BA1346" w:rsidRPr="00FC0B34">
        <w:rPr>
          <w:rFonts w:ascii="Times New Roman" w:hAnsi="Times New Roman" w:cs="Times New Roman"/>
        </w:rPr>
        <w:t>legislature</w:t>
      </w:r>
      <w:r w:rsidR="00FC0B34" w:rsidRPr="00FC0B34">
        <w:rPr>
          <w:rFonts w:ascii="Times New Roman" w:hAnsi="Times New Roman" w:cs="Times New Roman"/>
        </w:rPr>
        <w:t>,</w:t>
      </w:r>
      <w:r w:rsidR="008555DF" w:rsidRPr="00DD0131">
        <w:rPr>
          <w:rStyle w:val="FootnoteReference"/>
        </w:rPr>
        <w:footnoteReference w:id="171"/>
      </w:r>
      <w:r w:rsidR="00FC0B34" w:rsidRPr="00FC0B34">
        <w:rPr>
          <w:rFonts w:ascii="Times New Roman" w:hAnsi="Times New Roman" w:cs="Times New Roman"/>
        </w:rPr>
        <w:t xml:space="preserve"> in a process which blurs the </w:t>
      </w:r>
      <w:r w:rsidR="00180D2D">
        <w:rPr>
          <w:rFonts w:ascii="Times New Roman" w:hAnsi="Times New Roman" w:cs="Times New Roman"/>
        </w:rPr>
        <w:t>separation of powers</w:t>
      </w:r>
      <w:r w:rsidR="00FC0B34" w:rsidRPr="00FC0B34">
        <w:rPr>
          <w:rFonts w:ascii="Times New Roman" w:hAnsi="Times New Roman" w:cs="Times New Roman"/>
        </w:rPr>
        <w:t>. In a departure from the analogy to Australia’s constitutional framework, however, the executive body of the EU, the European Commission,</w:t>
      </w:r>
      <w:r w:rsidR="00CA509C">
        <w:rPr>
          <w:rStyle w:val="FootnoteReference"/>
          <w:rFonts w:ascii="Times New Roman" w:hAnsi="Times New Roman" w:cs="Times New Roman"/>
        </w:rPr>
        <w:footnoteReference w:id="172"/>
      </w:r>
      <w:r w:rsidR="00FC0B34" w:rsidRPr="00FC0B34">
        <w:rPr>
          <w:rFonts w:ascii="Times New Roman" w:hAnsi="Times New Roman" w:cs="Times New Roman"/>
        </w:rPr>
        <w:t xml:space="preserve"> also operates as a legislative body and holds the sole right to legislative initiation.</w:t>
      </w:r>
      <w:r w:rsidR="00FC0B34" w:rsidRPr="00DD0131">
        <w:rPr>
          <w:rStyle w:val="FootnoteReference"/>
        </w:rPr>
        <w:footnoteReference w:id="173"/>
      </w:r>
      <w:r w:rsidR="00FC0B34" w:rsidRPr="00FC0B34">
        <w:rPr>
          <w:rFonts w:ascii="Times New Roman" w:hAnsi="Times New Roman" w:cs="Times New Roman"/>
        </w:rPr>
        <w:t xml:space="preserve"> In this sense, the entire translation process might be deemed to be carried out by the legislature, though the presence of the Directorate-</w:t>
      </w:r>
      <w:r w:rsidR="00FC0B34" w:rsidRPr="00FC0B34">
        <w:rPr>
          <w:rFonts w:ascii="Times New Roman" w:hAnsi="Times New Roman" w:cs="Times New Roman"/>
        </w:rPr>
        <w:lastRenderedPageBreak/>
        <w:t>General for Translation, an agency of the European Commission within its capacity as a body of the executive,</w:t>
      </w:r>
      <w:r w:rsidR="00065C2D">
        <w:rPr>
          <w:rStyle w:val="FootnoteReference"/>
          <w:rFonts w:ascii="Times New Roman" w:hAnsi="Times New Roman" w:cs="Times New Roman"/>
        </w:rPr>
        <w:footnoteReference w:id="174"/>
      </w:r>
      <w:r w:rsidR="00FC0B34" w:rsidRPr="00FC0B34">
        <w:rPr>
          <w:rFonts w:ascii="Times New Roman" w:hAnsi="Times New Roman" w:cs="Times New Roman"/>
        </w:rPr>
        <w:t xml:space="preserve"> would upset this argument.</w:t>
      </w:r>
      <w:r w:rsidR="00FC0B34">
        <w:rPr>
          <w:rFonts w:ascii="Times New Roman" w:hAnsi="Times New Roman" w:cs="Times New Roman"/>
        </w:rPr>
        <w:t xml:space="preserve"> If then, the process of legislative translation in the EU is taken to consist of a recommendation – translation of the original law – by the executive to the legislature, followed by the drafting and publication of law matching this recommendation, then the resultant new laws could be taken not as interpretations, but as new drafts which are functionally equivalent to the original law. Encroachment upon the judicial power of interpretation, therefore, is avoided in entirety, and the </w:t>
      </w:r>
      <w:r w:rsidR="00180D2D">
        <w:rPr>
          <w:rFonts w:ascii="Times New Roman" w:hAnsi="Times New Roman" w:cs="Times New Roman"/>
        </w:rPr>
        <w:t>separation of powers</w:t>
      </w:r>
      <w:r w:rsidR="00FC0B34">
        <w:rPr>
          <w:rFonts w:ascii="Times New Roman" w:hAnsi="Times New Roman" w:cs="Times New Roman"/>
        </w:rPr>
        <w:t xml:space="preserve"> is upheld.</w:t>
      </w:r>
    </w:p>
    <w:p w14:paraId="34AAAA4A" w14:textId="0CE5C294" w:rsidR="00882407" w:rsidRPr="008555DF" w:rsidRDefault="00F44B9F" w:rsidP="00AE538D">
      <w:pPr>
        <w:spacing w:line="480" w:lineRule="auto"/>
        <w:jc w:val="both"/>
        <w:rPr>
          <w:rFonts w:ascii="Times New Roman" w:hAnsi="Times New Roman" w:cs="Times New Roman"/>
        </w:rPr>
      </w:pPr>
      <w:r>
        <w:rPr>
          <w:rFonts w:ascii="Times New Roman" w:hAnsi="Times New Roman" w:cs="Times New Roman"/>
        </w:rPr>
        <w:t>Similarly, in an Australian context considering RaC in the place of multilingual legislation, while the executive is forbidden from creating law,</w:t>
      </w:r>
      <w:r w:rsidRPr="00DD0131">
        <w:rPr>
          <w:rStyle w:val="FootnoteReference"/>
        </w:rPr>
        <w:footnoteReference w:id="175"/>
      </w:r>
      <w:r>
        <w:rPr>
          <w:rFonts w:ascii="Times New Roman" w:hAnsi="Times New Roman" w:cs="Times New Roman"/>
        </w:rPr>
        <w:t xml:space="preserve"> there exists no such prohibition toward making recommendations to the legislature. Thus, if a body of the executive tasked with converting legislation into code made recommendations to Parliament, the latter’s publication of the digital legislation could be seen</w:t>
      </w:r>
      <w:r w:rsidR="004D7EC5">
        <w:rPr>
          <w:rFonts w:ascii="Times New Roman" w:hAnsi="Times New Roman" w:cs="Times New Roman"/>
        </w:rPr>
        <w:t xml:space="preserve"> by analogy</w:t>
      </w:r>
      <w:r>
        <w:rPr>
          <w:rFonts w:ascii="Times New Roman" w:hAnsi="Times New Roman" w:cs="Times New Roman"/>
        </w:rPr>
        <w:t xml:space="preserve"> to be entirely within the bounds of the </w:t>
      </w:r>
      <w:r w:rsidR="00180D2D">
        <w:rPr>
          <w:rFonts w:ascii="Times New Roman" w:hAnsi="Times New Roman" w:cs="Times New Roman"/>
        </w:rPr>
        <w:t>separation of powers</w:t>
      </w:r>
      <w:r>
        <w:rPr>
          <w:rFonts w:ascii="Times New Roman" w:hAnsi="Times New Roman" w:cs="Times New Roman"/>
        </w:rPr>
        <w:t>. In this sense, constitutionally, there arguably is no reason that a</w:t>
      </w:r>
      <w:r w:rsidR="00E44343">
        <w:rPr>
          <w:rFonts w:ascii="Times New Roman" w:hAnsi="Times New Roman" w:cs="Times New Roman"/>
        </w:rPr>
        <w:t xml:space="preserve"> piece of digitised legislation could not be equal in authority to its standard counterpart. </w:t>
      </w:r>
      <w:r w:rsidR="004D7EC5">
        <w:rPr>
          <w:rFonts w:ascii="Times New Roman" w:hAnsi="Times New Roman" w:cs="Times New Roman"/>
        </w:rPr>
        <w:t>Of course, whether or not such authority should be applied to the output of an RaC application given accurate inputs is an entirely separate question.</w:t>
      </w:r>
    </w:p>
    <w:p w14:paraId="6357B92D" w14:textId="3E9FBB94" w:rsidR="00B635C7" w:rsidRPr="00952AAF" w:rsidRDefault="00B635C7" w:rsidP="00D837A9">
      <w:pPr>
        <w:spacing w:line="480" w:lineRule="auto"/>
        <w:jc w:val="both"/>
        <w:rPr>
          <w:rFonts w:ascii="Times New Roman" w:hAnsi="Times New Roman" w:cs="Times New Roman"/>
        </w:rPr>
      </w:pPr>
      <w:r w:rsidRPr="00952AAF">
        <w:rPr>
          <w:rFonts w:ascii="Times New Roman" w:hAnsi="Times New Roman" w:cs="Times New Roman"/>
        </w:rPr>
        <w:t>Concerns of incorrect conclusions might be soothed</w:t>
      </w:r>
      <w:r w:rsidR="00D837A9" w:rsidRPr="00952AAF">
        <w:rPr>
          <w:rFonts w:ascii="Times New Roman" w:hAnsi="Times New Roman" w:cs="Times New Roman"/>
        </w:rPr>
        <w:t xml:space="preserve"> through an overriding principal that, in the event of dispute, the judiciary may preference a standard legal text over its RaC counterpart.</w:t>
      </w:r>
      <w:r w:rsidR="00D17794">
        <w:rPr>
          <w:rStyle w:val="FootnoteReference"/>
          <w:rFonts w:ascii="Times New Roman" w:hAnsi="Times New Roman" w:cs="Times New Roman"/>
        </w:rPr>
        <w:footnoteReference w:id="176"/>
      </w:r>
      <w:r w:rsidR="00D837A9" w:rsidRPr="00952AAF">
        <w:rPr>
          <w:rFonts w:ascii="Times New Roman" w:hAnsi="Times New Roman" w:cs="Times New Roman"/>
        </w:rPr>
        <w:t xml:space="preserve"> </w:t>
      </w:r>
      <w:r w:rsidR="006F1425" w:rsidRPr="00952AAF">
        <w:rPr>
          <w:rFonts w:ascii="Times New Roman" w:hAnsi="Times New Roman" w:cs="Times New Roman"/>
        </w:rPr>
        <w:t>Despite the EU’s principal of lingual equality in law, e</w:t>
      </w:r>
      <w:r w:rsidR="00754C41" w:rsidRPr="00952AAF">
        <w:rPr>
          <w:rFonts w:ascii="Times New Roman" w:hAnsi="Times New Roman" w:cs="Times New Roman"/>
        </w:rPr>
        <w:t>arly CJEU cases would, at times, preference original legislative drafts over their translations</w:t>
      </w:r>
      <w:r w:rsidR="006F1425" w:rsidRPr="00952AAF">
        <w:rPr>
          <w:rFonts w:ascii="Times New Roman" w:hAnsi="Times New Roman" w:cs="Times New Roman"/>
        </w:rPr>
        <w:t>.</w:t>
      </w:r>
      <w:r w:rsidRPr="00DD0131">
        <w:rPr>
          <w:rStyle w:val="FootnoteReference"/>
        </w:rPr>
        <w:footnoteReference w:id="177"/>
      </w:r>
      <w:r w:rsidRPr="00952AAF">
        <w:rPr>
          <w:rFonts w:ascii="Times New Roman" w:hAnsi="Times New Roman" w:cs="Times New Roman"/>
        </w:rPr>
        <w:t xml:space="preserve"> </w:t>
      </w:r>
      <w:r w:rsidRPr="00952AAF">
        <w:rPr>
          <w:rFonts w:ascii="Times New Roman" w:hAnsi="Times New Roman" w:cs="Times New Roman"/>
          <w:i/>
          <w:iCs/>
        </w:rPr>
        <w:t>Stauder v City of Ulm</w:t>
      </w:r>
      <w:r w:rsidR="006F1425" w:rsidRPr="00952AAF">
        <w:rPr>
          <w:rFonts w:ascii="Times New Roman" w:hAnsi="Times New Roman" w:cs="Times New Roman"/>
        </w:rPr>
        <w:t>,</w:t>
      </w:r>
      <w:r w:rsidRPr="00DD0131">
        <w:rPr>
          <w:rStyle w:val="FootnoteReference"/>
        </w:rPr>
        <w:footnoteReference w:id="178"/>
      </w:r>
      <w:r w:rsidR="006F1425" w:rsidRPr="00952AAF">
        <w:rPr>
          <w:rFonts w:ascii="Times New Roman" w:hAnsi="Times New Roman" w:cs="Times New Roman"/>
        </w:rPr>
        <w:t xml:space="preserve"> for example,</w:t>
      </w:r>
      <w:r w:rsidRPr="00952AAF">
        <w:rPr>
          <w:rFonts w:ascii="Times New Roman" w:hAnsi="Times New Roman" w:cs="Times New Roman"/>
          <w:i/>
          <w:iCs/>
        </w:rPr>
        <w:t xml:space="preserve"> </w:t>
      </w:r>
      <w:r w:rsidRPr="00952AAF">
        <w:rPr>
          <w:rFonts w:ascii="Times New Roman" w:hAnsi="Times New Roman" w:cs="Times New Roman"/>
        </w:rPr>
        <w:t xml:space="preserve">saw </w:t>
      </w:r>
      <w:r w:rsidR="006F1425" w:rsidRPr="00952AAF">
        <w:rPr>
          <w:rFonts w:ascii="Times New Roman" w:hAnsi="Times New Roman" w:cs="Times New Roman"/>
        </w:rPr>
        <w:t>the original draft of a regulation in</w:t>
      </w:r>
      <w:r w:rsidRPr="00952AAF">
        <w:rPr>
          <w:rFonts w:ascii="Times New Roman" w:hAnsi="Times New Roman" w:cs="Times New Roman"/>
        </w:rPr>
        <w:t xml:space="preserve"> French accepted over</w:t>
      </w:r>
      <w:r w:rsidR="006F1425" w:rsidRPr="00952AAF">
        <w:rPr>
          <w:rFonts w:ascii="Times New Roman" w:hAnsi="Times New Roman" w:cs="Times New Roman"/>
        </w:rPr>
        <w:t xml:space="preserve"> its equally reasonable</w:t>
      </w:r>
      <w:r w:rsidRPr="00952AAF">
        <w:rPr>
          <w:rFonts w:ascii="Times New Roman" w:hAnsi="Times New Roman" w:cs="Times New Roman"/>
        </w:rPr>
        <w:t xml:space="preserve"> German and Dutch </w:t>
      </w:r>
      <w:r w:rsidR="006F1425" w:rsidRPr="00952AAF">
        <w:rPr>
          <w:rFonts w:ascii="Times New Roman" w:hAnsi="Times New Roman" w:cs="Times New Roman"/>
        </w:rPr>
        <w:t>translations</w:t>
      </w:r>
      <w:r w:rsidRPr="00952AAF">
        <w:rPr>
          <w:rFonts w:ascii="Times New Roman" w:hAnsi="Times New Roman" w:cs="Times New Roman"/>
        </w:rPr>
        <w:t>, with the court concluding that the variation in the latter two must have stemmed from translational errors.</w:t>
      </w:r>
      <w:r w:rsidRPr="00DD0131">
        <w:rPr>
          <w:rStyle w:val="FootnoteReference"/>
        </w:rPr>
        <w:footnoteReference w:id="179"/>
      </w:r>
      <w:r w:rsidRPr="00952AAF">
        <w:rPr>
          <w:rFonts w:ascii="Times New Roman" w:hAnsi="Times New Roman" w:cs="Times New Roman"/>
        </w:rPr>
        <w:t xml:space="preserve"> </w:t>
      </w:r>
      <w:r w:rsidRPr="00952AAF">
        <w:rPr>
          <w:rFonts w:ascii="Times New Roman" w:hAnsi="Times New Roman" w:cs="Times New Roman"/>
        </w:rPr>
        <w:lastRenderedPageBreak/>
        <w:t>Solan notes that this approach is the “functional equivalent of selecting an official language” and that as such, it has been used less in recent years so as to avoid encroaching on the sovereignty and equality of its members.</w:t>
      </w:r>
      <w:r w:rsidRPr="00DD0131">
        <w:rPr>
          <w:rStyle w:val="FootnoteReference"/>
        </w:rPr>
        <w:footnoteReference w:id="180"/>
      </w:r>
      <w:r w:rsidRPr="00952AAF">
        <w:rPr>
          <w:rFonts w:ascii="Times New Roman" w:hAnsi="Times New Roman" w:cs="Times New Roman"/>
        </w:rPr>
        <w:t xml:space="preserve"> While such concerns are perfectly </w:t>
      </w:r>
      <w:r w:rsidR="00D05024" w:rsidRPr="00952AAF">
        <w:rPr>
          <w:rFonts w:ascii="Times New Roman" w:hAnsi="Times New Roman" w:cs="Times New Roman"/>
        </w:rPr>
        <w:t>valid</w:t>
      </w:r>
      <w:r w:rsidRPr="00952AAF">
        <w:rPr>
          <w:rFonts w:ascii="Times New Roman" w:hAnsi="Times New Roman" w:cs="Times New Roman"/>
        </w:rPr>
        <w:t xml:space="preserve">, </w:t>
      </w:r>
      <w:r w:rsidR="00D05024" w:rsidRPr="00952AAF">
        <w:rPr>
          <w:rFonts w:ascii="Times New Roman" w:hAnsi="Times New Roman" w:cs="Times New Roman"/>
        </w:rPr>
        <w:t>no such concerns could be reasonably applied to the relationship of digital and non-digital legislation</w:t>
      </w:r>
      <w:r w:rsidRPr="00952AAF">
        <w:rPr>
          <w:rFonts w:ascii="Times New Roman" w:hAnsi="Times New Roman" w:cs="Times New Roman"/>
        </w:rPr>
        <w:t xml:space="preserve">, and </w:t>
      </w:r>
      <w:r w:rsidR="00D05024" w:rsidRPr="00952AAF">
        <w:rPr>
          <w:rFonts w:ascii="Times New Roman" w:hAnsi="Times New Roman" w:cs="Times New Roman"/>
        </w:rPr>
        <w:t>thus, a principal recognising the latter as more authoritative in the event of a dispute is likely to be uncontroversial</w:t>
      </w:r>
      <w:r w:rsidR="00014D3D" w:rsidRPr="00952AAF">
        <w:rPr>
          <w:rFonts w:ascii="Times New Roman" w:hAnsi="Times New Roman" w:cs="Times New Roman"/>
        </w:rPr>
        <w:t>.</w:t>
      </w:r>
      <w:r w:rsidR="00D05024" w:rsidRPr="00DD0131">
        <w:rPr>
          <w:rStyle w:val="FootnoteReference"/>
        </w:rPr>
        <w:footnoteReference w:id="181"/>
      </w:r>
      <w:r w:rsidR="00014D3D" w:rsidRPr="00952AAF">
        <w:rPr>
          <w:rFonts w:ascii="Times New Roman" w:hAnsi="Times New Roman" w:cs="Times New Roman"/>
        </w:rPr>
        <w:t xml:space="preserve"> </w:t>
      </w:r>
      <w:r w:rsidR="00C31F75" w:rsidRPr="00952AAF">
        <w:rPr>
          <w:rFonts w:ascii="Times New Roman" w:hAnsi="Times New Roman" w:cs="Times New Roman"/>
        </w:rPr>
        <w:t xml:space="preserve">Indeed, identifying an RaC application as legally inferior to standard legislation could </w:t>
      </w:r>
      <w:r w:rsidR="00D17794">
        <w:rPr>
          <w:rFonts w:ascii="Times New Roman" w:hAnsi="Times New Roman" w:cs="Times New Roman"/>
        </w:rPr>
        <w:t>see it</w:t>
      </w:r>
      <w:r w:rsidR="00C31F75" w:rsidRPr="00952AAF">
        <w:rPr>
          <w:rFonts w:ascii="Times New Roman" w:hAnsi="Times New Roman" w:cs="Times New Roman"/>
        </w:rPr>
        <w:t xml:space="preserve"> deemed delegated legislation as prepared by a body of the executive, as opposed to a ‘copy’ and, therefore, interpretation of the given act, and in this sense, avoid breaching or blurring the </w:t>
      </w:r>
      <w:r w:rsidR="00180D2D">
        <w:rPr>
          <w:rFonts w:ascii="Times New Roman" w:hAnsi="Times New Roman" w:cs="Times New Roman"/>
        </w:rPr>
        <w:t>separation of powers</w:t>
      </w:r>
      <w:r w:rsidR="00C31F75" w:rsidRPr="00952AAF">
        <w:rPr>
          <w:rFonts w:ascii="Times New Roman" w:hAnsi="Times New Roman" w:cs="Times New Roman"/>
        </w:rPr>
        <w:t xml:space="preserve"> beyond those breaches which are already present in the numerous regulations prescribed by administrative bodies.</w:t>
      </w:r>
    </w:p>
    <w:p w14:paraId="46E35107" w14:textId="287EB586" w:rsidR="001C1F2A" w:rsidRPr="00CE68D9" w:rsidRDefault="00607F92" w:rsidP="00D837A9">
      <w:pPr>
        <w:spacing w:line="480" w:lineRule="auto"/>
        <w:jc w:val="both"/>
        <w:rPr>
          <w:rFonts w:ascii="Times New Roman" w:hAnsi="Times New Roman" w:cs="Times New Roman"/>
        </w:rPr>
      </w:pPr>
      <w:r w:rsidRPr="00CE68D9">
        <w:rPr>
          <w:rFonts w:ascii="Times New Roman" w:hAnsi="Times New Roman" w:cs="Times New Roman"/>
        </w:rPr>
        <w:t xml:space="preserve">In light of such drafting processes, it </w:t>
      </w:r>
      <w:r w:rsidR="004760AE" w:rsidRPr="00CE68D9">
        <w:rPr>
          <w:rFonts w:ascii="Times New Roman" w:hAnsi="Times New Roman" w:cs="Times New Roman"/>
        </w:rPr>
        <w:t>becomes apparent</w:t>
      </w:r>
      <w:r w:rsidRPr="00CE68D9">
        <w:rPr>
          <w:rFonts w:ascii="Times New Roman" w:hAnsi="Times New Roman" w:cs="Times New Roman"/>
        </w:rPr>
        <w:t xml:space="preserve"> how the multilingual approach might inform where an RaC application </w:t>
      </w:r>
      <w:r w:rsidR="004760AE" w:rsidRPr="00CE68D9">
        <w:rPr>
          <w:rFonts w:ascii="Times New Roman" w:hAnsi="Times New Roman" w:cs="Times New Roman"/>
        </w:rPr>
        <w:t>could</w:t>
      </w:r>
      <w:r w:rsidRPr="00CE68D9">
        <w:rPr>
          <w:rFonts w:ascii="Times New Roman" w:hAnsi="Times New Roman" w:cs="Times New Roman"/>
        </w:rPr>
        <w:t xml:space="preserve"> fit along the spectrum of legal authority. </w:t>
      </w:r>
      <w:r w:rsidR="001C1F2A" w:rsidRPr="00CE68D9">
        <w:rPr>
          <w:rFonts w:ascii="Times New Roman" w:hAnsi="Times New Roman" w:cs="Times New Roman"/>
        </w:rPr>
        <w:t>Following the approach adopted by monolingual nations with diversified populations, the application might be considered merely advisory but lacking legal force,</w:t>
      </w:r>
      <w:r w:rsidR="001C1F2A" w:rsidRPr="00DD0131">
        <w:rPr>
          <w:rStyle w:val="FootnoteReference"/>
        </w:rPr>
        <w:footnoteReference w:id="182"/>
      </w:r>
      <w:r w:rsidR="001C1F2A" w:rsidRPr="00CE68D9">
        <w:rPr>
          <w:rFonts w:ascii="Times New Roman" w:hAnsi="Times New Roman" w:cs="Times New Roman"/>
        </w:rPr>
        <w:t xml:space="preserve"> presenting a solution to the status quo issue raised in Section II of inefficiency in development of private compliance systems. While a judicially influential categorisation would be largely redundant given how rarely Chapter III disputes reach</w:t>
      </w:r>
      <w:r w:rsidR="004075EA">
        <w:rPr>
          <w:rFonts w:ascii="Times New Roman" w:hAnsi="Times New Roman" w:cs="Times New Roman"/>
        </w:rPr>
        <w:t xml:space="preserve"> beyond mandated dispute resolution schemes</w:t>
      </w:r>
      <w:r w:rsidR="004075EA">
        <w:rPr>
          <w:rStyle w:val="FootnoteReference"/>
          <w:rFonts w:ascii="Times New Roman" w:hAnsi="Times New Roman" w:cs="Times New Roman"/>
        </w:rPr>
        <w:footnoteReference w:id="183"/>
      </w:r>
      <w:r w:rsidR="004075EA">
        <w:rPr>
          <w:rFonts w:ascii="Times New Roman" w:hAnsi="Times New Roman" w:cs="Times New Roman"/>
        </w:rPr>
        <w:t xml:space="preserve"> to</w:t>
      </w:r>
      <w:r w:rsidR="001C1F2A" w:rsidRPr="00CE68D9">
        <w:rPr>
          <w:rFonts w:ascii="Times New Roman" w:hAnsi="Times New Roman" w:cs="Times New Roman"/>
        </w:rPr>
        <w:t xml:space="preserve"> the courts, the EU approach sheds light on how an RaC application could be accepted as binding insofar that the </w:t>
      </w:r>
      <w:r w:rsidR="00180D2D">
        <w:rPr>
          <w:rFonts w:ascii="Times New Roman" w:hAnsi="Times New Roman" w:cs="Times New Roman"/>
        </w:rPr>
        <w:t>separation of powers</w:t>
      </w:r>
      <w:r w:rsidR="001C1F2A" w:rsidRPr="00CE68D9">
        <w:rPr>
          <w:rFonts w:ascii="Times New Roman" w:hAnsi="Times New Roman" w:cs="Times New Roman"/>
        </w:rPr>
        <w:t xml:space="preserve"> is concerned</w:t>
      </w:r>
      <w:r w:rsidR="009C7E36">
        <w:rPr>
          <w:rFonts w:ascii="Times New Roman" w:hAnsi="Times New Roman" w:cs="Times New Roman"/>
        </w:rPr>
        <w:t>. Of course,</w:t>
      </w:r>
      <w:r w:rsidR="004760AE" w:rsidRPr="00CE68D9">
        <w:rPr>
          <w:rFonts w:ascii="Times New Roman" w:hAnsi="Times New Roman" w:cs="Times New Roman"/>
        </w:rPr>
        <w:t xml:space="preserve"> </w:t>
      </w:r>
      <w:r w:rsidR="001C1F2A" w:rsidRPr="00CE68D9">
        <w:rPr>
          <w:rFonts w:ascii="Times New Roman" w:hAnsi="Times New Roman" w:cs="Times New Roman"/>
        </w:rPr>
        <w:t>whether such a solution should be adopted in practice depends largely upon how accurately it represents the letter of the law.</w:t>
      </w:r>
    </w:p>
    <w:p w14:paraId="44A1364B" w14:textId="77777777" w:rsidR="00E44343" w:rsidRPr="00563819" w:rsidRDefault="00E44343" w:rsidP="00563819">
      <w:pPr>
        <w:spacing w:line="480" w:lineRule="auto"/>
        <w:jc w:val="both"/>
        <w:rPr>
          <w:rFonts w:ascii="Times New Roman" w:hAnsi="Times New Roman" w:cs="Times New Roman"/>
        </w:rPr>
      </w:pPr>
    </w:p>
    <w:p w14:paraId="35C72969" w14:textId="77ACBF33" w:rsidR="00096FD9" w:rsidRDefault="00096FD9" w:rsidP="00096FD9">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lastRenderedPageBreak/>
        <w:t>B</w:t>
      </w:r>
      <w:r w:rsidRPr="00B67F00">
        <w:rPr>
          <w:rFonts w:ascii="Times New Roman" w:hAnsi="Times New Roman" w:cs="Times New Roman"/>
          <w:sz w:val="24"/>
          <w:szCs w:val="24"/>
        </w:rPr>
        <w:t xml:space="preserve"> </w:t>
      </w:r>
      <w:r>
        <w:rPr>
          <w:rFonts w:ascii="Times New Roman" w:hAnsi="Times New Roman" w:cs="Times New Roman"/>
          <w:i/>
          <w:iCs/>
          <w:sz w:val="24"/>
          <w:szCs w:val="24"/>
        </w:rPr>
        <w:t>Fidelity</w:t>
      </w:r>
    </w:p>
    <w:p w14:paraId="45DE86FF" w14:textId="79F49A2D" w:rsidR="00943595" w:rsidRDefault="00F4523D" w:rsidP="0054712C">
      <w:pPr>
        <w:spacing w:line="480" w:lineRule="auto"/>
        <w:jc w:val="both"/>
        <w:rPr>
          <w:rFonts w:ascii="Times New Roman" w:hAnsi="Times New Roman" w:cs="Times New Roman"/>
        </w:rPr>
      </w:pPr>
      <w:r>
        <w:rPr>
          <w:rFonts w:ascii="Times New Roman" w:hAnsi="Times New Roman" w:cs="Times New Roman"/>
        </w:rPr>
        <w:t>With regard given to the vast literature surrounding the formalism debate of the twentieth century, it should come as no surprise to the legal community that the notion of fidelity is arguably the greatest source of conflict in translation theory.</w:t>
      </w:r>
      <w:r w:rsidR="00BB5AAC" w:rsidRPr="00DD0131">
        <w:rPr>
          <w:rStyle w:val="FootnoteReference"/>
        </w:rPr>
        <w:footnoteReference w:id="184"/>
      </w:r>
      <w:r>
        <w:rPr>
          <w:rFonts w:ascii="Times New Roman" w:hAnsi="Times New Roman" w:cs="Times New Roman"/>
        </w:rPr>
        <w:t xml:space="preserve"> </w:t>
      </w:r>
      <w:r w:rsidR="0054712C" w:rsidRPr="0054712C">
        <w:rPr>
          <w:rFonts w:ascii="Times New Roman" w:hAnsi="Times New Roman" w:cs="Times New Roman"/>
        </w:rPr>
        <w:t>Beyond traditional principles, t</w:t>
      </w:r>
      <w:r w:rsidR="00230627" w:rsidRPr="0054712C">
        <w:rPr>
          <w:rFonts w:ascii="Times New Roman" w:hAnsi="Times New Roman" w:cs="Times New Roman"/>
        </w:rPr>
        <w:t>heories of legal translation have evolved from mere ruminations of translational theorists to their own widely considered field.</w:t>
      </w:r>
      <w:r w:rsidR="00776345">
        <w:rPr>
          <w:rStyle w:val="FootnoteReference"/>
          <w:rFonts w:ascii="Times New Roman" w:hAnsi="Times New Roman" w:cs="Times New Roman"/>
        </w:rPr>
        <w:footnoteReference w:id="185"/>
      </w:r>
      <w:r w:rsidR="00230627" w:rsidRPr="0054712C">
        <w:rPr>
          <w:rFonts w:ascii="Times New Roman" w:hAnsi="Times New Roman" w:cs="Times New Roman"/>
        </w:rPr>
        <w:t xml:space="preserve"> Consequently, approaches to legal translation have become more nuanced, acknowledging, for example, the error of attempting to apply the traditionally accepted recipient-oriented translational approach, which threatens “dethronement” of the source text,</w:t>
      </w:r>
      <w:r w:rsidR="009C7E36">
        <w:rPr>
          <w:rStyle w:val="FootnoteReference"/>
          <w:rFonts w:ascii="Times New Roman" w:hAnsi="Times New Roman" w:cs="Times New Roman"/>
        </w:rPr>
        <w:footnoteReference w:id="186"/>
      </w:r>
      <w:r w:rsidR="00230627" w:rsidRPr="0054712C">
        <w:rPr>
          <w:rFonts w:ascii="Times New Roman" w:hAnsi="Times New Roman" w:cs="Times New Roman"/>
        </w:rPr>
        <w:t xml:space="preserve"> to legal texts</w:t>
      </w:r>
      <w:r w:rsidR="00520E50" w:rsidRPr="0054712C">
        <w:rPr>
          <w:rFonts w:ascii="Times New Roman" w:hAnsi="Times New Roman" w:cs="Times New Roman"/>
        </w:rPr>
        <w:t>.</w:t>
      </w:r>
      <w:r w:rsidR="0054712C" w:rsidRPr="0054712C">
        <w:rPr>
          <w:rFonts w:ascii="Times New Roman" w:hAnsi="Times New Roman" w:cs="Times New Roman"/>
        </w:rPr>
        <w:t xml:space="preserve"> Such academic progress has had great ramifications for how multilingual translation might inform the processes of both digitising legislation as well as potentially using </w:t>
      </w:r>
      <w:r w:rsidR="0054712C">
        <w:rPr>
          <w:rFonts w:ascii="Times New Roman" w:hAnsi="Times New Roman" w:cs="Times New Roman"/>
        </w:rPr>
        <w:t>such digitised texts</w:t>
      </w:r>
      <w:r w:rsidR="0054712C" w:rsidRPr="0054712C">
        <w:rPr>
          <w:rFonts w:ascii="Times New Roman" w:hAnsi="Times New Roman" w:cs="Times New Roman"/>
        </w:rPr>
        <w:t xml:space="preserve"> as a tool of interpretation in disputes.</w:t>
      </w:r>
      <w:r w:rsidR="00943595">
        <w:rPr>
          <w:rFonts w:ascii="Times New Roman" w:hAnsi="Times New Roman" w:cs="Times New Roman"/>
        </w:rPr>
        <w:t xml:space="preserve"> Regarding the latter, </w:t>
      </w:r>
      <w:r w:rsidR="00943595" w:rsidRPr="00943595">
        <w:rPr>
          <w:rFonts w:ascii="Times New Roman" w:hAnsi="Times New Roman" w:cs="Times New Roman"/>
        </w:rPr>
        <w:t>Solan shows that, rather than a hinderance, the CJEU has viewed the wide variety of translations available as a “unique kind of evidence of purpose”,</w:t>
      </w:r>
      <w:r w:rsidR="00943595" w:rsidRPr="00DD0131">
        <w:rPr>
          <w:rStyle w:val="FootnoteReference"/>
        </w:rPr>
        <w:footnoteReference w:id="187"/>
      </w:r>
      <w:r w:rsidR="00943595" w:rsidRPr="00943595">
        <w:rPr>
          <w:rFonts w:ascii="Times New Roman" w:hAnsi="Times New Roman" w:cs="Times New Roman"/>
        </w:rPr>
        <w:t xml:space="preserve"> serving as a further tool into the intent of the legislature. Indeed, in this context, and in light of the potential drafting process explored in the prior subsection, the presence of a translation of legislation into logical code could help to outline its true intent</w:t>
      </w:r>
      <w:r w:rsidR="0053303A">
        <w:rPr>
          <w:rFonts w:ascii="Times New Roman" w:hAnsi="Times New Roman" w:cs="Times New Roman"/>
        </w:rPr>
        <w:t>, as the OECD initially proposed</w:t>
      </w:r>
      <w:r w:rsidR="00943595" w:rsidRPr="00943595">
        <w:rPr>
          <w:rFonts w:ascii="Times New Roman" w:hAnsi="Times New Roman" w:cs="Times New Roman"/>
        </w:rPr>
        <w:t>.</w:t>
      </w:r>
      <w:r w:rsidR="001000E9">
        <w:rPr>
          <w:rStyle w:val="FootnoteReference"/>
          <w:rFonts w:ascii="Times New Roman" w:hAnsi="Times New Roman" w:cs="Times New Roman"/>
        </w:rPr>
        <w:footnoteReference w:id="188"/>
      </w:r>
    </w:p>
    <w:p w14:paraId="76602DD4" w14:textId="6C3CBD3E" w:rsidR="00BC4F09" w:rsidRDefault="0054712C" w:rsidP="0054712C">
      <w:pPr>
        <w:spacing w:line="480" w:lineRule="auto"/>
        <w:jc w:val="both"/>
        <w:rPr>
          <w:rFonts w:ascii="Times New Roman" w:hAnsi="Times New Roman" w:cs="Times New Roman"/>
        </w:rPr>
      </w:pPr>
      <w:r>
        <w:rPr>
          <w:rFonts w:ascii="Times New Roman" w:hAnsi="Times New Roman" w:cs="Times New Roman"/>
        </w:rPr>
        <w:t>In considering the lessons learned toward the former</w:t>
      </w:r>
      <w:r w:rsidR="00943595">
        <w:rPr>
          <w:rFonts w:ascii="Times New Roman" w:hAnsi="Times New Roman" w:cs="Times New Roman"/>
        </w:rPr>
        <w:t>, that is, the manner in which multilingual translation might inform the process of specifically converting written legislation into code</w:t>
      </w:r>
      <w:r>
        <w:rPr>
          <w:rFonts w:ascii="Times New Roman" w:hAnsi="Times New Roman" w:cs="Times New Roman"/>
        </w:rPr>
        <w:t xml:space="preserve">, one might analyse the evolution of the linguist’s approach to superfluous or otherwise inefficiently worded literal translations. </w:t>
      </w:r>
      <w:r w:rsidR="00943595">
        <w:rPr>
          <w:rFonts w:ascii="Times New Roman" w:hAnsi="Times New Roman" w:cs="Times New Roman"/>
        </w:rPr>
        <w:t>Historically, l</w:t>
      </w:r>
      <w:r w:rsidR="00F4523D">
        <w:rPr>
          <w:rFonts w:ascii="Times New Roman" w:hAnsi="Times New Roman" w:cs="Times New Roman"/>
        </w:rPr>
        <w:t xml:space="preserve">egal translation was translated strictly literally until </w:t>
      </w:r>
      <w:r w:rsidR="00BB5AAC">
        <w:rPr>
          <w:rFonts w:ascii="Times New Roman" w:hAnsi="Times New Roman" w:cs="Times New Roman"/>
        </w:rPr>
        <w:t xml:space="preserve">Virgile Rossel’s </w:t>
      </w:r>
      <w:r w:rsidR="00943595">
        <w:rPr>
          <w:rFonts w:ascii="Times New Roman" w:hAnsi="Times New Roman" w:cs="Times New Roman"/>
        </w:rPr>
        <w:t xml:space="preserve">non-literal </w:t>
      </w:r>
      <w:r w:rsidR="00BB5AAC">
        <w:rPr>
          <w:rFonts w:ascii="Times New Roman" w:hAnsi="Times New Roman" w:cs="Times New Roman"/>
        </w:rPr>
        <w:t xml:space="preserve">translation of the </w:t>
      </w:r>
      <w:r w:rsidR="00BB5AAC" w:rsidRPr="00943595">
        <w:rPr>
          <w:rFonts w:ascii="Times New Roman" w:hAnsi="Times New Roman" w:cs="Times New Roman"/>
          <w:i/>
          <w:iCs/>
        </w:rPr>
        <w:t>Swiss Civil Code</w:t>
      </w:r>
      <w:r w:rsidR="00BB5AAC" w:rsidRPr="00DD0131">
        <w:rPr>
          <w:rStyle w:val="FootnoteReference"/>
        </w:rPr>
        <w:footnoteReference w:id="189"/>
      </w:r>
      <w:r w:rsidR="00BB5AAC">
        <w:rPr>
          <w:rFonts w:ascii="Times New Roman" w:hAnsi="Times New Roman" w:cs="Times New Roman"/>
        </w:rPr>
        <w:t xml:space="preserve"> from its original German to French in 1907 to much </w:t>
      </w:r>
      <w:r w:rsidR="00BB5AAC">
        <w:rPr>
          <w:rFonts w:ascii="Times New Roman" w:hAnsi="Times New Roman" w:cs="Times New Roman"/>
        </w:rPr>
        <w:lastRenderedPageBreak/>
        <w:t>criticism.</w:t>
      </w:r>
      <w:r w:rsidR="00BB5AAC" w:rsidRPr="00DD0131">
        <w:rPr>
          <w:rStyle w:val="FootnoteReference"/>
        </w:rPr>
        <w:footnoteReference w:id="190"/>
      </w:r>
      <w:r w:rsidR="00BB5AAC">
        <w:rPr>
          <w:rFonts w:ascii="Times New Roman" w:hAnsi="Times New Roman" w:cs="Times New Roman"/>
        </w:rPr>
        <w:t xml:space="preserve"> </w:t>
      </w:r>
      <w:r w:rsidR="008810F8">
        <w:rPr>
          <w:rFonts w:ascii="Times New Roman" w:hAnsi="Times New Roman" w:cs="Times New Roman"/>
        </w:rPr>
        <w:t>Rossel argued in favour of a natural translation which emphasised clearly communicating the text’s meaning to the French-speaking population of Switzerland over preserving the exact syntax and terminology, believing that this approach was key in upholding the principal of fidelity. This fierce rejection of</w:t>
      </w:r>
      <w:r w:rsidR="0072116D">
        <w:rPr>
          <w:rFonts w:ascii="Times New Roman" w:hAnsi="Times New Roman" w:cs="Times New Roman"/>
        </w:rPr>
        <w:t xml:space="preserve"> translational</w:t>
      </w:r>
      <w:r w:rsidR="008810F8">
        <w:rPr>
          <w:rFonts w:ascii="Times New Roman" w:hAnsi="Times New Roman" w:cs="Times New Roman"/>
        </w:rPr>
        <w:t xml:space="preserve"> literalism</w:t>
      </w:r>
      <w:r w:rsidR="0072116D">
        <w:rPr>
          <w:rFonts w:ascii="Times New Roman" w:hAnsi="Times New Roman" w:cs="Times New Roman"/>
        </w:rPr>
        <w:t xml:space="preserve">, </w:t>
      </w:r>
      <w:r w:rsidR="0072116D" w:rsidRPr="0072116D">
        <w:rPr>
          <w:rFonts w:ascii="Times New Roman" w:hAnsi="Times New Roman" w:cs="Times New Roman"/>
        </w:rPr>
        <w:t>the theory that any text can – and, according to literalists, should – be translated to the literal word, with no interpretation on the part of the translator</w:t>
      </w:r>
      <w:r w:rsidR="0072116D">
        <w:rPr>
          <w:rFonts w:ascii="Times New Roman" w:hAnsi="Times New Roman" w:cs="Times New Roman"/>
        </w:rPr>
        <w:t>,</w:t>
      </w:r>
      <w:r w:rsidR="008810F8">
        <w:rPr>
          <w:rFonts w:ascii="Times New Roman" w:hAnsi="Times New Roman" w:cs="Times New Roman"/>
        </w:rPr>
        <w:t xml:space="preserve"> </w:t>
      </w:r>
      <w:r w:rsidR="00ED1F23">
        <w:rPr>
          <w:rFonts w:ascii="Times New Roman" w:hAnsi="Times New Roman" w:cs="Times New Roman"/>
        </w:rPr>
        <w:t xml:space="preserve">was the first of many throughout the century which can be studied to analyse the modern approach to legal translation. </w:t>
      </w:r>
      <w:r w:rsidR="00353BBE">
        <w:rPr>
          <w:rFonts w:ascii="Times New Roman" w:hAnsi="Times New Roman" w:cs="Times New Roman"/>
        </w:rPr>
        <w:t>Canada</w:t>
      </w:r>
      <w:r>
        <w:rPr>
          <w:rFonts w:ascii="Times New Roman" w:hAnsi="Times New Roman" w:cs="Times New Roman"/>
        </w:rPr>
        <w:t xml:space="preserve">, for example, </w:t>
      </w:r>
      <w:r w:rsidR="00353BBE">
        <w:rPr>
          <w:rFonts w:ascii="Times New Roman" w:hAnsi="Times New Roman" w:cs="Times New Roman"/>
        </w:rPr>
        <w:t>treats legal texts in both</w:t>
      </w:r>
      <w:r>
        <w:rPr>
          <w:rFonts w:ascii="Times New Roman" w:hAnsi="Times New Roman" w:cs="Times New Roman"/>
        </w:rPr>
        <w:t xml:space="preserve"> official languages</w:t>
      </w:r>
      <w:r w:rsidR="00353BBE">
        <w:rPr>
          <w:rFonts w:ascii="Times New Roman" w:hAnsi="Times New Roman" w:cs="Times New Roman"/>
        </w:rPr>
        <w:t xml:space="preserve">, </w:t>
      </w:r>
      <w:r>
        <w:rPr>
          <w:rFonts w:ascii="Times New Roman" w:hAnsi="Times New Roman" w:cs="Times New Roman"/>
        </w:rPr>
        <w:t>English and French,</w:t>
      </w:r>
      <w:r w:rsidR="00353BBE">
        <w:rPr>
          <w:rFonts w:ascii="Times New Roman" w:hAnsi="Times New Roman" w:cs="Times New Roman"/>
        </w:rPr>
        <w:t xml:space="preserve"> as equally authentic,</w:t>
      </w:r>
      <w:r w:rsidR="00353BBE" w:rsidRPr="00DD0131">
        <w:rPr>
          <w:rStyle w:val="FootnoteReference"/>
        </w:rPr>
        <w:footnoteReference w:id="191"/>
      </w:r>
      <w:r w:rsidR="00353BBE">
        <w:rPr>
          <w:rFonts w:ascii="Times New Roman" w:hAnsi="Times New Roman" w:cs="Times New Roman"/>
        </w:rPr>
        <w:t xml:space="preserve"> </w:t>
      </w:r>
      <w:r w:rsidR="00ED1F23">
        <w:rPr>
          <w:rFonts w:ascii="Times New Roman" w:hAnsi="Times New Roman" w:cs="Times New Roman"/>
        </w:rPr>
        <w:t>and was forced to seriously consider its translative approaches due to the contrast between the common-law of its English-speaking provinces, and the civil law demanded by the culturally and linguistically French population of Quebec.</w:t>
      </w:r>
      <w:r w:rsidR="00ED1F23" w:rsidRPr="00DD0131">
        <w:rPr>
          <w:rStyle w:val="FootnoteReference"/>
        </w:rPr>
        <w:footnoteReference w:id="192"/>
      </w:r>
      <w:r w:rsidR="00BC4F09">
        <w:rPr>
          <w:rFonts w:ascii="Times New Roman" w:hAnsi="Times New Roman" w:cs="Times New Roman"/>
        </w:rPr>
        <w:t xml:space="preserve"> In doing so, Canada outlined its natural approach to legal translation, including reversing its initial literal approach which restricted any functional input from the translator and instead </w:t>
      </w:r>
      <w:r w:rsidR="00A83D54">
        <w:rPr>
          <w:rFonts w:ascii="Times New Roman" w:hAnsi="Times New Roman" w:cs="Times New Roman"/>
        </w:rPr>
        <w:t>permitting</w:t>
      </w:r>
      <w:r w:rsidR="00BC4F09">
        <w:rPr>
          <w:rFonts w:ascii="Times New Roman" w:hAnsi="Times New Roman" w:cs="Times New Roman"/>
        </w:rPr>
        <w:t xml:space="preserve"> the translator, now considered a co-drafter,</w:t>
      </w:r>
      <w:r w:rsidR="00BC4F09" w:rsidRPr="00DD0131">
        <w:rPr>
          <w:rStyle w:val="FootnoteReference"/>
        </w:rPr>
        <w:footnoteReference w:id="193"/>
      </w:r>
      <w:r w:rsidR="00BC4F09">
        <w:rPr>
          <w:rFonts w:ascii="Times New Roman" w:hAnsi="Times New Roman" w:cs="Times New Roman"/>
        </w:rPr>
        <w:t xml:space="preserve"> to re-word and delete superfluous or otherwise out of place text in translating the source text, so long as fidelity is preserved.</w:t>
      </w:r>
      <w:r w:rsidR="00BC4F09" w:rsidRPr="00DD0131">
        <w:rPr>
          <w:rStyle w:val="FootnoteReference"/>
        </w:rPr>
        <w:footnoteReference w:id="194"/>
      </w:r>
      <w:r w:rsidR="00BC4F09">
        <w:rPr>
          <w:rFonts w:ascii="Times New Roman" w:hAnsi="Times New Roman" w:cs="Times New Roman"/>
        </w:rPr>
        <w:t xml:space="preserve"> This approach has been considered widely successful</w:t>
      </w:r>
      <w:r w:rsidR="00A83D54">
        <w:rPr>
          <w:rFonts w:ascii="Times New Roman" w:hAnsi="Times New Roman" w:cs="Times New Roman"/>
        </w:rPr>
        <w:t xml:space="preserve"> in the eyes of Canada’s Parliament and Supreme Court</w:t>
      </w:r>
      <w:r w:rsidR="00DA14D5">
        <w:rPr>
          <w:rFonts w:ascii="Times New Roman" w:hAnsi="Times New Roman" w:cs="Times New Roman"/>
        </w:rPr>
        <w:t xml:space="preserve"> as well as the wider linguistics community</w:t>
      </w:r>
      <w:r w:rsidR="00A83D54">
        <w:rPr>
          <w:rFonts w:ascii="Times New Roman" w:hAnsi="Times New Roman" w:cs="Times New Roman"/>
        </w:rPr>
        <w:t>,</w:t>
      </w:r>
      <w:r w:rsidR="00A83D54" w:rsidRPr="00DD0131">
        <w:rPr>
          <w:rStyle w:val="FootnoteReference"/>
        </w:rPr>
        <w:footnoteReference w:id="195"/>
      </w:r>
      <w:r w:rsidR="00A83D54">
        <w:rPr>
          <w:rFonts w:ascii="Times New Roman" w:hAnsi="Times New Roman" w:cs="Times New Roman"/>
        </w:rPr>
        <w:t xml:space="preserve"> and</w:t>
      </w:r>
      <w:r w:rsidR="009C5E54">
        <w:rPr>
          <w:rFonts w:ascii="Times New Roman" w:hAnsi="Times New Roman" w:cs="Times New Roman"/>
        </w:rPr>
        <w:t xml:space="preserve"> in light of such reforms, linguistic scholars now accept that fidelity is concerned with maintaining an “equivalent impact on the target reader, which may justify substantial changes to the original text”.</w:t>
      </w:r>
      <w:r w:rsidR="009C5E54" w:rsidRPr="00DD0131">
        <w:rPr>
          <w:rStyle w:val="FootnoteReference"/>
        </w:rPr>
        <w:footnoteReference w:id="196"/>
      </w:r>
    </w:p>
    <w:p w14:paraId="7A0C7417" w14:textId="45B2CF4E" w:rsidR="0054712C" w:rsidRDefault="00A83D54" w:rsidP="0054712C">
      <w:pPr>
        <w:spacing w:line="480" w:lineRule="auto"/>
        <w:jc w:val="both"/>
        <w:rPr>
          <w:rFonts w:ascii="Times New Roman" w:hAnsi="Times New Roman" w:cs="Times New Roman"/>
        </w:rPr>
      </w:pPr>
      <w:r>
        <w:rPr>
          <w:rFonts w:ascii="Times New Roman" w:hAnsi="Times New Roman" w:cs="Times New Roman"/>
        </w:rPr>
        <w:t xml:space="preserve">Application of the ‘natural’ translational approach can, of course, be seen throughout much of the modern statutory interpretation principles which emphasise contextual interpretation over literal and </w:t>
      </w:r>
      <w:r>
        <w:rPr>
          <w:rFonts w:ascii="Times New Roman" w:hAnsi="Times New Roman" w:cs="Times New Roman"/>
        </w:rPr>
        <w:lastRenderedPageBreak/>
        <w:t>technical,</w:t>
      </w:r>
      <w:r w:rsidRPr="00DD0131">
        <w:rPr>
          <w:rStyle w:val="FootnoteReference"/>
        </w:rPr>
        <w:footnoteReference w:id="197"/>
      </w:r>
      <w:r>
        <w:rPr>
          <w:rFonts w:ascii="Times New Roman" w:hAnsi="Times New Roman" w:cs="Times New Roman"/>
        </w:rPr>
        <w:t xml:space="preserve"> though applying the empowerment of the </w:t>
      </w:r>
      <w:r w:rsidR="00905C69">
        <w:rPr>
          <w:rFonts w:ascii="Times New Roman" w:hAnsi="Times New Roman" w:cs="Times New Roman"/>
        </w:rPr>
        <w:t>modern</w:t>
      </w:r>
      <w:r>
        <w:rPr>
          <w:rFonts w:ascii="Times New Roman" w:hAnsi="Times New Roman" w:cs="Times New Roman"/>
        </w:rPr>
        <w:t xml:space="preserve"> legal translator to edit or outright remove chunks of superfluous text can be applied particularly to coding exercises. Indeed, in a discipline in which optimisation is of </w:t>
      </w:r>
      <w:r w:rsidR="00943595">
        <w:rPr>
          <w:rFonts w:ascii="Times New Roman" w:hAnsi="Times New Roman" w:cs="Times New Roman"/>
        </w:rPr>
        <w:t>great</w:t>
      </w:r>
      <w:r>
        <w:rPr>
          <w:rFonts w:ascii="Times New Roman" w:hAnsi="Times New Roman" w:cs="Times New Roman"/>
        </w:rPr>
        <w:t xml:space="preserve"> importance,</w:t>
      </w:r>
      <w:r w:rsidR="004C5E2E" w:rsidRPr="00DD0131">
        <w:rPr>
          <w:rStyle w:val="FootnoteReference"/>
        </w:rPr>
        <w:footnoteReference w:id="198"/>
      </w:r>
      <w:r>
        <w:rPr>
          <w:rFonts w:ascii="Times New Roman" w:hAnsi="Times New Roman" w:cs="Times New Roman"/>
        </w:rPr>
        <w:t xml:space="preserve"> and within the context of an interview-styled application which requires user input at each question of fact,</w:t>
      </w:r>
      <w:r w:rsidR="00905C69" w:rsidRPr="00DD0131">
        <w:rPr>
          <w:rStyle w:val="FootnoteReference"/>
        </w:rPr>
        <w:footnoteReference w:id="199"/>
      </w:r>
      <w:r>
        <w:rPr>
          <w:rFonts w:ascii="Times New Roman" w:hAnsi="Times New Roman" w:cs="Times New Roman"/>
        </w:rPr>
        <w:t xml:space="preserve"> the opportunity to remove superfluous chunks where the consequent code would remain functionally </w:t>
      </w:r>
      <w:r w:rsidR="007A795B">
        <w:rPr>
          <w:rFonts w:ascii="Times New Roman" w:hAnsi="Times New Roman" w:cs="Times New Roman"/>
        </w:rPr>
        <w:t xml:space="preserve">and legally </w:t>
      </w:r>
      <w:r>
        <w:rPr>
          <w:rFonts w:ascii="Times New Roman" w:hAnsi="Times New Roman" w:cs="Times New Roman"/>
        </w:rPr>
        <w:t xml:space="preserve">equivalent to its pre-edited </w:t>
      </w:r>
      <w:r w:rsidR="007A795B">
        <w:rPr>
          <w:rFonts w:ascii="Times New Roman" w:hAnsi="Times New Roman" w:cs="Times New Roman"/>
        </w:rPr>
        <w:t xml:space="preserve">state is particularly enticing. </w:t>
      </w:r>
    </w:p>
    <w:p w14:paraId="5CC14C39" w14:textId="30D0796C" w:rsidR="00DA14D5" w:rsidRDefault="00DA14D5" w:rsidP="0054712C">
      <w:pPr>
        <w:spacing w:line="480" w:lineRule="auto"/>
        <w:jc w:val="both"/>
        <w:rPr>
          <w:rFonts w:ascii="Times New Roman" w:hAnsi="Times New Roman" w:cs="Times New Roman"/>
        </w:rPr>
      </w:pPr>
      <w:r>
        <w:rPr>
          <w:rFonts w:ascii="Times New Roman" w:hAnsi="Times New Roman" w:cs="Times New Roman"/>
        </w:rPr>
        <w:t xml:space="preserve">In applying this strategy to the presently considered application, consideration was placed on sections 133 and 131 of the </w:t>
      </w:r>
      <w:r>
        <w:rPr>
          <w:rFonts w:ascii="Times New Roman" w:hAnsi="Times New Roman" w:cs="Times New Roman"/>
          <w:i/>
          <w:iCs/>
        </w:rPr>
        <w:t>National Credit Act</w:t>
      </w:r>
      <w:r w:rsidR="00457213">
        <w:rPr>
          <w:rFonts w:ascii="Times New Roman" w:hAnsi="Times New Roman" w:cs="Times New Roman"/>
        </w:rPr>
        <w:t>, which, as outlined in Section IV, share a number of similarities. Specifically, both sections prescribe licensee prohibitions which are conditional upon the contract being unsuitable for the consumer,</w:t>
      </w:r>
      <w:r w:rsidR="00457213" w:rsidRPr="00457213">
        <w:rPr>
          <w:rFonts w:ascii="Times New Roman" w:hAnsi="Times New Roman" w:cs="Times New Roman"/>
        </w:rPr>
        <w:t xml:space="preserve"> </w:t>
      </w:r>
      <w:r w:rsidR="00457213" w:rsidRPr="00DD0131">
        <w:rPr>
          <w:rStyle w:val="FootnoteReference"/>
        </w:rPr>
        <w:footnoteReference w:id="200"/>
      </w:r>
      <w:r w:rsidR="00457213">
        <w:rPr>
          <w:rFonts w:ascii="Times New Roman" w:hAnsi="Times New Roman" w:cs="Times New Roman"/>
        </w:rPr>
        <w:t xml:space="preserve"> and, to this end, define when this will be the case.</w:t>
      </w:r>
      <w:r w:rsidR="00457213" w:rsidRPr="00DD0131">
        <w:rPr>
          <w:rStyle w:val="FootnoteReference"/>
        </w:rPr>
        <w:footnoteReference w:id="201"/>
      </w:r>
      <w:r w:rsidR="00231784">
        <w:rPr>
          <w:rFonts w:ascii="Times New Roman" w:hAnsi="Times New Roman" w:cs="Times New Roman"/>
        </w:rPr>
        <w:t xml:space="preserve"> It is the latter which is largely identical between the two, with only minor differences, and thus, rather than waste both computational power and user time by running through each check independent of one another, the application was “re-worded” to remove superfluous text, much as a translator might do so </w:t>
      </w:r>
      <w:r w:rsidR="009C5E54">
        <w:rPr>
          <w:rFonts w:ascii="Times New Roman" w:hAnsi="Times New Roman" w:cs="Times New Roman"/>
        </w:rPr>
        <w:t>modern linguistics</w:t>
      </w:r>
      <w:r w:rsidR="00231784">
        <w:rPr>
          <w:rFonts w:ascii="Times New Roman" w:hAnsi="Times New Roman" w:cs="Times New Roman"/>
        </w:rPr>
        <w:t xml:space="preserve"> norms. Specifically, in the updated application, the checks to determine whether a contract is factually suitable have been removed from both the s131 and s133 functions, and instead placed into a separate ‘isUnsuitable’ function which is called within the aforementioned functions, as in Figures 6 &amp; 7. Note that the ‘inUnsuitable’ function is always called in s131 but is only called in s133 if the user has indicated that the answers to the prompts would change if they were in relation not to the assessment day,</w:t>
      </w:r>
      <w:r w:rsidR="00231784" w:rsidRPr="00DD0131">
        <w:rPr>
          <w:rStyle w:val="FootnoteReference"/>
        </w:rPr>
        <w:footnoteReference w:id="202"/>
      </w:r>
      <w:r w:rsidR="00231784">
        <w:rPr>
          <w:rFonts w:ascii="Times New Roman" w:hAnsi="Times New Roman" w:cs="Times New Roman"/>
        </w:rPr>
        <w:t xml:space="preserve"> but the credit day.</w:t>
      </w:r>
      <w:r w:rsidR="00231784" w:rsidRPr="00DD0131">
        <w:rPr>
          <w:rStyle w:val="FootnoteReference"/>
        </w:rPr>
        <w:footnoteReference w:id="203"/>
      </w:r>
    </w:p>
    <w:bookmarkStart w:id="11" w:name="_MON_1663829142"/>
    <w:bookmarkEnd w:id="11"/>
    <w:p w14:paraId="40F12390" w14:textId="77777777" w:rsidR="00AB5D0B" w:rsidRDefault="00AB5D0B" w:rsidP="00AB5D0B">
      <w:pPr>
        <w:keepNext/>
        <w:spacing w:line="480" w:lineRule="auto"/>
        <w:jc w:val="both"/>
      </w:pPr>
      <w:r>
        <w:rPr>
          <w:rFonts w:ascii="Times New Roman" w:hAnsi="Times New Roman" w:cs="Times New Roman"/>
        </w:rPr>
        <w:object w:dxaOrig="9026" w:dyaOrig="1869" w14:anchorId="620D1FE0">
          <v:shape id="_x0000_i1031" type="#_x0000_t75" style="width:451.35pt;height:94.05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DocumentMacroEnabled.12" ShapeID="_x0000_i1031" DrawAspect="Content" ObjectID="_1665571825" r:id="rId21"/>
        </w:object>
      </w:r>
    </w:p>
    <w:p w14:paraId="6E208053" w14:textId="3DA247B0" w:rsidR="00AB5D0B" w:rsidRDefault="00AB5D0B" w:rsidP="00AB5D0B">
      <w:pPr>
        <w:pStyle w:val="Caption"/>
        <w:jc w:val="both"/>
        <w:rPr>
          <w:i w:val="0"/>
          <w:iCs w:val="0"/>
        </w:rPr>
      </w:pPr>
      <w:r w:rsidRPr="00AB5D0B">
        <w:rPr>
          <w:b/>
          <w:bCs/>
          <w:i w:val="0"/>
          <w:iCs w:val="0"/>
        </w:rPr>
        <w:t xml:space="preserve">Figure </w:t>
      </w:r>
      <w:r w:rsidR="00F86259">
        <w:rPr>
          <w:b/>
          <w:bCs/>
          <w:i w:val="0"/>
          <w:iCs w:val="0"/>
        </w:rPr>
        <w:t>V-1</w:t>
      </w:r>
      <w:r>
        <w:rPr>
          <w:b/>
          <w:bCs/>
          <w:i w:val="0"/>
          <w:iCs w:val="0"/>
        </w:rPr>
        <w:t xml:space="preserve"> – </w:t>
      </w:r>
      <w:r>
        <w:rPr>
          <w:i w:val="0"/>
          <w:iCs w:val="0"/>
        </w:rPr>
        <w:t>A chunk within the s131 function which checks the suitability of the contract for the consumer.</w:t>
      </w:r>
      <w:r w:rsidR="00F86259">
        <w:rPr>
          <w:i w:val="0"/>
          <w:iCs w:val="0"/>
        </w:rPr>
        <w:t xml:space="preserve"> </w:t>
      </w:r>
      <w:r w:rsidR="00F86259" w:rsidRPr="00F86259">
        <w:t>Compatible with Python 3. This code was developed by the author of the present article.</w:t>
      </w:r>
    </w:p>
    <w:p w14:paraId="1CEA418A" w14:textId="77777777" w:rsidR="00F376E8" w:rsidRPr="00F376E8" w:rsidRDefault="00F376E8" w:rsidP="00F376E8"/>
    <w:bookmarkStart w:id="12" w:name="_MON_1663829512"/>
    <w:bookmarkEnd w:id="12"/>
    <w:p w14:paraId="307E0D9E" w14:textId="77777777" w:rsidR="00AB5D0B" w:rsidRDefault="00AB5D0B" w:rsidP="00AB5D0B">
      <w:pPr>
        <w:pStyle w:val="Caption"/>
        <w:keepNext/>
        <w:jc w:val="both"/>
      </w:pPr>
      <w:r>
        <w:rPr>
          <w:i w:val="0"/>
          <w:iCs w:val="0"/>
        </w:rPr>
        <w:object w:dxaOrig="9026" w:dyaOrig="680" w14:anchorId="66C3D763">
          <v:shape id="_x0000_i1032" type="#_x0000_t75" style="width:451.35pt;height:34.4pt" o:ole="" o:bordertopcolor="this" o:borderleftcolor="this" o:borderbottomcolor="this" o:borderrightcolor="this">
            <v:imagedata r:id="rId22" o:title=""/>
            <w10:bordertop type="single" width="4"/>
            <w10:borderleft type="single" width="4"/>
            <w10:borderbottom type="single" width="4"/>
            <w10:borderright type="single" width="4"/>
          </v:shape>
          <o:OLEObject Type="Embed" ProgID="Word.DocumentMacroEnabled.12" ShapeID="_x0000_i1032" DrawAspect="Content" ObjectID="_1665571826" r:id="rId23"/>
        </w:object>
      </w:r>
    </w:p>
    <w:p w14:paraId="6EDD3957" w14:textId="12AD2EE1" w:rsidR="00AB5D0B" w:rsidRDefault="00AB5D0B" w:rsidP="00AB5D0B">
      <w:pPr>
        <w:pStyle w:val="Caption"/>
        <w:jc w:val="both"/>
        <w:rPr>
          <w:i w:val="0"/>
          <w:iCs w:val="0"/>
        </w:rPr>
      </w:pPr>
      <w:r w:rsidRPr="00AB5D0B">
        <w:rPr>
          <w:b/>
          <w:bCs/>
          <w:i w:val="0"/>
          <w:iCs w:val="0"/>
        </w:rPr>
        <w:t xml:space="preserve">Figure </w:t>
      </w:r>
      <w:r w:rsidR="00F86259">
        <w:rPr>
          <w:b/>
          <w:bCs/>
          <w:i w:val="0"/>
          <w:iCs w:val="0"/>
        </w:rPr>
        <w:t>V-2</w:t>
      </w:r>
      <w:r>
        <w:rPr>
          <w:b/>
          <w:bCs/>
          <w:i w:val="0"/>
          <w:iCs w:val="0"/>
        </w:rPr>
        <w:t xml:space="preserve"> – </w:t>
      </w:r>
      <w:r>
        <w:rPr>
          <w:i w:val="0"/>
          <w:iCs w:val="0"/>
        </w:rPr>
        <w:t>A chunk within the s133 function which checks the suitability of the contract for the consumer if the user has indicated that the result may differ from the check in s131.</w:t>
      </w:r>
      <w:r w:rsidR="00F86259">
        <w:rPr>
          <w:i w:val="0"/>
          <w:iCs w:val="0"/>
        </w:rPr>
        <w:t xml:space="preserve"> </w:t>
      </w:r>
      <w:r w:rsidR="00F86259" w:rsidRPr="00F86259">
        <w:t>Compatible with Python 3. This code was developed by the author of the present article.</w:t>
      </w:r>
    </w:p>
    <w:p w14:paraId="2BB37835" w14:textId="42A0EDF9" w:rsidR="00AB5D0B" w:rsidRDefault="00AB5D0B" w:rsidP="00965BEF">
      <w:pPr>
        <w:spacing w:line="480" w:lineRule="auto"/>
        <w:jc w:val="both"/>
      </w:pPr>
      <w:r>
        <w:t>Beyond the timeframe at which suitability is considered, both section</w:t>
      </w:r>
      <w:r w:rsidR="00F376E8">
        <w:t>’</w:t>
      </w:r>
      <w:r>
        <w:t xml:space="preserve"> unsuitability checks also differ </w:t>
      </w:r>
      <w:r w:rsidR="00133C04">
        <w:t>in their respective subsections (3A)(b) which query whether the consumer has been a debtor under two or more other small amount credit contracts in the 90-day period prior to either the time of assessment</w:t>
      </w:r>
      <w:r w:rsidR="00133C04" w:rsidRPr="00DD0131">
        <w:rPr>
          <w:rStyle w:val="FootnoteReference"/>
        </w:rPr>
        <w:footnoteReference w:id="204"/>
      </w:r>
      <w:r w:rsidR="00133C04">
        <w:t xml:space="preserve"> or the credit day.</w:t>
      </w:r>
      <w:r w:rsidR="00133C04" w:rsidRPr="00DD0131">
        <w:rPr>
          <w:rStyle w:val="FootnoteReference"/>
        </w:rPr>
        <w:footnoteReference w:id="205"/>
      </w:r>
      <w:r w:rsidR="00133C04">
        <w:t xml:space="preserve"> To account for minor differences such as these, the relevant date was passed as an argument to the ‘isUnsuitable’ function based on which section the function is being called by. Compare the final argument provided in the function calls in Figures 6 &amp; 7, being ‘assessment.day’ and ‘contract.creditDay’ respectively, and note how these arguments are used in the ‘isUnsuitable’ function in Figure 8.</w:t>
      </w:r>
    </w:p>
    <w:bookmarkStart w:id="13" w:name="_MON_1663830586"/>
    <w:bookmarkEnd w:id="13"/>
    <w:p w14:paraId="7332B7C5" w14:textId="77777777" w:rsidR="00965BEF" w:rsidRDefault="00965BEF" w:rsidP="00965BEF">
      <w:pPr>
        <w:keepNext/>
      </w:pPr>
      <w:r>
        <w:object w:dxaOrig="9026" w:dyaOrig="1801" w14:anchorId="1212DB0F">
          <v:shape id="_x0000_i1033" type="#_x0000_t75" style="width:451.35pt;height:90.25pt" o:ole="" o:bordertopcolor="this" o:borderleftcolor="this" o:borderbottomcolor="this" o:borderrightcolor="this">
            <v:imagedata r:id="rId24" o:title=""/>
            <w10:bordertop type="single" width="4"/>
            <w10:borderleft type="single" width="4"/>
            <w10:borderbottom type="single" width="4"/>
            <w10:borderright type="single" width="4"/>
          </v:shape>
          <o:OLEObject Type="Embed" ProgID="Word.DocumentMacroEnabled.12" ShapeID="_x0000_i1033" DrawAspect="Content" ObjectID="_1665571827" r:id="rId25"/>
        </w:object>
      </w:r>
    </w:p>
    <w:p w14:paraId="3230403D" w14:textId="18B0CEEC" w:rsidR="00133C04" w:rsidRPr="00965BEF" w:rsidRDefault="00965BEF" w:rsidP="00965BEF">
      <w:pPr>
        <w:pStyle w:val="Caption"/>
        <w:rPr>
          <w:i w:val="0"/>
          <w:iCs w:val="0"/>
        </w:rPr>
      </w:pPr>
      <w:r w:rsidRPr="00965BEF">
        <w:rPr>
          <w:b/>
          <w:bCs/>
          <w:i w:val="0"/>
          <w:iCs w:val="0"/>
        </w:rPr>
        <w:t xml:space="preserve">Figure </w:t>
      </w:r>
      <w:r w:rsidR="00F86259">
        <w:rPr>
          <w:b/>
          <w:bCs/>
          <w:i w:val="0"/>
          <w:iCs w:val="0"/>
        </w:rPr>
        <w:t>V-3</w:t>
      </w:r>
      <w:r>
        <w:rPr>
          <w:b/>
          <w:bCs/>
          <w:i w:val="0"/>
          <w:iCs w:val="0"/>
        </w:rPr>
        <w:t xml:space="preserve"> – </w:t>
      </w:r>
      <w:r>
        <w:rPr>
          <w:i w:val="0"/>
          <w:iCs w:val="0"/>
        </w:rPr>
        <w:t>A chunk within the ‘isUnsuitable’ function which uses the ‘relevantDate’ argument.</w:t>
      </w:r>
      <w:r w:rsidR="00F86259">
        <w:rPr>
          <w:i w:val="0"/>
          <w:iCs w:val="0"/>
        </w:rPr>
        <w:t xml:space="preserve"> </w:t>
      </w:r>
      <w:r w:rsidR="00F86259" w:rsidRPr="00F86259">
        <w:t>Compatible with Python 3. This code was developed by the author of the present article.</w:t>
      </w:r>
    </w:p>
    <w:p w14:paraId="62591EA1" w14:textId="0FD13345" w:rsidR="0072116D" w:rsidRPr="004339CC" w:rsidRDefault="00AB5D0B" w:rsidP="004339CC">
      <w:pPr>
        <w:pStyle w:val="Caption"/>
        <w:jc w:val="both"/>
        <w:rPr>
          <w:rFonts w:ascii="Times New Roman" w:hAnsi="Times New Roman" w:cs="Times New Roman"/>
          <w:i w:val="0"/>
          <w:iCs w:val="0"/>
        </w:rPr>
      </w:pPr>
      <w:r>
        <w:rPr>
          <w:i w:val="0"/>
          <w:iCs w:val="0"/>
        </w:rPr>
        <w:t xml:space="preserve"> </w:t>
      </w:r>
    </w:p>
    <w:p w14:paraId="74B71818" w14:textId="471DBCFC" w:rsidR="0022089E" w:rsidRPr="0072116D" w:rsidRDefault="000F1007" w:rsidP="0072116D">
      <w:pPr>
        <w:spacing w:line="480" w:lineRule="auto"/>
        <w:jc w:val="both"/>
        <w:rPr>
          <w:rFonts w:ascii="Times New Roman" w:hAnsi="Times New Roman" w:cs="Times New Roman"/>
        </w:rPr>
      </w:pPr>
      <w:r w:rsidRPr="0072116D">
        <w:rPr>
          <w:rFonts w:ascii="Times New Roman" w:hAnsi="Times New Roman" w:cs="Times New Roman"/>
        </w:rPr>
        <w:lastRenderedPageBreak/>
        <w:t>Perhaps most liberating of the lessons learned from multilingual legislation is that posed by Mannoni</w:t>
      </w:r>
      <w:r w:rsidR="00840F91" w:rsidRPr="00DD0131">
        <w:rPr>
          <w:rStyle w:val="FootnoteReference"/>
        </w:rPr>
        <w:footnoteReference w:id="206"/>
      </w:r>
      <w:r w:rsidR="00840F91" w:rsidRPr="0072116D">
        <w:rPr>
          <w:rFonts w:ascii="Times New Roman" w:hAnsi="Times New Roman" w:cs="Times New Roman"/>
        </w:rPr>
        <w:t xml:space="preserve"> </w:t>
      </w:r>
      <w:r w:rsidR="00675E3A">
        <w:rPr>
          <w:rFonts w:ascii="Times New Roman" w:hAnsi="Times New Roman" w:cs="Times New Roman"/>
        </w:rPr>
        <w:t xml:space="preserve">elaborating on </w:t>
      </w:r>
      <w:r w:rsidR="00675E3A" w:rsidRPr="00675E3A">
        <w:rPr>
          <w:rFonts w:ascii="Times New Roman" w:hAnsi="Times New Roman" w:cs="Times New Roman"/>
        </w:rPr>
        <w:t>Popovič</w:t>
      </w:r>
      <w:r w:rsidR="00675E3A">
        <w:rPr>
          <w:rFonts w:ascii="Times New Roman" w:hAnsi="Times New Roman" w:cs="Times New Roman"/>
        </w:rPr>
        <w:t>’s theory of prototexts and metatexts</w:t>
      </w:r>
      <w:r w:rsidR="00840F91" w:rsidRPr="0072116D">
        <w:rPr>
          <w:rFonts w:ascii="Times New Roman" w:hAnsi="Times New Roman" w:cs="Times New Roman"/>
        </w:rPr>
        <w:t>,</w:t>
      </w:r>
      <w:r w:rsidR="00675E3A">
        <w:rPr>
          <w:rStyle w:val="FootnoteReference"/>
          <w:rFonts w:ascii="Times New Roman" w:hAnsi="Times New Roman" w:cs="Times New Roman"/>
        </w:rPr>
        <w:footnoteReference w:id="207"/>
      </w:r>
      <w:r w:rsidR="00840F91" w:rsidRPr="0072116D">
        <w:rPr>
          <w:rFonts w:ascii="Times New Roman" w:hAnsi="Times New Roman" w:cs="Times New Roman"/>
        </w:rPr>
        <w:t xml:space="preserve"> </w:t>
      </w:r>
      <w:r w:rsidR="00675E3A">
        <w:rPr>
          <w:rFonts w:ascii="Times New Roman" w:hAnsi="Times New Roman" w:cs="Times New Roman"/>
        </w:rPr>
        <w:t>which</w:t>
      </w:r>
      <w:r w:rsidR="002D6798" w:rsidRPr="0072116D">
        <w:rPr>
          <w:rFonts w:ascii="Times New Roman" w:hAnsi="Times New Roman" w:cs="Times New Roman"/>
        </w:rPr>
        <w:t xml:space="preserve"> argue</w:t>
      </w:r>
      <w:r w:rsidR="00675E3A">
        <w:rPr>
          <w:rFonts w:ascii="Times New Roman" w:hAnsi="Times New Roman" w:cs="Times New Roman"/>
        </w:rPr>
        <w:t>s</w:t>
      </w:r>
      <w:r w:rsidR="002D6798" w:rsidRPr="0072116D">
        <w:rPr>
          <w:rFonts w:ascii="Times New Roman" w:hAnsi="Times New Roman" w:cs="Times New Roman"/>
        </w:rPr>
        <w:t xml:space="preserve"> </w:t>
      </w:r>
      <w:r w:rsidR="00840F91" w:rsidRPr="0072116D">
        <w:rPr>
          <w:rFonts w:ascii="Times New Roman" w:hAnsi="Times New Roman" w:cs="Times New Roman"/>
        </w:rPr>
        <w:t>that the product arising from the translation of any text</w:t>
      </w:r>
      <w:r w:rsidR="00675E3A">
        <w:rPr>
          <w:rFonts w:ascii="Times New Roman" w:hAnsi="Times New Roman" w:cs="Times New Roman"/>
        </w:rPr>
        <w:t>,</w:t>
      </w:r>
      <w:r w:rsidR="00840F91" w:rsidRPr="0072116D">
        <w:rPr>
          <w:rFonts w:ascii="Times New Roman" w:hAnsi="Times New Roman" w:cs="Times New Roman"/>
        </w:rPr>
        <w:t xml:space="preserve"> including one of a legal nature, is an entirely new text</w:t>
      </w:r>
      <w:r w:rsidR="00E9528A">
        <w:rPr>
          <w:rFonts w:ascii="Times New Roman" w:hAnsi="Times New Roman" w:cs="Times New Roman"/>
        </w:rPr>
        <w:t xml:space="preserve"> (the “metatext”)</w:t>
      </w:r>
      <w:r w:rsidR="00840F91" w:rsidRPr="0072116D">
        <w:rPr>
          <w:rFonts w:ascii="Times New Roman" w:hAnsi="Times New Roman" w:cs="Times New Roman"/>
        </w:rPr>
        <w:t xml:space="preserve"> whose sole author is the translator.</w:t>
      </w:r>
      <w:r w:rsidR="00840F91" w:rsidRPr="00DD0131">
        <w:rPr>
          <w:rStyle w:val="FootnoteReference"/>
        </w:rPr>
        <w:footnoteReference w:id="208"/>
      </w:r>
      <w:r w:rsidR="00840F91" w:rsidRPr="0072116D">
        <w:rPr>
          <w:rFonts w:ascii="Times New Roman" w:hAnsi="Times New Roman" w:cs="Times New Roman"/>
        </w:rPr>
        <w:t xml:space="preserve"> Mannoni’s path toward this conclusion </w:t>
      </w:r>
      <w:r w:rsidR="001460F7" w:rsidRPr="0072116D">
        <w:rPr>
          <w:rFonts w:ascii="Times New Roman" w:hAnsi="Times New Roman" w:cs="Times New Roman"/>
        </w:rPr>
        <w:t>involves</w:t>
      </w:r>
      <w:r w:rsidR="00840F91" w:rsidRPr="0072116D">
        <w:rPr>
          <w:rFonts w:ascii="Times New Roman" w:hAnsi="Times New Roman" w:cs="Times New Roman"/>
        </w:rPr>
        <w:t xml:space="preserve"> a rejection of translational literalism</w:t>
      </w:r>
      <w:r w:rsidR="0072116D">
        <w:rPr>
          <w:rFonts w:ascii="Times New Roman" w:hAnsi="Times New Roman" w:cs="Times New Roman"/>
        </w:rPr>
        <w:t>, and i</w:t>
      </w:r>
      <w:r w:rsidR="001460F7" w:rsidRPr="0072116D">
        <w:rPr>
          <w:rFonts w:ascii="Times New Roman" w:hAnsi="Times New Roman" w:cs="Times New Roman"/>
        </w:rPr>
        <w:t xml:space="preserve">n arguing against </w:t>
      </w:r>
      <w:r w:rsidR="0072116D">
        <w:rPr>
          <w:rFonts w:ascii="Times New Roman" w:hAnsi="Times New Roman" w:cs="Times New Roman"/>
        </w:rPr>
        <w:t>the</w:t>
      </w:r>
      <w:r w:rsidR="001460F7" w:rsidRPr="0072116D">
        <w:rPr>
          <w:rFonts w:ascii="Times New Roman" w:hAnsi="Times New Roman" w:cs="Times New Roman"/>
        </w:rPr>
        <w:t xml:space="preserve"> notion, Mannoni illustrates several translations of a clause deploying various levels of literalism</w:t>
      </w:r>
      <w:r w:rsidR="0072116D">
        <w:rPr>
          <w:rFonts w:ascii="Times New Roman" w:hAnsi="Times New Roman" w:cs="Times New Roman"/>
        </w:rPr>
        <w:t xml:space="preserve"> and non-literalism.</w:t>
      </w:r>
      <w:r w:rsidR="002D6798" w:rsidRPr="00DD0131">
        <w:rPr>
          <w:rStyle w:val="FootnoteReference"/>
        </w:rPr>
        <w:footnoteReference w:id="209"/>
      </w:r>
      <w:r w:rsidR="001460F7" w:rsidRPr="0072116D">
        <w:rPr>
          <w:rFonts w:ascii="Times New Roman" w:hAnsi="Times New Roman" w:cs="Times New Roman"/>
        </w:rPr>
        <w:t xml:space="preserve"> </w:t>
      </w:r>
      <w:r w:rsidR="0072116D">
        <w:rPr>
          <w:rFonts w:ascii="Times New Roman" w:hAnsi="Times New Roman" w:cs="Times New Roman"/>
        </w:rPr>
        <w:t>Interestingly, Mannoni’s</w:t>
      </w:r>
      <w:r w:rsidR="001460F7" w:rsidRPr="0072116D">
        <w:rPr>
          <w:rFonts w:ascii="Times New Roman" w:hAnsi="Times New Roman" w:cs="Times New Roman"/>
        </w:rPr>
        <w:t xml:space="preserve"> finding that only non-literal translation</w:t>
      </w:r>
      <w:r w:rsidR="002D6798" w:rsidRPr="0072116D">
        <w:rPr>
          <w:rFonts w:ascii="Times New Roman" w:hAnsi="Times New Roman" w:cs="Times New Roman"/>
        </w:rPr>
        <w:t>s</w:t>
      </w:r>
      <w:r w:rsidR="001460F7" w:rsidRPr="0072116D">
        <w:rPr>
          <w:rFonts w:ascii="Times New Roman" w:hAnsi="Times New Roman" w:cs="Times New Roman"/>
        </w:rPr>
        <w:t xml:space="preserve"> accurately represent the text mirrors this article’s finding that a strictly formalist approach is simply incompatible</w:t>
      </w:r>
      <w:r w:rsidR="002D6798" w:rsidRPr="0072116D">
        <w:rPr>
          <w:rFonts w:ascii="Times New Roman" w:hAnsi="Times New Roman" w:cs="Times New Roman"/>
        </w:rPr>
        <w:t xml:space="preserve"> with much of the current law.</w:t>
      </w:r>
      <w:r w:rsidR="00FC0832" w:rsidRPr="0072116D">
        <w:rPr>
          <w:rFonts w:ascii="Times New Roman" w:hAnsi="Times New Roman" w:cs="Times New Roman"/>
        </w:rPr>
        <w:t xml:space="preserve"> Indeed, </w:t>
      </w:r>
      <w:r w:rsidR="00E86F7A" w:rsidRPr="0072116D">
        <w:rPr>
          <w:rFonts w:ascii="Times New Roman" w:hAnsi="Times New Roman" w:cs="Times New Roman"/>
        </w:rPr>
        <w:t xml:space="preserve">reminiscent </w:t>
      </w:r>
      <w:r w:rsidR="00FC0832" w:rsidRPr="0072116D">
        <w:rPr>
          <w:rFonts w:ascii="Times New Roman" w:hAnsi="Times New Roman" w:cs="Times New Roman"/>
        </w:rPr>
        <w:t>to the present findings, Mannoni argues in favour of “abandoning the old cliché on free vs. literal translation”</w:t>
      </w:r>
      <w:r w:rsidR="00905C69">
        <w:rPr>
          <w:rFonts w:ascii="Times New Roman" w:hAnsi="Times New Roman" w:cs="Times New Roman"/>
        </w:rPr>
        <w:t>,</w:t>
      </w:r>
      <w:r w:rsidR="00E86F7A" w:rsidRPr="00DD0131">
        <w:rPr>
          <w:rStyle w:val="FootnoteReference"/>
        </w:rPr>
        <w:footnoteReference w:id="210"/>
      </w:r>
      <w:r w:rsidR="00905C69">
        <w:rPr>
          <w:rFonts w:ascii="Times New Roman" w:hAnsi="Times New Roman" w:cs="Times New Roman"/>
        </w:rPr>
        <w:t xml:space="preserve"> and instead placing emphasis</w:t>
      </w:r>
      <w:r w:rsidR="00935B3B">
        <w:rPr>
          <w:rFonts w:ascii="Times New Roman" w:hAnsi="Times New Roman" w:cs="Times New Roman"/>
        </w:rPr>
        <w:t xml:space="preserve"> on</w:t>
      </w:r>
      <w:r w:rsidR="00905C69">
        <w:rPr>
          <w:rFonts w:ascii="Times New Roman" w:hAnsi="Times New Roman" w:cs="Times New Roman"/>
        </w:rPr>
        <w:t xml:space="preserve"> </w:t>
      </w:r>
      <w:r w:rsidR="00935B3B">
        <w:rPr>
          <w:rFonts w:ascii="Times New Roman" w:hAnsi="Times New Roman" w:cs="Times New Roman"/>
        </w:rPr>
        <w:t>legal translation as the</w:t>
      </w:r>
      <w:r w:rsidR="00905C69">
        <w:rPr>
          <w:rFonts w:ascii="Times New Roman" w:hAnsi="Times New Roman" w:cs="Times New Roman"/>
        </w:rPr>
        <w:t xml:space="preserve"> </w:t>
      </w:r>
      <w:r w:rsidR="00935B3B">
        <w:rPr>
          <w:rFonts w:ascii="Times New Roman" w:hAnsi="Times New Roman" w:cs="Times New Roman"/>
        </w:rPr>
        <w:t>production</w:t>
      </w:r>
      <w:r w:rsidR="00905C69">
        <w:rPr>
          <w:rFonts w:ascii="Times New Roman" w:hAnsi="Times New Roman" w:cs="Times New Roman"/>
        </w:rPr>
        <w:t xml:space="preserve"> of a new metatext as oppose</w:t>
      </w:r>
      <w:r w:rsidR="00935B3B">
        <w:rPr>
          <w:rFonts w:ascii="Times New Roman" w:hAnsi="Times New Roman" w:cs="Times New Roman"/>
        </w:rPr>
        <w:t xml:space="preserve">d to a mere copy of the source text, </w:t>
      </w:r>
      <w:r w:rsidR="00905C69">
        <w:rPr>
          <w:rFonts w:ascii="Times New Roman" w:hAnsi="Times New Roman" w:cs="Times New Roman"/>
        </w:rPr>
        <w:t>a push which is common amongst much of the modern legal linguistics literature.</w:t>
      </w:r>
      <w:r w:rsidR="00935B3B" w:rsidRPr="00DD0131">
        <w:rPr>
          <w:rStyle w:val="FootnoteReference"/>
        </w:rPr>
        <w:footnoteReference w:id="211"/>
      </w:r>
      <w:r w:rsidR="0022089E">
        <w:rPr>
          <w:rFonts w:ascii="Times New Roman" w:hAnsi="Times New Roman" w:cs="Times New Roman"/>
        </w:rPr>
        <w:t xml:space="preserve"> Such scholars rally behind </w:t>
      </w:r>
      <w:r w:rsidR="0022089E" w:rsidRPr="0022089E">
        <w:rPr>
          <w:rFonts w:ascii="Times New Roman" w:hAnsi="Times New Roman" w:cs="Times New Roman"/>
        </w:rPr>
        <w:t>Šarčević</w:t>
      </w:r>
      <w:r w:rsidR="0022089E">
        <w:rPr>
          <w:rFonts w:ascii="Times New Roman" w:hAnsi="Times New Roman" w:cs="Times New Roman"/>
        </w:rPr>
        <w:t xml:space="preserve">’s proposal that the fidelity of a legal translation should be measured not </w:t>
      </w:r>
      <w:r w:rsidR="00382A38">
        <w:rPr>
          <w:rFonts w:ascii="Times New Roman" w:hAnsi="Times New Roman" w:cs="Times New Roman"/>
        </w:rPr>
        <w:t>by its correspondence to the source text, but by the correspondence of its legal effect to that of its source text’s.</w:t>
      </w:r>
      <w:r w:rsidR="00382A38" w:rsidRPr="00DD0131">
        <w:rPr>
          <w:rStyle w:val="FootnoteReference"/>
        </w:rPr>
        <w:footnoteReference w:id="212"/>
      </w:r>
      <w:r w:rsidR="00382A38">
        <w:rPr>
          <w:rFonts w:ascii="Times New Roman" w:hAnsi="Times New Roman" w:cs="Times New Roman"/>
        </w:rPr>
        <w:t xml:space="preserve"> </w:t>
      </w:r>
    </w:p>
    <w:p w14:paraId="1471B409" w14:textId="520814D5" w:rsidR="00E86F7A" w:rsidRDefault="002D6798" w:rsidP="00382A38">
      <w:pPr>
        <w:spacing w:line="480" w:lineRule="auto"/>
        <w:jc w:val="both"/>
        <w:rPr>
          <w:rFonts w:ascii="Times New Roman" w:hAnsi="Times New Roman" w:cs="Times New Roman"/>
        </w:rPr>
      </w:pPr>
      <w:r w:rsidRPr="00382A38">
        <w:rPr>
          <w:rFonts w:ascii="Times New Roman" w:hAnsi="Times New Roman" w:cs="Times New Roman"/>
        </w:rPr>
        <w:t xml:space="preserve">The notion of the </w:t>
      </w:r>
      <w:r w:rsidR="00382A38">
        <w:rPr>
          <w:rFonts w:ascii="Times New Roman" w:hAnsi="Times New Roman" w:cs="Times New Roman"/>
        </w:rPr>
        <w:t>metatext</w:t>
      </w:r>
      <w:r w:rsidRPr="00382A38">
        <w:rPr>
          <w:rFonts w:ascii="Times New Roman" w:hAnsi="Times New Roman" w:cs="Times New Roman"/>
        </w:rPr>
        <w:t xml:space="preserve">, if accepted, has significant repercussions for the deployment of RaC applications. </w:t>
      </w:r>
      <w:r w:rsidR="00382A38">
        <w:rPr>
          <w:rFonts w:ascii="Times New Roman" w:hAnsi="Times New Roman" w:cs="Times New Roman"/>
        </w:rPr>
        <w:t>Firstly</w:t>
      </w:r>
      <w:r>
        <w:rPr>
          <w:rFonts w:ascii="Times New Roman" w:hAnsi="Times New Roman" w:cs="Times New Roman"/>
        </w:rPr>
        <w:t>, Mannoni’s posit that no two transl</w:t>
      </w:r>
      <w:r w:rsidR="00FC0832">
        <w:rPr>
          <w:rFonts w:ascii="Times New Roman" w:hAnsi="Times New Roman" w:cs="Times New Roman"/>
        </w:rPr>
        <w:t xml:space="preserve">ations are identical and that ambiguity </w:t>
      </w:r>
      <w:r w:rsidR="00E86F7A">
        <w:rPr>
          <w:rFonts w:ascii="Times New Roman" w:hAnsi="Times New Roman" w:cs="Times New Roman"/>
        </w:rPr>
        <w:t xml:space="preserve">is inherent in the translation process does not bode well for </w:t>
      </w:r>
      <w:r w:rsidR="003C5619">
        <w:rPr>
          <w:rFonts w:ascii="Times New Roman" w:hAnsi="Times New Roman" w:cs="Times New Roman"/>
        </w:rPr>
        <w:t>parties</w:t>
      </w:r>
      <w:r w:rsidR="00E86F7A">
        <w:rPr>
          <w:rFonts w:ascii="Times New Roman" w:hAnsi="Times New Roman" w:cs="Times New Roman"/>
        </w:rPr>
        <w:t xml:space="preserve"> hoping for a standardised approach to digitising legislation</w:t>
      </w:r>
      <w:r w:rsidR="0053303A">
        <w:rPr>
          <w:rFonts w:ascii="Times New Roman" w:hAnsi="Times New Roman" w:cs="Times New Roman"/>
        </w:rPr>
        <w:t xml:space="preserve"> or Ainsworth’s stated goal of functional equivalence in translation as first touched upon in Section II</w:t>
      </w:r>
      <w:r w:rsidR="00E86F7A">
        <w:rPr>
          <w:rFonts w:ascii="Times New Roman" w:hAnsi="Times New Roman" w:cs="Times New Roman"/>
        </w:rPr>
        <w:t>.</w:t>
      </w:r>
      <w:r w:rsidR="0053303A">
        <w:rPr>
          <w:rStyle w:val="FootnoteReference"/>
          <w:rFonts w:ascii="Times New Roman" w:hAnsi="Times New Roman" w:cs="Times New Roman"/>
        </w:rPr>
        <w:footnoteReference w:id="213"/>
      </w:r>
      <w:r w:rsidR="00382A38">
        <w:rPr>
          <w:rFonts w:ascii="Times New Roman" w:hAnsi="Times New Roman" w:cs="Times New Roman"/>
        </w:rPr>
        <w:t xml:space="preserve"> Nonetheless, the existence of a metatext as</w:t>
      </w:r>
      <w:r w:rsidR="00E86F7A">
        <w:rPr>
          <w:rFonts w:ascii="Times New Roman" w:hAnsi="Times New Roman" w:cs="Times New Roman"/>
        </w:rPr>
        <w:t xml:space="preserve"> a brand new text whose translator is </w:t>
      </w:r>
      <w:r w:rsidR="00E86F7A">
        <w:rPr>
          <w:rFonts w:ascii="Times New Roman" w:hAnsi="Times New Roman" w:cs="Times New Roman"/>
        </w:rPr>
        <w:lastRenderedPageBreak/>
        <w:t xml:space="preserve">the sole author goes hand-in-hand with the process outlined </w:t>
      </w:r>
      <w:r w:rsidR="00382A38">
        <w:rPr>
          <w:rFonts w:ascii="Times New Roman" w:hAnsi="Times New Roman" w:cs="Times New Roman"/>
        </w:rPr>
        <w:t>in subsection A,</w:t>
      </w:r>
      <w:r w:rsidR="00E86F7A">
        <w:rPr>
          <w:rFonts w:ascii="Times New Roman" w:hAnsi="Times New Roman" w:cs="Times New Roman"/>
        </w:rPr>
        <w:t xml:space="preserve"> in which multilingual legislation is made up not of ‘interpretations’ of the original text, but of a number of equally authoritative texts all </w:t>
      </w:r>
      <w:r w:rsidR="00691AE5">
        <w:rPr>
          <w:rFonts w:ascii="Times New Roman" w:hAnsi="Times New Roman" w:cs="Times New Roman"/>
        </w:rPr>
        <w:t>co-</w:t>
      </w:r>
      <w:r w:rsidR="00E86F7A">
        <w:rPr>
          <w:rFonts w:ascii="Times New Roman" w:hAnsi="Times New Roman" w:cs="Times New Roman"/>
        </w:rPr>
        <w:t>authored by the</w:t>
      </w:r>
      <w:r w:rsidR="00691AE5">
        <w:rPr>
          <w:rFonts w:ascii="Times New Roman" w:hAnsi="Times New Roman" w:cs="Times New Roman"/>
        </w:rPr>
        <w:t xml:space="preserve"> translator and </w:t>
      </w:r>
      <w:r w:rsidR="00E86F7A">
        <w:rPr>
          <w:rFonts w:ascii="Times New Roman" w:hAnsi="Times New Roman" w:cs="Times New Roman"/>
        </w:rPr>
        <w:t xml:space="preserve">legislature. </w:t>
      </w:r>
      <w:r w:rsidR="0053303A">
        <w:rPr>
          <w:rFonts w:ascii="Times New Roman" w:hAnsi="Times New Roman" w:cs="Times New Roman"/>
        </w:rPr>
        <w:t>It is this latter philosophy which is most necessary in dealing with the inherently multidisciplinary nature of translating complex legal texts to logically flawless code.</w:t>
      </w:r>
    </w:p>
    <w:p w14:paraId="02E911C0" w14:textId="77777777" w:rsidR="00E86F7A" w:rsidRDefault="00E86F7A" w:rsidP="001D223E">
      <w:pPr>
        <w:spacing w:line="480" w:lineRule="auto"/>
      </w:pPr>
    </w:p>
    <w:p w14:paraId="29E941FD" w14:textId="3F5EAC66" w:rsidR="00577AE0" w:rsidRDefault="00577AE0" w:rsidP="00577AE0">
      <w:pPr>
        <w:spacing w:line="480" w:lineRule="auto"/>
        <w:jc w:val="center"/>
        <w:rPr>
          <w:rFonts w:ascii="Times New Roman" w:hAnsi="Times New Roman" w:cs="Times New Roman"/>
          <w:sz w:val="24"/>
          <w:szCs w:val="24"/>
        </w:rPr>
      </w:pPr>
      <w:r>
        <w:rPr>
          <w:rFonts w:ascii="Times New Roman" w:hAnsi="Times New Roman" w:cs="Times New Roman"/>
          <w:sz w:val="28"/>
          <w:szCs w:val="28"/>
        </w:rPr>
        <w:t>V</w:t>
      </w:r>
      <w:r w:rsidR="00151CC4">
        <w:rPr>
          <w:rFonts w:ascii="Times New Roman" w:hAnsi="Times New Roman" w:cs="Times New Roman"/>
          <w:sz w:val="28"/>
          <w:szCs w:val="28"/>
        </w:rPr>
        <w:t>I</w:t>
      </w:r>
      <w:r w:rsidRPr="00B67F00">
        <w:rPr>
          <w:rFonts w:ascii="Times New Roman" w:hAnsi="Times New Roman" w:cs="Times New Roman"/>
          <w:sz w:val="28"/>
          <w:szCs w:val="28"/>
        </w:rPr>
        <w:tab/>
      </w:r>
      <w:r>
        <w:rPr>
          <w:rFonts w:ascii="Times New Roman" w:hAnsi="Times New Roman" w:cs="Times New Roman"/>
          <w:sz w:val="28"/>
          <w:szCs w:val="28"/>
        </w:rPr>
        <w:t>C</w:t>
      </w:r>
      <w:r>
        <w:rPr>
          <w:rFonts w:ascii="Times New Roman" w:hAnsi="Times New Roman" w:cs="Times New Roman"/>
          <w:sz w:val="24"/>
          <w:szCs w:val="24"/>
        </w:rPr>
        <w:t>ONCLUSIONS</w:t>
      </w:r>
    </w:p>
    <w:p w14:paraId="188E0150" w14:textId="72274403" w:rsidR="00691AE5" w:rsidRPr="00691AE5" w:rsidRDefault="00691AE5" w:rsidP="00691AE5">
      <w:pPr>
        <w:spacing w:line="480" w:lineRule="auto"/>
        <w:jc w:val="both"/>
        <w:rPr>
          <w:rFonts w:ascii="Times New Roman" w:hAnsi="Times New Roman" w:cs="Times New Roman"/>
        </w:rPr>
      </w:pPr>
      <w:r>
        <w:rPr>
          <w:rFonts w:ascii="Times New Roman" w:hAnsi="Times New Roman" w:cs="Times New Roman"/>
        </w:rPr>
        <w:t>This article sought to explore how RaC applications might be developed and deployed in a manner which is compatible with the interpretative role of the Australian judiciary</w:t>
      </w:r>
      <w:r w:rsidR="00400162">
        <w:rPr>
          <w:rFonts w:ascii="Times New Roman" w:hAnsi="Times New Roman" w:cs="Times New Roman"/>
        </w:rPr>
        <w:t xml:space="preserve"> by developing an application which evaluates compliance with respect to select provisions of the </w:t>
      </w:r>
      <w:r w:rsidR="00400162">
        <w:rPr>
          <w:rFonts w:ascii="Times New Roman" w:hAnsi="Times New Roman" w:cs="Times New Roman"/>
          <w:i/>
          <w:iCs/>
        </w:rPr>
        <w:t>National Credit Act</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Section II provided a review of the literature surrounding computational law, the formalist nature of code, and the ways in which RaC, and analogous multilingual legislation, navigate the judicial-legislative divide</w:t>
      </w:r>
      <w:r w:rsidR="00BB7985">
        <w:rPr>
          <w:rFonts w:ascii="Times New Roman" w:hAnsi="Times New Roman" w:cs="Times New Roman"/>
        </w:rPr>
        <w:t xml:space="preserve">, while </w:t>
      </w:r>
      <w:r>
        <w:rPr>
          <w:rFonts w:ascii="Times New Roman" w:hAnsi="Times New Roman" w:cs="Times New Roman"/>
        </w:rPr>
        <w:t>Section III outlined the methodologies purported to be tested as well as the technical considerations</w:t>
      </w:r>
      <w:r w:rsidR="00BB7985">
        <w:rPr>
          <w:rFonts w:ascii="Times New Roman" w:hAnsi="Times New Roman" w:cs="Times New Roman"/>
        </w:rPr>
        <w:t>.</w:t>
      </w:r>
      <w:r>
        <w:rPr>
          <w:rFonts w:ascii="Times New Roman" w:hAnsi="Times New Roman" w:cs="Times New Roman"/>
        </w:rPr>
        <w:t xml:space="preserve"> Section IV explored the findings and shortcomings of these proposed methods</w:t>
      </w:r>
      <w:r w:rsidR="0053303A">
        <w:rPr>
          <w:rFonts w:ascii="Times New Roman" w:hAnsi="Times New Roman" w:cs="Times New Roman"/>
        </w:rPr>
        <w:t xml:space="preserve"> and argued that a strictly formalist or non-formalist approach was not sufficient in developing or describing RaC</w:t>
      </w:r>
      <w:r>
        <w:rPr>
          <w:rFonts w:ascii="Times New Roman" w:hAnsi="Times New Roman" w:cs="Times New Roman"/>
        </w:rPr>
        <w:t>. In light of the failure to fully embrace a formalist or non-formalist alignment, Section V proposed an alternative approach, that being consideration of the lessons learned in multilingual jurisdictions, with particular focus toward the elements of equality and fidelity from the source text to the translation and how this might influence RaC development. Through this lens,</w:t>
      </w:r>
      <w:r w:rsidR="00BB7985">
        <w:rPr>
          <w:rFonts w:ascii="Times New Roman" w:hAnsi="Times New Roman" w:cs="Times New Roman"/>
        </w:rPr>
        <w:t xml:space="preserve"> it is put forward that one avenue through which RaC applications could be developed without disrespecting the role of the judiciary is to acknowledge the inherent authorship a translator holds over a legal translation</w:t>
      </w:r>
      <w:r w:rsidR="00CE5440">
        <w:rPr>
          <w:rFonts w:ascii="Times New Roman" w:hAnsi="Times New Roman" w:cs="Times New Roman"/>
        </w:rPr>
        <w:t>;</w:t>
      </w:r>
      <w:r w:rsidR="00BB7985">
        <w:rPr>
          <w:rFonts w:ascii="Times New Roman" w:hAnsi="Times New Roman" w:cs="Times New Roman"/>
        </w:rPr>
        <w:t xml:space="preserve"> </w:t>
      </w:r>
      <w:r w:rsidR="00CE5440">
        <w:rPr>
          <w:rFonts w:ascii="Times New Roman" w:hAnsi="Times New Roman" w:cs="Times New Roman"/>
        </w:rPr>
        <w:t>accepting</w:t>
      </w:r>
      <w:r w:rsidR="00BB7985">
        <w:rPr>
          <w:rFonts w:ascii="Times New Roman" w:hAnsi="Times New Roman" w:cs="Times New Roman"/>
        </w:rPr>
        <w:t xml:space="preserve"> the process of statute translation not as an interpretation of pre-existing legal texts, but as a collaborative drafting process between the legislature and the translative body which need not be syntactically or idiomatically literal, much as multilingual jurisdictions such as the EU and Canada currently do.</w:t>
      </w:r>
      <w:r w:rsidR="00400162">
        <w:rPr>
          <w:rFonts w:ascii="Times New Roman" w:hAnsi="Times New Roman" w:cs="Times New Roman"/>
        </w:rPr>
        <w:t xml:space="preserve"> </w:t>
      </w:r>
    </w:p>
    <w:p w14:paraId="6062E5CB" w14:textId="77777777" w:rsidR="001152C3" w:rsidRDefault="001152C3" w:rsidP="001D223E">
      <w:pPr>
        <w:spacing w:line="480" w:lineRule="auto"/>
        <w:rPr>
          <w:rFonts w:ascii="Times New Roman" w:hAnsi="Times New Roman" w:cs="Times New Roman"/>
        </w:rPr>
      </w:pPr>
    </w:p>
    <w:p w14:paraId="74750D3A" w14:textId="77777777" w:rsidR="008260C9" w:rsidRDefault="008260C9" w:rsidP="009B18B4">
      <w:pPr>
        <w:spacing w:line="480" w:lineRule="auto"/>
        <w:jc w:val="center"/>
        <w:rPr>
          <w:rFonts w:ascii="Times New Roman" w:hAnsi="Times New Roman" w:cs="Times New Roman"/>
          <w:sz w:val="28"/>
          <w:szCs w:val="28"/>
        </w:rPr>
      </w:pPr>
    </w:p>
    <w:p w14:paraId="1214AF30" w14:textId="38000964" w:rsidR="002228A5" w:rsidRDefault="002228A5" w:rsidP="009B18B4">
      <w:pPr>
        <w:spacing w:line="480" w:lineRule="auto"/>
        <w:jc w:val="center"/>
        <w:rPr>
          <w:rFonts w:ascii="Times New Roman" w:hAnsi="Times New Roman" w:cs="Times New Roman"/>
          <w:sz w:val="24"/>
          <w:szCs w:val="24"/>
        </w:rPr>
      </w:pPr>
      <w:r w:rsidRPr="00B67F00">
        <w:rPr>
          <w:rFonts w:ascii="Times New Roman" w:hAnsi="Times New Roman" w:cs="Times New Roman"/>
          <w:sz w:val="28"/>
          <w:szCs w:val="28"/>
        </w:rPr>
        <w:lastRenderedPageBreak/>
        <w:t>V</w:t>
      </w:r>
      <w:r w:rsidR="00577AE0">
        <w:rPr>
          <w:rFonts w:ascii="Times New Roman" w:hAnsi="Times New Roman" w:cs="Times New Roman"/>
          <w:sz w:val="28"/>
          <w:szCs w:val="28"/>
        </w:rPr>
        <w:t>I</w:t>
      </w:r>
      <w:r w:rsidR="00151CC4">
        <w:rPr>
          <w:rFonts w:ascii="Times New Roman" w:hAnsi="Times New Roman" w:cs="Times New Roman"/>
          <w:sz w:val="28"/>
          <w:szCs w:val="28"/>
        </w:rPr>
        <w:t>I</w:t>
      </w:r>
      <w:r w:rsidRPr="00B67F00">
        <w:rPr>
          <w:rFonts w:ascii="Times New Roman" w:hAnsi="Times New Roman" w:cs="Times New Roman"/>
          <w:sz w:val="28"/>
          <w:szCs w:val="28"/>
        </w:rPr>
        <w:tab/>
        <w:t>B</w:t>
      </w:r>
      <w:r w:rsidRPr="00B67F00">
        <w:rPr>
          <w:rFonts w:ascii="Times New Roman" w:hAnsi="Times New Roman" w:cs="Times New Roman"/>
          <w:sz w:val="24"/>
          <w:szCs w:val="24"/>
        </w:rPr>
        <w:t>IBLIOGRAPHY</w:t>
      </w:r>
    </w:p>
    <w:p w14:paraId="377058EB" w14:textId="3F294B70" w:rsidR="0037367B" w:rsidRPr="00157B24" w:rsidRDefault="0037367B" w:rsidP="0037367B">
      <w:pPr>
        <w:spacing w:line="480" w:lineRule="auto"/>
        <w:jc w:val="center"/>
        <w:rPr>
          <w:rFonts w:ascii="Times New Roman" w:hAnsi="Times New Roman" w:cs="Times New Roman"/>
          <w:sz w:val="24"/>
          <w:szCs w:val="24"/>
        </w:rPr>
      </w:pPr>
      <w:r w:rsidRPr="00157B24">
        <w:rPr>
          <w:rFonts w:ascii="Times New Roman" w:hAnsi="Times New Roman" w:cs="Times New Roman"/>
          <w:sz w:val="24"/>
          <w:szCs w:val="24"/>
        </w:rPr>
        <w:t xml:space="preserve">A </w:t>
      </w:r>
      <w:r w:rsidRPr="00157B24">
        <w:rPr>
          <w:rFonts w:ascii="Times New Roman" w:hAnsi="Times New Roman" w:cs="Times New Roman"/>
          <w:i/>
          <w:iCs/>
          <w:sz w:val="24"/>
          <w:szCs w:val="24"/>
        </w:rPr>
        <w:t>Articles/Books/Reports</w:t>
      </w:r>
    </w:p>
    <w:p w14:paraId="0B3ED310" w14:textId="53692618" w:rsidR="00E9200B" w:rsidRPr="00C462C9" w:rsidRDefault="00E9200B" w:rsidP="00141674">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Administrative Review Council, </w:t>
      </w:r>
      <w:r w:rsidRPr="00C462C9">
        <w:rPr>
          <w:rFonts w:ascii="Times New Roman" w:hAnsi="Times New Roman" w:cs="Times New Roman"/>
          <w:i/>
          <w:iCs/>
          <w:sz w:val="20"/>
          <w:szCs w:val="20"/>
        </w:rPr>
        <w:t>Automated Assistance in Administrative Decision Making</w:t>
      </w:r>
      <w:r w:rsidRPr="00C462C9">
        <w:rPr>
          <w:rFonts w:ascii="Times New Roman" w:hAnsi="Times New Roman" w:cs="Times New Roman"/>
          <w:sz w:val="20"/>
          <w:szCs w:val="20"/>
        </w:rPr>
        <w:t xml:space="preserve"> (No 46)</w:t>
      </w:r>
      <w:r w:rsidR="006B1479" w:rsidRPr="00C462C9">
        <w:rPr>
          <w:rFonts w:ascii="Times New Roman" w:hAnsi="Times New Roman" w:cs="Times New Roman"/>
          <w:sz w:val="20"/>
          <w:szCs w:val="20"/>
        </w:rPr>
        <w:t xml:space="preserve"> </w:t>
      </w:r>
      <w:r w:rsidRPr="00C462C9">
        <w:rPr>
          <w:rFonts w:ascii="Times New Roman" w:hAnsi="Times New Roman" w:cs="Times New Roman"/>
          <w:sz w:val="20"/>
          <w:szCs w:val="20"/>
        </w:rPr>
        <w:t>&lt;https://www.ag.gov.au/legal-system/publications/report-46-automated-assistance-administrative-decision-making-2004&gt;</w:t>
      </w:r>
    </w:p>
    <w:p w14:paraId="24607400" w14:textId="42928D2D" w:rsidR="001F1318" w:rsidRPr="00C462C9" w:rsidRDefault="001F1318" w:rsidP="00141674">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Ainsworth, Janet, King Kui Sin, ‘Lost in Translation? Linguistic Diversity and the Elusive Quest for Plain Meaning in the Law’ in </w:t>
      </w:r>
      <w:r w:rsidRPr="00C462C9">
        <w:rPr>
          <w:rFonts w:ascii="Times New Roman" w:hAnsi="Times New Roman" w:cs="Times New Roman"/>
          <w:i/>
          <w:iCs/>
          <w:sz w:val="20"/>
          <w:szCs w:val="20"/>
        </w:rPr>
        <w:t>The Ashgate Handbook of Legal Translation</w:t>
      </w:r>
      <w:r w:rsidRPr="00C462C9">
        <w:rPr>
          <w:rFonts w:ascii="Times New Roman" w:hAnsi="Times New Roman" w:cs="Times New Roman"/>
          <w:sz w:val="20"/>
          <w:szCs w:val="20"/>
        </w:rPr>
        <w:t xml:space="preserve"> (Routledge, 2016) 43 &lt;http://www.taylorfrancis.com/books/e/9781315612706&gt;</w:t>
      </w:r>
    </w:p>
    <w:p w14:paraId="7F33D98A" w14:textId="69DC3265" w:rsidR="00D130D8" w:rsidRPr="00C462C9" w:rsidRDefault="00D130D8" w:rsidP="00141674">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Alwazna, Rafat Y., ‘Important Translation Strategies Used in Legal Translation: Examples of Hooper’s Translation of the Ottoman Majalla into English’ in </w:t>
      </w:r>
      <w:r w:rsidRPr="00C462C9">
        <w:rPr>
          <w:rFonts w:ascii="Times New Roman" w:hAnsi="Times New Roman" w:cs="Times New Roman"/>
          <w:i/>
          <w:iCs/>
          <w:sz w:val="20"/>
          <w:szCs w:val="20"/>
        </w:rPr>
        <w:t>The Ashgate Handbook of Legal Translation</w:t>
      </w:r>
      <w:r w:rsidRPr="00C462C9">
        <w:rPr>
          <w:rFonts w:ascii="Times New Roman" w:hAnsi="Times New Roman" w:cs="Times New Roman"/>
          <w:sz w:val="20"/>
          <w:szCs w:val="20"/>
        </w:rPr>
        <w:t xml:space="preserve"> (Routledge, 2016) 237</w:t>
      </w:r>
    </w:p>
    <w:p w14:paraId="2791758A" w14:textId="14DD0C76" w:rsidR="005822EE" w:rsidRPr="00C462C9" w:rsidRDefault="005822EE" w:rsidP="00141674">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Angwin, Julia, and Jeff Larson, ‘ProPublica Responds to Company’s Critique of Machine Bias Story’, </w:t>
      </w:r>
      <w:r w:rsidRPr="00C462C9">
        <w:rPr>
          <w:rFonts w:ascii="Times New Roman" w:hAnsi="Times New Roman" w:cs="Times New Roman"/>
          <w:i/>
          <w:iCs/>
          <w:sz w:val="20"/>
          <w:szCs w:val="20"/>
        </w:rPr>
        <w:t>ProPublica</w:t>
      </w:r>
      <w:r w:rsidRPr="00C462C9">
        <w:rPr>
          <w:rFonts w:ascii="Times New Roman" w:hAnsi="Times New Roman" w:cs="Times New Roman"/>
          <w:sz w:val="20"/>
          <w:szCs w:val="20"/>
        </w:rPr>
        <w:t xml:space="preserve"> (online, 29 July 2016) &lt;https://www.propublica.org/article/propublica-responds-to-companys-critique-of-machine-bias-story&gt;</w:t>
      </w:r>
    </w:p>
    <w:p w14:paraId="7B76EE8F" w14:textId="4B4FBCF8" w:rsidR="005822EE" w:rsidRPr="00C462C9" w:rsidRDefault="005822EE" w:rsidP="00141674">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Allen, Layman, and C Engholm, ‘Normalized Legal Drafting and the Query Method’ (1978) 29 </w:t>
      </w:r>
      <w:r w:rsidRPr="00C462C9">
        <w:rPr>
          <w:rFonts w:ascii="Times New Roman" w:hAnsi="Times New Roman" w:cs="Times New Roman"/>
          <w:i/>
          <w:iCs/>
          <w:sz w:val="20"/>
          <w:szCs w:val="20"/>
        </w:rPr>
        <w:t>Journal of Legal Education</w:t>
      </w:r>
      <w:r w:rsidRPr="00C462C9">
        <w:rPr>
          <w:rFonts w:ascii="Times New Roman" w:hAnsi="Times New Roman" w:cs="Times New Roman"/>
          <w:sz w:val="20"/>
          <w:szCs w:val="20"/>
        </w:rPr>
        <w:t xml:space="preserve"> 380</w:t>
      </w:r>
    </w:p>
    <w:p w14:paraId="4D114FEF" w14:textId="0583D42E" w:rsidR="00FF32FC" w:rsidRPr="00C462C9" w:rsidRDefault="00FF32FC" w:rsidP="00141674">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Armstrong, Deb ‘The Quarks of Object-Oriented Development’ (2006) 49(2) </w:t>
      </w:r>
      <w:r w:rsidRPr="00C462C9">
        <w:rPr>
          <w:rFonts w:ascii="Times New Roman" w:hAnsi="Times New Roman" w:cs="Times New Roman"/>
          <w:i/>
          <w:iCs/>
          <w:sz w:val="20"/>
          <w:szCs w:val="20"/>
        </w:rPr>
        <w:t>Communications of the ACM</w:t>
      </w:r>
      <w:r w:rsidRPr="00C462C9">
        <w:rPr>
          <w:rFonts w:ascii="Times New Roman" w:hAnsi="Times New Roman" w:cs="Times New Roman"/>
          <w:sz w:val="20"/>
          <w:szCs w:val="20"/>
        </w:rPr>
        <w:t xml:space="preserve"> 123</w:t>
      </w:r>
    </w:p>
    <w:p w14:paraId="678FF466" w14:textId="2814FE2F" w:rsidR="00F534AD" w:rsidRPr="00C462C9" w:rsidRDefault="00F534AD" w:rsidP="00141674">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Ashley, Kevin D., </w:t>
      </w:r>
      <w:r w:rsidRPr="00C462C9">
        <w:rPr>
          <w:rFonts w:ascii="Times New Roman" w:hAnsi="Times New Roman" w:cs="Times New Roman"/>
          <w:i/>
          <w:iCs/>
          <w:sz w:val="20"/>
          <w:szCs w:val="20"/>
        </w:rPr>
        <w:t>Artificial Intelligence and Legal Analytics: New Tools for Law Practice in the Digital Age</w:t>
      </w:r>
      <w:r w:rsidRPr="00C462C9">
        <w:rPr>
          <w:rFonts w:ascii="Times New Roman" w:hAnsi="Times New Roman" w:cs="Times New Roman"/>
          <w:sz w:val="20"/>
          <w:szCs w:val="20"/>
        </w:rPr>
        <w:t xml:space="preserve"> (Cambridge University Press, 2017)</w:t>
      </w:r>
    </w:p>
    <w:p w14:paraId="1CAAEF65" w14:textId="77777777"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Australian Small Business and Family Enterprise Ombudsman, Submission No 46.1 to Select Committee on Financial Technology and Regulatory Technology, Parliament of Australia, (26 June 2020)</w:t>
      </w:r>
    </w:p>
    <w:p w14:paraId="56826F06" w14:textId="64EA2047" w:rsidR="00DD6466" w:rsidRPr="00C462C9" w:rsidRDefault="00DD6466"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Bengio, Yoshua, ‘Springtime for AI: The Rise of Deep Learning’ (June 2016) </w:t>
      </w:r>
      <w:r w:rsidRPr="00C462C9">
        <w:rPr>
          <w:rFonts w:ascii="Times New Roman" w:hAnsi="Times New Roman" w:cs="Times New Roman"/>
          <w:i/>
          <w:iCs/>
          <w:sz w:val="20"/>
          <w:szCs w:val="20"/>
        </w:rPr>
        <w:t>Scientific American</w:t>
      </w:r>
      <w:r w:rsidRPr="00C462C9">
        <w:rPr>
          <w:rFonts w:ascii="Times New Roman" w:hAnsi="Times New Roman" w:cs="Times New Roman"/>
          <w:sz w:val="20"/>
          <w:szCs w:val="20"/>
        </w:rPr>
        <w:t xml:space="preserve">; Montañez, Amanda, ‘Unveiling the Hidden Layers of Deep Learning’, </w:t>
      </w:r>
      <w:r w:rsidRPr="00C462C9">
        <w:rPr>
          <w:rFonts w:ascii="Times New Roman" w:hAnsi="Times New Roman" w:cs="Times New Roman"/>
          <w:i/>
          <w:iCs/>
          <w:sz w:val="20"/>
          <w:szCs w:val="20"/>
        </w:rPr>
        <w:t>Scientific American</w:t>
      </w:r>
      <w:r w:rsidRPr="00C462C9">
        <w:rPr>
          <w:rFonts w:ascii="Times New Roman" w:hAnsi="Times New Roman" w:cs="Times New Roman"/>
          <w:sz w:val="20"/>
          <w:szCs w:val="20"/>
        </w:rPr>
        <w:t xml:space="preserve"> (Web Article, 20 May 2016) &lt;https://blogs.scientificamerican.com/sa-visual/unveiling-the-hidden-layers-of-deep-learning/&gt;</w:t>
      </w:r>
    </w:p>
    <w:p w14:paraId="6120FB0E" w14:textId="03190CC1" w:rsidR="001F1318" w:rsidRPr="00C462C9" w:rsidRDefault="001F1318"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lastRenderedPageBreak/>
        <w:t xml:space="preserve">Blackshield, A.R., </w:t>
      </w:r>
      <w:r w:rsidRPr="00C462C9">
        <w:rPr>
          <w:rFonts w:ascii="Times New Roman" w:hAnsi="Times New Roman" w:cs="Times New Roman"/>
          <w:i/>
          <w:iCs/>
          <w:sz w:val="20"/>
          <w:szCs w:val="20"/>
        </w:rPr>
        <w:t>Australian Constitutional Law and Theory: Commentary and Materials</w:t>
      </w:r>
      <w:r w:rsidRPr="00C462C9">
        <w:rPr>
          <w:rFonts w:ascii="Times New Roman" w:hAnsi="Times New Roman" w:cs="Times New Roman"/>
          <w:sz w:val="20"/>
          <w:szCs w:val="20"/>
        </w:rPr>
        <w:t xml:space="preserve"> (Federation Press, 5th ed. abridged., 2010) 8–12 (‘</w:t>
      </w:r>
      <w:r w:rsidRPr="00C462C9">
        <w:rPr>
          <w:rFonts w:ascii="Times New Roman" w:hAnsi="Times New Roman" w:cs="Times New Roman"/>
          <w:i/>
          <w:iCs/>
          <w:sz w:val="20"/>
          <w:szCs w:val="20"/>
        </w:rPr>
        <w:t>Australian Constitutional Law and Theory</w:t>
      </w:r>
      <w:r w:rsidRPr="00C462C9">
        <w:rPr>
          <w:rFonts w:ascii="Times New Roman" w:hAnsi="Times New Roman" w:cs="Times New Roman"/>
          <w:sz w:val="20"/>
          <w:szCs w:val="20"/>
        </w:rPr>
        <w:t>’)</w:t>
      </w:r>
    </w:p>
    <w:p w14:paraId="730AFD16" w14:textId="6A03AF26" w:rsidR="00FF32FC" w:rsidRPr="00C462C9" w:rsidRDefault="00FF32FC"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Burrell, Jenna, ‘How the Machine “Thinks”: Understanding Opacity in Machine Learning Algorithms’ (2016) 3(1) </w:t>
      </w:r>
      <w:r w:rsidRPr="00C462C9">
        <w:rPr>
          <w:rFonts w:ascii="Times New Roman" w:hAnsi="Times New Roman" w:cs="Times New Roman"/>
          <w:i/>
          <w:iCs/>
          <w:sz w:val="20"/>
          <w:szCs w:val="20"/>
        </w:rPr>
        <w:t>Big Data &amp; Society</w:t>
      </w:r>
      <w:r w:rsidRPr="00C462C9">
        <w:rPr>
          <w:rFonts w:ascii="Times New Roman" w:hAnsi="Times New Roman" w:cs="Times New Roman"/>
          <w:sz w:val="20"/>
          <w:szCs w:val="20"/>
        </w:rPr>
        <w:t xml:space="preserve"> 1</w:t>
      </w:r>
    </w:p>
    <w:p w14:paraId="2A6344B5" w14:textId="3A2DCD06" w:rsidR="006B1479" w:rsidRPr="00C462C9" w:rsidRDefault="006B1479"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Cao, Deborah, </w:t>
      </w:r>
      <w:r w:rsidRPr="00C462C9">
        <w:rPr>
          <w:rFonts w:ascii="Times New Roman" w:hAnsi="Times New Roman" w:cs="Times New Roman"/>
          <w:i/>
          <w:iCs/>
          <w:sz w:val="20"/>
          <w:szCs w:val="20"/>
        </w:rPr>
        <w:t>Translating Law</w:t>
      </w:r>
      <w:r w:rsidRPr="00C462C9">
        <w:rPr>
          <w:rFonts w:ascii="Times New Roman" w:hAnsi="Times New Roman" w:cs="Times New Roman"/>
          <w:sz w:val="20"/>
          <w:szCs w:val="20"/>
        </w:rPr>
        <w:t xml:space="preserve"> (Multilingual Matters, 2007)</w:t>
      </w:r>
    </w:p>
    <w:p w14:paraId="0A1F3A4C" w14:textId="321A58D8" w:rsidR="006B1479" w:rsidRPr="00C462C9" w:rsidRDefault="006B1479"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Charles-Green, Alyssa, ‘Law Translation: A Self-Defence Case Study’ (2019) 25 </w:t>
      </w:r>
      <w:r w:rsidRPr="00C462C9">
        <w:rPr>
          <w:rFonts w:ascii="Times New Roman" w:hAnsi="Times New Roman" w:cs="Times New Roman"/>
          <w:i/>
          <w:iCs/>
          <w:sz w:val="20"/>
          <w:szCs w:val="20"/>
        </w:rPr>
        <w:t>Comparitive Law Journal of the Pacific</w:t>
      </w:r>
      <w:r w:rsidRPr="00C462C9">
        <w:rPr>
          <w:rFonts w:ascii="Times New Roman" w:hAnsi="Times New Roman" w:cs="Times New Roman"/>
          <w:sz w:val="20"/>
          <w:szCs w:val="20"/>
        </w:rPr>
        <w:t xml:space="preserve"> 179</w:t>
      </w:r>
    </w:p>
    <w:p w14:paraId="64AEAA84" w14:textId="1169B443"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Commonwealth, Royal Commission into Misconduct in the Banking, Superannuation and Financial Services Industry, </w:t>
      </w:r>
      <w:r w:rsidRPr="00C462C9">
        <w:rPr>
          <w:rFonts w:ascii="Times New Roman" w:hAnsi="Times New Roman" w:cs="Times New Roman"/>
          <w:i/>
          <w:iCs/>
          <w:sz w:val="20"/>
          <w:szCs w:val="20"/>
        </w:rPr>
        <w:t>Final Report</w:t>
      </w:r>
      <w:r w:rsidRPr="00C462C9">
        <w:rPr>
          <w:rFonts w:ascii="Times New Roman" w:hAnsi="Times New Roman" w:cs="Times New Roman"/>
          <w:sz w:val="20"/>
          <w:szCs w:val="20"/>
        </w:rPr>
        <w:t xml:space="preserve"> (2019)</w:t>
      </w:r>
    </w:p>
    <w:p w14:paraId="1F3520D8" w14:textId="0AFA2D8F" w:rsidR="00F95749" w:rsidRPr="00C462C9" w:rsidRDefault="00F95749"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Connelly, Jeff, ‘Ternary Computing Testbed 3-Trit Computer Architecture’ (2008) 8, 58–59 &lt;http://xyzzy.freeshell.org/trinary/CPE%20Report%20-%20Ternary%20Computing%20Testbed%20-%20RC6a.pdf&gt;</w:t>
      </w:r>
    </w:p>
    <w:p w14:paraId="18EF3AE8" w14:textId="487033D6" w:rsidR="005165E4" w:rsidRPr="00C462C9" w:rsidRDefault="005165E4"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Crawford, Lisa, et al, Public Law and Statutory Interpretation: Principles and Practice (Federation Press, 2017)</w:t>
      </w:r>
    </w:p>
    <w:p w14:paraId="5AB9DB5D" w14:textId="1978C939" w:rsidR="006B1479" w:rsidRPr="00C462C9" w:rsidRDefault="006B1479"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Dabner, Justin, ‘Tax Law and Technology in Australia’ (Social Science Research Network, 2019) 9 &lt;https://papers.ssrn.com/abstract=3253400&gt;</w:t>
      </w:r>
    </w:p>
    <w:p w14:paraId="1BD065F8" w14:textId="0577A9CD"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Deloitte Australia, ‘Get out of Your Own Way: Unleashing Productivity’ (2014) &lt;https://www2.deloitte.com/au/en/pages/building-lucky-country/articles/get-out-of-your-own-way.html&gt;</w:t>
      </w:r>
    </w:p>
    <w:p w14:paraId="73B0439E" w14:textId="03F0018F" w:rsidR="00B15325" w:rsidRPr="00C462C9" w:rsidRDefault="00B15325"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Dhami, Mandeep K, ‘On Measuring Quantitative Interpretations of Reasonable Doubt’ (2008) 14(4) </w:t>
      </w:r>
      <w:r w:rsidRPr="00C462C9">
        <w:rPr>
          <w:rFonts w:ascii="Times New Roman" w:hAnsi="Times New Roman" w:cs="Times New Roman"/>
          <w:i/>
          <w:iCs/>
          <w:sz w:val="20"/>
          <w:szCs w:val="20"/>
        </w:rPr>
        <w:t>Journal of Experimental Psychology. Applied</w:t>
      </w:r>
      <w:r w:rsidRPr="00C462C9">
        <w:rPr>
          <w:rFonts w:ascii="Times New Roman" w:hAnsi="Times New Roman" w:cs="Times New Roman"/>
          <w:sz w:val="20"/>
          <w:szCs w:val="20"/>
        </w:rPr>
        <w:t xml:space="preserve"> 353</w:t>
      </w:r>
    </w:p>
    <w:p w14:paraId="618D26E0" w14:textId="15C64E23" w:rsidR="001F1318" w:rsidRPr="00C462C9" w:rsidRDefault="001F1318"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Donaldson, Toby, ‘Python as a First Programming Language for Everyone’ (2003) &lt;http://www.cs.ubc.ca/wccce/Program03/papers/Toby.html&gt;</w:t>
      </w:r>
    </w:p>
    <w:p w14:paraId="7E673FAF" w14:textId="19271EA3" w:rsidR="006B1479" w:rsidRPr="00C462C9" w:rsidRDefault="006B1479" w:rsidP="00DD6466">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Frade, Celina, ‘Translating Domestic Legislation’ in </w:t>
      </w:r>
      <w:r w:rsidRPr="00C462C9">
        <w:rPr>
          <w:rFonts w:ascii="Times New Roman" w:hAnsi="Times New Roman" w:cs="Times New Roman"/>
          <w:i/>
          <w:iCs/>
          <w:sz w:val="20"/>
          <w:szCs w:val="20"/>
        </w:rPr>
        <w:t>The Ashgate Handbook of Legal Translation</w:t>
      </w:r>
      <w:r w:rsidRPr="00C462C9">
        <w:rPr>
          <w:rFonts w:ascii="Times New Roman" w:hAnsi="Times New Roman" w:cs="Times New Roman"/>
          <w:sz w:val="20"/>
          <w:szCs w:val="20"/>
        </w:rPr>
        <w:t xml:space="preserve"> (Routledge, 2016) 209 &lt;https://www-taylorfrancis-com.ezp01.library.qut.edu.au/books/e/9781315612706&gt;</w:t>
      </w:r>
    </w:p>
    <w:p w14:paraId="368E40B9" w14:textId="78FD252A" w:rsidR="00B15325" w:rsidRPr="00C462C9" w:rsidRDefault="00B15325" w:rsidP="00DD6466">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Franklin, James, ‘Case Comment—United States v. Copeland, 369 F. Supp. 2d 275 (E.D.N.Y. 2005): Quantification of the “Proof beyond Reasonable Doubt” Standard’ (2006) 5(2) </w:t>
      </w:r>
      <w:r w:rsidRPr="00C462C9">
        <w:rPr>
          <w:rFonts w:ascii="Times New Roman" w:hAnsi="Times New Roman" w:cs="Times New Roman"/>
          <w:i/>
          <w:iCs/>
          <w:sz w:val="20"/>
          <w:szCs w:val="20"/>
        </w:rPr>
        <w:t>Law, Probability and Risk</w:t>
      </w:r>
      <w:r w:rsidRPr="00C462C9">
        <w:rPr>
          <w:rFonts w:ascii="Times New Roman" w:hAnsi="Times New Roman" w:cs="Times New Roman"/>
          <w:sz w:val="20"/>
          <w:szCs w:val="20"/>
        </w:rPr>
        <w:t xml:space="preserve"> 159</w:t>
      </w:r>
    </w:p>
    <w:p w14:paraId="2287BA37" w14:textId="224BBB34" w:rsidR="006B1479" w:rsidRPr="00C462C9" w:rsidRDefault="006B1479" w:rsidP="00DD6466">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lastRenderedPageBreak/>
        <w:t xml:space="preserve">Garzone, Giuliana ‘Legal Translation and Functionalist Approaches: A Contradiction in Terms?’ in </w:t>
      </w:r>
      <w:r w:rsidRPr="00C462C9">
        <w:rPr>
          <w:rFonts w:ascii="Times New Roman" w:hAnsi="Times New Roman" w:cs="Times New Roman"/>
          <w:i/>
          <w:iCs/>
          <w:sz w:val="20"/>
          <w:szCs w:val="20"/>
        </w:rPr>
        <w:t>La Traduction Juridique: Histoire, Théorie(s) et Pratique [Legal Translation: History, Theories and Pradtice]</w:t>
      </w:r>
      <w:r w:rsidRPr="00C462C9">
        <w:rPr>
          <w:rFonts w:ascii="Times New Roman" w:hAnsi="Times New Roman" w:cs="Times New Roman"/>
          <w:sz w:val="20"/>
          <w:szCs w:val="20"/>
        </w:rPr>
        <w:t xml:space="preserve"> (Association suisse des traducteurs, terminologues et interprètes [Swiss Association of Translators, Terminologists and Interpreters], 2000) 395</w:t>
      </w:r>
    </w:p>
    <w:p w14:paraId="0FBEF775" w14:textId="6C774490" w:rsidR="00DD6466" w:rsidRPr="00C462C9" w:rsidRDefault="00DD6466" w:rsidP="00DD6466">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Genesereth, Michael, ‘Computational Law: The Cop in the Backseat’ (CodeX: The Center for Legal Informatics, Stanford University, 2015) 205, 4–5 &lt;http://portal.acm.org/citation.cfm?doid=1165485.1165517&gt;</w:t>
      </w:r>
    </w:p>
    <w:p w14:paraId="1A4579BF" w14:textId="4126D25A" w:rsidR="00B15325" w:rsidRPr="00C462C9" w:rsidRDefault="00B15325"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Giuliodori, Mauricio J, Gustavo Zuccolilli, ‘Postsynaptic Potential Summation and Action Potential Initiation: Function Following Form’ (2004) 28(2) </w:t>
      </w:r>
      <w:r w:rsidRPr="00C462C9">
        <w:rPr>
          <w:rFonts w:ascii="Times New Roman" w:hAnsi="Times New Roman" w:cs="Times New Roman"/>
          <w:i/>
          <w:iCs/>
          <w:sz w:val="20"/>
          <w:szCs w:val="20"/>
        </w:rPr>
        <w:t>Advances in Physiology Education</w:t>
      </w:r>
      <w:r w:rsidRPr="00C462C9">
        <w:rPr>
          <w:rFonts w:ascii="Times New Roman" w:hAnsi="Times New Roman" w:cs="Times New Roman"/>
          <w:sz w:val="20"/>
          <w:szCs w:val="20"/>
        </w:rPr>
        <w:t xml:space="preserve"> 79</w:t>
      </w:r>
    </w:p>
    <w:p w14:paraId="0CD48FE1" w14:textId="54698E5E" w:rsidR="00B15325" w:rsidRPr="00C462C9" w:rsidRDefault="00B15325"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Goldberg, Erica, ‘Getting beyond Intuition in the Probable Cause Inquiry’ (2013) 17 </w:t>
      </w:r>
      <w:r w:rsidRPr="00C462C9">
        <w:rPr>
          <w:rFonts w:ascii="Times New Roman" w:hAnsi="Times New Roman" w:cs="Times New Roman"/>
          <w:i/>
          <w:iCs/>
          <w:sz w:val="20"/>
          <w:szCs w:val="20"/>
        </w:rPr>
        <w:t>Lewis &amp; Clark Law Review</w:t>
      </w:r>
      <w:r w:rsidRPr="00C462C9">
        <w:rPr>
          <w:rFonts w:ascii="Times New Roman" w:hAnsi="Times New Roman" w:cs="Times New Roman"/>
          <w:sz w:val="20"/>
          <w:szCs w:val="20"/>
        </w:rPr>
        <w:t xml:space="preserve"> 789</w:t>
      </w:r>
    </w:p>
    <w:p w14:paraId="61BF514F" w14:textId="3A338A3F" w:rsidR="00EB10B4" w:rsidRPr="00C462C9" w:rsidRDefault="00EB10B4" w:rsidP="00EB10B4">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Government Information Services, </w:t>
      </w:r>
      <w:r w:rsidRPr="00C462C9">
        <w:rPr>
          <w:rFonts w:ascii="Times New Roman" w:hAnsi="Times New Roman" w:cs="Times New Roman"/>
          <w:i/>
          <w:iCs/>
          <w:sz w:val="20"/>
          <w:szCs w:val="20"/>
        </w:rPr>
        <w:t>Better Rules for Government</w:t>
      </w:r>
      <w:r w:rsidRPr="00C462C9">
        <w:rPr>
          <w:rFonts w:ascii="Times New Roman" w:hAnsi="Times New Roman" w:cs="Times New Roman"/>
          <w:sz w:val="20"/>
          <w:szCs w:val="20"/>
        </w:rPr>
        <w:t xml:space="preserve"> (Discovery Report, Department of Internal Affairs, New Zealand Government, March 2018) 21–24 &lt;https://www.digital.govt.nz/dmsdocument/95-better-rules-for-government-discovery-report/html,-pseudocode-and-software-code#examples-of-legislation,-pseudocode-and-software-code&gt;</w:t>
      </w:r>
    </w:p>
    <w:p w14:paraId="0DF9FE72" w14:textId="061B5602" w:rsidR="001F1318" w:rsidRPr="00C462C9" w:rsidRDefault="001F1318"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Green, Ben, and Salomé Viljoen, ‘Algorithmic Realism: Expanding the Boundaries of Algorithmic Thought’ in </w:t>
      </w:r>
      <w:r w:rsidRPr="00C462C9">
        <w:rPr>
          <w:rFonts w:ascii="Times New Roman" w:hAnsi="Times New Roman" w:cs="Times New Roman"/>
          <w:i/>
          <w:iCs/>
          <w:sz w:val="20"/>
          <w:szCs w:val="20"/>
        </w:rPr>
        <w:t>Proceedings of the 2020 Conference on Fairness, Accountability, and Transparency</w:t>
      </w:r>
      <w:r w:rsidRPr="00C462C9">
        <w:rPr>
          <w:rFonts w:ascii="Times New Roman" w:hAnsi="Times New Roman" w:cs="Times New Roman"/>
          <w:sz w:val="20"/>
          <w:szCs w:val="20"/>
        </w:rPr>
        <w:t xml:space="preserve"> (ACM, 2020) 19 &lt;http://dl.acm.org/doi/10.1145/3351095.3372840&gt;</w:t>
      </w:r>
    </w:p>
    <w:p w14:paraId="75B43C93" w14:textId="1FBEBBB2" w:rsidR="00EB10B4" w:rsidRPr="00C462C9" w:rsidRDefault="00EB10B4" w:rsidP="00DD6466">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Guntheroth, Kurt, </w:t>
      </w:r>
      <w:r w:rsidRPr="00C462C9">
        <w:rPr>
          <w:rFonts w:ascii="Times New Roman" w:hAnsi="Times New Roman" w:cs="Times New Roman"/>
          <w:i/>
          <w:iCs/>
          <w:sz w:val="20"/>
          <w:szCs w:val="20"/>
        </w:rPr>
        <w:t>Optimized C++: Proven Techniques for Heightened Performance</w:t>
      </w:r>
      <w:r w:rsidRPr="00C462C9">
        <w:rPr>
          <w:rFonts w:ascii="Times New Roman" w:hAnsi="Times New Roman" w:cs="Times New Roman"/>
          <w:sz w:val="20"/>
          <w:szCs w:val="20"/>
        </w:rPr>
        <w:t xml:space="preserve"> (Centre for Alternative Economic Policy Research, 2016)</w:t>
      </w:r>
    </w:p>
    <w:p w14:paraId="73336CCF" w14:textId="49A1852D" w:rsidR="00EB10B4" w:rsidRPr="00C462C9" w:rsidRDefault="00EB10B4" w:rsidP="00DD6466">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Hammond, Matt, ‘A New Wind of Quality from Europe: Implications of the Court Case Cited by Holz-Mänttäri for the U.S. Translation Industry’ in </w:t>
      </w:r>
      <w:r w:rsidRPr="00C462C9">
        <w:rPr>
          <w:rFonts w:ascii="Times New Roman" w:hAnsi="Times New Roman" w:cs="Times New Roman"/>
          <w:i/>
          <w:iCs/>
          <w:sz w:val="20"/>
          <w:szCs w:val="20"/>
        </w:rPr>
        <w:t>Translation and the Law</w:t>
      </w:r>
      <w:r w:rsidRPr="00C462C9">
        <w:rPr>
          <w:rFonts w:ascii="Times New Roman" w:hAnsi="Times New Roman" w:cs="Times New Roman"/>
          <w:sz w:val="20"/>
          <w:szCs w:val="20"/>
        </w:rPr>
        <w:t xml:space="preserve"> (John Benjamins Publishing) 233</w:t>
      </w:r>
    </w:p>
    <w:p w14:paraId="53201D7C" w14:textId="1F1B4F0C" w:rsidR="00DD6466" w:rsidRPr="00C462C9" w:rsidRDefault="00DD6466" w:rsidP="00DD6466">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Hampton, Susannah ‘Opportunities for AI in Regtech’ (Juniper Research, September 2019) 1 &lt;https://www.juniperresearch.com/document-library/white-papers/opportunities-for-ai-in-regtech-whitepaper&gt;</w:t>
      </w:r>
    </w:p>
    <w:p w14:paraId="22C2453C" w14:textId="62143E93" w:rsidR="00D130D8" w:rsidRPr="00C462C9" w:rsidRDefault="00D130D8"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Harvey, Malcolm, ‘What’s so Special about Legal Translation?’ (2002) 47(2) </w:t>
      </w:r>
      <w:r w:rsidRPr="00C462C9">
        <w:rPr>
          <w:rFonts w:ascii="Times New Roman" w:hAnsi="Times New Roman" w:cs="Times New Roman"/>
          <w:i/>
          <w:iCs/>
          <w:sz w:val="20"/>
          <w:szCs w:val="20"/>
        </w:rPr>
        <w:t>Meta: Journal des traducteurs [Meta: Translators’ Journal]</w:t>
      </w:r>
      <w:r w:rsidRPr="00C462C9">
        <w:rPr>
          <w:rFonts w:ascii="Times New Roman" w:hAnsi="Times New Roman" w:cs="Times New Roman"/>
          <w:sz w:val="20"/>
          <w:szCs w:val="20"/>
        </w:rPr>
        <w:t xml:space="preserve"> 177</w:t>
      </w:r>
    </w:p>
    <w:p w14:paraId="2FB06107" w14:textId="335D70EF"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Hayek, Friedrich, </w:t>
      </w:r>
      <w:r w:rsidRPr="00C462C9">
        <w:rPr>
          <w:rFonts w:ascii="Times New Roman" w:hAnsi="Times New Roman" w:cs="Times New Roman"/>
          <w:i/>
          <w:iCs/>
          <w:sz w:val="20"/>
          <w:szCs w:val="20"/>
        </w:rPr>
        <w:t>Rules and Order</w:t>
      </w:r>
      <w:r w:rsidRPr="00C462C9">
        <w:rPr>
          <w:rFonts w:ascii="Times New Roman" w:hAnsi="Times New Roman" w:cs="Times New Roman"/>
          <w:sz w:val="20"/>
          <w:szCs w:val="20"/>
        </w:rPr>
        <w:t xml:space="preserve">, vol 1 (University of Chicago Press, 1973) </w:t>
      </w:r>
    </w:p>
    <w:p w14:paraId="17BC232B" w14:textId="7399FB93"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lastRenderedPageBreak/>
        <w:t xml:space="preserve">Horrigan, Bryan, ‘Australian Legal Principles in Practice – Taking Reasoning and Research Seriously’ (1993) 9 </w:t>
      </w:r>
      <w:r w:rsidRPr="00C462C9">
        <w:rPr>
          <w:rFonts w:ascii="Times New Roman" w:hAnsi="Times New Roman" w:cs="Times New Roman"/>
          <w:i/>
          <w:iCs/>
          <w:sz w:val="20"/>
          <w:szCs w:val="20"/>
        </w:rPr>
        <w:t>Queensland University of Technology Law Journal</w:t>
      </w:r>
      <w:r w:rsidRPr="00C462C9">
        <w:rPr>
          <w:rFonts w:ascii="Times New Roman" w:hAnsi="Times New Roman" w:cs="Times New Roman"/>
          <w:sz w:val="20"/>
          <w:szCs w:val="20"/>
        </w:rPr>
        <w:t xml:space="preserve"> 159</w:t>
      </w:r>
    </w:p>
    <w:p w14:paraId="755536C0" w14:textId="0B759040" w:rsidR="00235AFC" w:rsidRPr="00C462C9" w:rsidRDefault="00235AFC"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Huggins, Anna, ‘Automated Processes and Administrative Law: The Case of Pintarich’, </w:t>
      </w:r>
      <w:r w:rsidRPr="00C462C9">
        <w:rPr>
          <w:rFonts w:ascii="Times New Roman" w:hAnsi="Times New Roman" w:cs="Times New Roman"/>
          <w:i/>
          <w:iCs/>
          <w:sz w:val="20"/>
          <w:szCs w:val="20"/>
        </w:rPr>
        <w:t>AusPubLaw</w:t>
      </w:r>
      <w:r w:rsidRPr="00C462C9">
        <w:rPr>
          <w:rFonts w:ascii="Times New Roman" w:hAnsi="Times New Roman" w:cs="Times New Roman"/>
          <w:sz w:val="20"/>
          <w:szCs w:val="20"/>
        </w:rPr>
        <w:t xml:space="preserve"> (Australian Public Law) &lt;https://auspublaw.org/2018/11/the-case-of-pintarich/&gt;</w:t>
      </w:r>
    </w:p>
    <w:p w14:paraId="532BDC72" w14:textId="4097B9B5"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Hustler, Allen, </w:t>
      </w:r>
      <w:r w:rsidRPr="00C462C9">
        <w:rPr>
          <w:rFonts w:ascii="Times New Roman" w:hAnsi="Times New Roman" w:cs="Times New Roman"/>
          <w:i/>
          <w:iCs/>
          <w:sz w:val="20"/>
          <w:szCs w:val="20"/>
        </w:rPr>
        <w:t>Programming Law in Logic</w:t>
      </w:r>
      <w:r w:rsidRPr="00C462C9">
        <w:rPr>
          <w:rFonts w:ascii="Times New Roman" w:hAnsi="Times New Roman" w:cs="Times New Roman"/>
          <w:sz w:val="20"/>
          <w:szCs w:val="20"/>
        </w:rPr>
        <w:t xml:space="preserve"> (Research Report No CS-82-13, May 1982) &lt;http://www.softwarepreservation.org/projects/prolog/waterloo/doc/Hustler-Programming_Law_in_Logic-CS_82_13_Waterloo-1982.pdf&gt;</w:t>
      </w:r>
    </w:p>
    <w:p w14:paraId="59F4C30C" w14:textId="5C963411" w:rsidR="00EB10B4" w:rsidRPr="00C462C9" w:rsidRDefault="00EB10B4"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Kasirer, Nicholas, ‘François Gény’s Libre Recherche Scientifique as a Guide for Legal Translation’ (2001) 61(2) </w:t>
      </w:r>
      <w:r w:rsidRPr="00C462C9">
        <w:rPr>
          <w:rFonts w:ascii="Times New Roman" w:hAnsi="Times New Roman" w:cs="Times New Roman"/>
          <w:i/>
          <w:iCs/>
          <w:sz w:val="20"/>
          <w:szCs w:val="20"/>
        </w:rPr>
        <w:t>Louisiana Law Review</w:t>
      </w:r>
      <w:r w:rsidRPr="00C462C9">
        <w:rPr>
          <w:rFonts w:ascii="Times New Roman" w:hAnsi="Times New Roman" w:cs="Times New Roman"/>
          <w:sz w:val="20"/>
          <w:szCs w:val="20"/>
        </w:rPr>
        <w:t xml:space="preserve"> 331</w:t>
      </w:r>
    </w:p>
    <w:p w14:paraId="1591601E" w14:textId="62D329BA"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Kirby, Michael, ‘“Judicial Activism”? A Riposte to the Counter-Reformation’ 11 </w:t>
      </w:r>
      <w:r w:rsidRPr="00C462C9">
        <w:rPr>
          <w:rFonts w:ascii="Times New Roman" w:hAnsi="Times New Roman" w:cs="Times New Roman"/>
          <w:i/>
          <w:iCs/>
          <w:sz w:val="20"/>
          <w:szCs w:val="20"/>
        </w:rPr>
        <w:t>Otago Law Review</w:t>
      </w:r>
      <w:r w:rsidRPr="00C462C9">
        <w:rPr>
          <w:rFonts w:ascii="Times New Roman" w:hAnsi="Times New Roman" w:cs="Times New Roman"/>
          <w:sz w:val="20"/>
          <w:szCs w:val="20"/>
        </w:rPr>
        <w:t xml:space="preserve"> 1</w:t>
      </w:r>
    </w:p>
    <w:p w14:paraId="54B4DA34" w14:textId="0DE7ED90"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Kompetenzzentrum Öffentliche IT [Competence Center Public IT], ‘Recht Digital - Maschinenverständlich Und Automatisierbar [Digital Law - Machine-Consumable and Automatable]’ &lt;https://www.oeffentliche-it.de/publikationen?doc=104099&amp;title=Recht+Digital+-+Maschinenverst%C3%A4ndlich+und+automatisierbar&gt;</w:t>
      </w:r>
    </w:p>
    <w:p w14:paraId="3923E019" w14:textId="133EB2A9"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Lance A Miller, ‘Natural Language Programming: Styles, Strategies, and Contrasts’ (1981) 20(2) </w:t>
      </w:r>
      <w:r w:rsidRPr="00C462C9">
        <w:rPr>
          <w:rFonts w:ascii="Times New Roman" w:hAnsi="Times New Roman" w:cs="Times New Roman"/>
          <w:i/>
          <w:iCs/>
          <w:sz w:val="20"/>
          <w:szCs w:val="20"/>
        </w:rPr>
        <w:t>IBM Systems Journal</w:t>
      </w:r>
      <w:r w:rsidRPr="00C462C9">
        <w:rPr>
          <w:rFonts w:ascii="Times New Roman" w:hAnsi="Times New Roman" w:cs="Times New Roman"/>
          <w:sz w:val="20"/>
          <w:szCs w:val="20"/>
        </w:rPr>
        <w:t xml:space="preserve"> 184</w:t>
      </w:r>
    </w:p>
    <w:p w14:paraId="6758C9D2" w14:textId="5443619E"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Larson, Jeff et al, ‘How We Analyzed the COMPAS Recidivism Algorithm’, ProPublica (online, 23 May 2016) &lt;https://www.propublica.org/article/how-we-analyzed-the-compas-recidivism-algorithm&gt;</w:t>
      </w:r>
    </w:p>
    <w:p w14:paraId="237EF937" w14:textId="10004E82"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Leiter, Brian, ‘Positivism, Formalism, Realism’, ed Anthony Sebok (1999) 99(4) </w:t>
      </w:r>
      <w:r w:rsidRPr="00C462C9">
        <w:rPr>
          <w:rFonts w:ascii="Times New Roman" w:hAnsi="Times New Roman" w:cs="Times New Roman"/>
          <w:i/>
          <w:iCs/>
          <w:sz w:val="20"/>
          <w:szCs w:val="20"/>
        </w:rPr>
        <w:t>Columbia Law Review</w:t>
      </w:r>
      <w:r w:rsidRPr="00C462C9">
        <w:rPr>
          <w:rFonts w:ascii="Times New Roman" w:hAnsi="Times New Roman" w:cs="Times New Roman"/>
          <w:sz w:val="20"/>
          <w:szCs w:val="20"/>
        </w:rPr>
        <w:t xml:space="preserve"> 1138</w:t>
      </w:r>
    </w:p>
    <w:p w14:paraId="3058E571" w14:textId="21704FE0"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Leith, Philip, ‘The Rise and Fall of the Legal Expert System’ (2016) 30(3) </w:t>
      </w:r>
      <w:r w:rsidRPr="00C462C9">
        <w:rPr>
          <w:rFonts w:ascii="Times New Roman" w:hAnsi="Times New Roman" w:cs="Times New Roman"/>
          <w:i/>
          <w:iCs/>
          <w:sz w:val="20"/>
          <w:szCs w:val="20"/>
        </w:rPr>
        <w:t>International Review of Law, Computers &amp; Technology</w:t>
      </w:r>
      <w:r w:rsidRPr="00C462C9">
        <w:rPr>
          <w:rFonts w:ascii="Times New Roman" w:hAnsi="Times New Roman" w:cs="Times New Roman"/>
          <w:sz w:val="20"/>
          <w:szCs w:val="20"/>
        </w:rPr>
        <w:t xml:space="preserve"> 94</w:t>
      </w:r>
    </w:p>
    <w:p w14:paraId="6CB506FC" w14:textId="1965522B" w:rsidR="001F1318" w:rsidRPr="00C462C9" w:rsidRDefault="001F1318"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Leping, Vambola, et al, ‘Python Prevails’ in </w:t>
      </w:r>
      <w:r w:rsidRPr="00C462C9">
        <w:rPr>
          <w:rFonts w:ascii="Times New Roman" w:hAnsi="Times New Roman" w:cs="Times New Roman"/>
          <w:i/>
          <w:iCs/>
          <w:sz w:val="20"/>
          <w:szCs w:val="20"/>
        </w:rPr>
        <w:t>Proceedings of the International Conference on Computer Systems and Technologies and Workshop for PhD Students in Computing</w:t>
      </w:r>
      <w:r w:rsidRPr="00C462C9">
        <w:rPr>
          <w:rFonts w:ascii="Times New Roman" w:hAnsi="Times New Roman" w:cs="Times New Roman"/>
          <w:sz w:val="20"/>
          <w:szCs w:val="20"/>
        </w:rPr>
        <w:t xml:space="preserve"> (Association for Computing Machinery, 2009) 1</w:t>
      </w:r>
    </w:p>
    <w:p w14:paraId="5D66E908" w14:textId="7C60D4EE"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lastRenderedPageBreak/>
        <w:t>Liu, Han-W</w:t>
      </w:r>
      <w:r w:rsidR="005165E4" w:rsidRPr="00C462C9">
        <w:rPr>
          <w:rFonts w:ascii="Times New Roman" w:hAnsi="Times New Roman" w:cs="Times New Roman"/>
          <w:sz w:val="20"/>
          <w:szCs w:val="20"/>
        </w:rPr>
        <w:t>ei</w:t>
      </w:r>
      <w:r w:rsidRPr="00C462C9">
        <w:rPr>
          <w:rFonts w:ascii="Times New Roman" w:hAnsi="Times New Roman" w:cs="Times New Roman"/>
          <w:sz w:val="20"/>
          <w:szCs w:val="20"/>
        </w:rPr>
        <w:t xml:space="preserve">, Ching-Fu Lin and Yu-Jie Chen, ‘Beyond State v. Loomis: Artificial Intelligence, Government Algorithmization, and Accountability’ (2019) 27(2) </w:t>
      </w:r>
      <w:r w:rsidRPr="00C462C9">
        <w:rPr>
          <w:rFonts w:ascii="Times New Roman" w:hAnsi="Times New Roman" w:cs="Times New Roman"/>
          <w:i/>
          <w:iCs/>
          <w:sz w:val="20"/>
          <w:szCs w:val="20"/>
        </w:rPr>
        <w:t>International Journal of Law and Information Technology</w:t>
      </w:r>
      <w:r w:rsidRPr="00C462C9">
        <w:rPr>
          <w:rFonts w:ascii="Times New Roman" w:hAnsi="Times New Roman" w:cs="Times New Roman"/>
          <w:sz w:val="20"/>
          <w:szCs w:val="20"/>
        </w:rPr>
        <w:t xml:space="preserve"> 121</w:t>
      </w:r>
    </w:p>
    <w:p w14:paraId="0D1B1390" w14:textId="32B8FBD5"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Locke, John, </w:t>
      </w:r>
      <w:r w:rsidRPr="00C462C9">
        <w:rPr>
          <w:rFonts w:ascii="Times New Roman" w:hAnsi="Times New Roman" w:cs="Times New Roman"/>
          <w:i/>
          <w:iCs/>
          <w:sz w:val="20"/>
          <w:szCs w:val="20"/>
        </w:rPr>
        <w:t>Two Treatises</w:t>
      </w:r>
      <w:r w:rsidRPr="00C462C9">
        <w:rPr>
          <w:rFonts w:ascii="Times New Roman" w:hAnsi="Times New Roman" w:cs="Times New Roman"/>
          <w:sz w:val="20"/>
          <w:szCs w:val="20"/>
        </w:rPr>
        <w:t xml:space="preserve"> (Awnsham Churchill, 1689) §137 &lt;https://oll.libertyfund.org/pages/john-locke-two-treatises-1689&gt;</w:t>
      </w:r>
    </w:p>
    <w:p w14:paraId="5006AE99" w14:textId="794D904A"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MacRae, Duncan C, ‘User Control Knowledge in a Tax Consulting System’ (1986) 19(17) </w:t>
      </w:r>
      <w:r w:rsidRPr="00C462C9">
        <w:rPr>
          <w:rFonts w:ascii="Times New Roman" w:hAnsi="Times New Roman" w:cs="Times New Roman"/>
          <w:i/>
          <w:iCs/>
          <w:sz w:val="20"/>
          <w:szCs w:val="20"/>
        </w:rPr>
        <w:t>IFAC Proceedings Volumes</w:t>
      </w:r>
      <w:r w:rsidRPr="00C462C9">
        <w:rPr>
          <w:rFonts w:ascii="Times New Roman" w:hAnsi="Times New Roman" w:cs="Times New Roman"/>
          <w:sz w:val="20"/>
          <w:szCs w:val="20"/>
        </w:rPr>
        <w:t xml:space="preserve"> 193</w:t>
      </w:r>
    </w:p>
    <w:p w14:paraId="156F9311" w14:textId="50A3CAFE" w:rsidR="00EB10B4" w:rsidRPr="00C462C9" w:rsidRDefault="00EB10B4"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Mannoni, Michelle, ‘Challenging the Existence of Legal Translation: A Comprehensive Translation Theory’ (2016) 26 </w:t>
      </w:r>
      <w:r w:rsidRPr="00C462C9">
        <w:rPr>
          <w:rFonts w:ascii="Times New Roman" w:hAnsi="Times New Roman" w:cs="Times New Roman"/>
          <w:i/>
          <w:iCs/>
          <w:sz w:val="20"/>
          <w:szCs w:val="20"/>
        </w:rPr>
        <w:t>Comparative Legilinguistics: International Journal for Legal Communication</w:t>
      </w:r>
      <w:r w:rsidRPr="00C462C9">
        <w:rPr>
          <w:rFonts w:ascii="Times New Roman" w:hAnsi="Times New Roman" w:cs="Times New Roman"/>
          <w:sz w:val="20"/>
          <w:szCs w:val="20"/>
        </w:rPr>
        <w:t xml:space="preserve"> 99</w:t>
      </w:r>
    </w:p>
    <w:p w14:paraId="2FA54CC9" w14:textId="74B9C2B5"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Matczak, Marcin, ‘Why Judicial Formalism Is Incompatible with the Rule of Law’ [2016] </w:t>
      </w:r>
      <w:r w:rsidRPr="00C462C9">
        <w:rPr>
          <w:rFonts w:ascii="Times New Roman" w:hAnsi="Times New Roman" w:cs="Times New Roman"/>
          <w:i/>
          <w:iCs/>
          <w:sz w:val="20"/>
          <w:szCs w:val="20"/>
        </w:rPr>
        <w:t>SSRN Electronic Journal</w:t>
      </w:r>
    </w:p>
    <w:p w14:paraId="4726614F" w14:textId="350AEB18"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McIntyre, Joe, ‘CSIRO Wants Our Laws Turned into Computer Code. Here’s Why That’s a Bad Idea’, </w:t>
      </w:r>
      <w:r w:rsidRPr="00C462C9">
        <w:rPr>
          <w:rFonts w:ascii="Times New Roman" w:hAnsi="Times New Roman" w:cs="Times New Roman"/>
          <w:i/>
          <w:iCs/>
          <w:sz w:val="20"/>
          <w:szCs w:val="20"/>
        </w:rPr>
        <w:t>The Conversation</w:t>
      </w:r>
      <w:r w:rsidRPr="00C462C9">
        <w:rPr>
          <w:rFonts w:ascii="Times New Roman" w:hAnsi="Times New Roman" w:cs="Times New Roman"/>
          <w:sz w:val="20"/>
          <w:szCs w:val="20"/>
        </w:rPr>
        <w:t xml:space="preserve"> (20 January 2020) &lt;http://theconversation.com/csiro-wants-our-laws-turned-into-computer-code-heres-why-thats-a-bad-idea-130131&gt;</w:t>
      </w:r>
    </w:p>
    <w:p w14:paraId="643CBE76" w14:textId="0DE5C132" w:rsidR="00861183" w:rsidRPr="00C462C9" w:rsidRDefault="00861183"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McLeod, Ian, ‘Literal and Purposive Techniques of Legislative Interpretation:  Some European Community and English Common Law Perspective’ (2004) 29(3) </w:t>
      </w:r>
      <w:r w:rsidRPr="00C462C9">
        <w:rPr>
          <w:rFonts w:ascii="Times New Roman" w:hAnsi="Times New Roman" w:cs="Times New Roman"/>
          <w:i/>
          <w:iCs/>
          <w:sz w:val="20"/>
          <w:szCs w:val="20"/>
        </w:rPr>
        <w:t>Brooklyn Journal of International Law</w:t>
      </w:r>
      <w:r w:rsidRPr="00C462C9">
        <w:rPr>
          <w:rFonts w:ascii="Times New Roman" w:hAnsi="Times New Roman" w:cs="Times New Roman"/>
          <w:sz w:val="20"/>
          <w:szCs w:val="20"/>
        </w:rPr>
        <w:t xml:space="preserve"> 1119</w:t>
      </w:r>
    </w:p>
    <w:p w14:paraId="42315EF9" w14:textId="2DED428D" w:rsidR="00DD6466" w:rsidRPr="00C462C9" w:rsidRDefault="00DD6466"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Miller, Lance A., ‘Natural Language Programming: Styles, Strategies, and Contrasts’ (1981) 20(2) </w:t>
      </w:r>
      <w:r w:rsidRPr="00C462C9">
        <w:rPr>
          <w:rFonts w:ascii="Times New Roman" w:hAnsi="Times New Roman" w:cs="Times New Roman"/>
          <w:i/>
          <w:iCs/>
          <w:sz w:val="20"/>
          <w:szCs w:val="20"/>
        </w:rPr>
        <w:t>IBM Systems Journal</w:t>
      </w:r>
      <w:r w:rsidRPr="00C462C9">
        <w:rPr>
          <w:rFonts w:ascii="Times New Roman" w:hAnsi="Times New Roman" w:cs="Times New Roman"/>
          <w:sz w:val="20"/>
          <w:szCs w:val="20"/>
        </w:rPr>
        <w:t xml:space="preserve"> 184</w:t>
      </w:r>
    </w:p>
    <w:p w14:paraId="5D43BF6E" w14:textId="4ECB8115"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Mohun, James, and Alex Roberts, ‘Cracking the Code: Rulemaking for Humans and Machines’ (Observatory of Public Sector Innovation, Organsation for Economic Co-operation and Development, 27 May 2020)</w:t>
      </w:r>
    </w:p>
    <w:p w14:paraId="7023DBB7" w14:textId="283847C1" w:rsidR="00CD4D47" w:rsidRPr="00C462C9" w:rsidRDefault="00CD4D47" w:rsidP="005165E4">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Morris, Stephen, </w:t>
      </w:r>
      <w:r w:rsidRPr="00C462C9">
        <w:rPr>
          <w:rFonts w:ascii="Times New Roman" w:hAnsi="Times New Roman" w:cs="Times New Roman"/>
          <w:i/>
          <w:iCs/>
          <w:sz w:val="20"/>
          <w:szCs w:val="20"/>
        </w:rPr>
        <w:t>Object-Oriented Programming under Windows</w:t>
      </w:r>
      <w:r w:rsidRPr="00C462C9">
        <w:rPr>
          <w:rFonts w:ascii="Times New Roman" w:hAnsi="Times New Roman" w:cs="Times New Roman"/>
          <w:sz w:val="20"/>
          <w:szCs w:val="20"/>
        </w:rPr>
        <w:t xml:space="preserve"> (Elsevier Science &amp; Technology, 1994)</w:t>
      </w:r>
    </w:p>
    <w:p w14:paraId="5DDD350C" w14:textId="4D4677AF" w:rsidR="00FF32FC" w:rsidRPr="00C462C9" w:rsidRDefault="00FF32FC"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Moses, Lyria Bennett, </w:t>
      </w:r>
      <w:r w:rsidRPr="00C462C9">
        <w:rPr>
          <w:rFonts w:ascii="Times New Roman" w:hAnsi="Times New Roman" w:cs="Times New Roman"/>
          <w:i/>
          <w:iCs/>
          <w:sz w:val="20"/>
          <w:szCs w:val="20"/>
        </w:rPr>
        <w:t>Not a Single Singularity</w:t>
      </w:r>
      <w:r w:rsidRPr="00C462C9">
        <w:rPr>
          <w:rFonts w:ascii="Times New Roman" w:hAnsi="Times New Roman" w:cs="Times New Roman"/>
          <w:sz w:val="20"/>
          <w:szCs w:val="20"/>
        </w:rPr>
        <w:t xml:space="preserve"> (SSRN Scholarly Paper No ID 3646943, Social Science Research Network, 2020) &lt;https://papers.ssrn.com/abstract=3646943&gt;</w:t>
      </w:r>
    </w:p>
    <w:p w14:paraId="79978064" w14:textId="52AD2A84" w:rsidR="00FF32FC" w:rsidRPr="00C462C9" w:rsidRDefault="00FF32FC"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lastRenderedPageBreak/>
        <w:t xml:space="preserve">Mowbray, Andrew, Philip Chung and Graham Greenleaf, </w:t>
      </w:r>
      <w:r w:rsidRPr="00C462C9">
        <w:rPr>
          <w:rFonts w:ascii="Times New Roman" w:hAnsi="Times New Roman" w:cs="Times New Roman"/>
          <w:i/>
          <w:iCs/>
          <w:sz w:val="20"/>
          <w:szCs w:val="20"/>
        </w:rPr>
        <w:t>Utilising AI in the Legal Assistance Sector – Testing a Role for Legal Information Institutes</w:t>
      </w:r>
      <w:r w:rsidRPr="00C462C9">
        <w:rPr>
          <w:rFonts w:ascii="Times New Roman" w:hAnsi="Times New Roman" w:cs="Times New Roman"/>
          <w:sz w:val="20"/>
          <w:szCs w:val="20"/>
        </w:rPr>
        <w:t xml:space="preserve"> (SSRN Scholarly Paper No ID 3379441, Social Science Research Network, 29 April 2019)&lt;https://papers.ssrn.com/abstract=3379441&gt;</w:t>
      </w:r>
    </w:p>
    <w:p w14:paraId="1CDF5245" w14:textId="69D1F696" w:rsidR="00B15325" w:rsidRPr="00C462C9" w:rsidRDefault="00B15325"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Newman, Jon O., ‘Quantifying the Standard of Proof beyond a Reasonable Doubt: A Comment on Three Comments’ (2006) 5(3–4) </w:t>
      </w:r>
      <w:r w:rsidRPr="00C462C9">
        <w:rPr>
          <w:rFonts w:ascii="Times New Roman" w:hAnsi="Times New Roman" w:cs="Times New Roman"/>
          <w:i/>
          <w:iCs/>
          <w:sz w:val="20"/>
          <w:szCs w:val="20"/>
        </w:rPr>
        <w:t>Law, Probability and Risk</w:t>
      </w:r>
      <w:r w:rsidRPr="00C462C9">
        <w:rPr>
          <w:rFonts w:ascii="Times New Roman" w:hAnsi="Times New Roman" w:cs="Times New Roman"/>
          <w:sz w:val="20"/>
          <w:szCs w:val="20"/>
        </w:rPr>
        <w:t xml:space="preserve"> 267</w:t>
      </w:r>
    </w:p>
    <w:p w14:paraId="319D1FC2" w14:textId="7FD1560E"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Northpointe, ‘Practitioner’s Guide to COMPAS Core’ (Guidance, Northpointe, 19 March 2015)</w:t>
      </w:r>
    </w:p>
    <w:p w14:paraId="42D8ACF4" w14:textId="47C49AC7" w:rsidR="00FF32FC" w:rsidRPr="00C462C9" w:rsidRDefault="00FF32FC" w:rsidP="005822EE">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Frank Pasquale, ‘A Rule of Persons, Not Machines: The Limits of Legal Automation’ [2018] </w:t>
      </w:r>
      <w:r w:rsidRPr="00C462C9">
        <w:rPr>
          <w:rFonts w:ascii="Times New Roman" w:hAnsi="Times New Roman" w:cs="Times New Roman"/>
          <w:i/>
          <w:iCs/>
          <w:sz w:val="20"/>
          <w:szCs w:val="20"/>
        </w:rPr>
        <w:t>Faculty Scholarship</w:t>
      </w:r>
      <w:r w:rsidRPr="00C462C9">
        <w:rPr>
          <w:rFonts w:ascii="Times New Roman" w:hAnsi="Times New Roman" w:cs="Times New Roman"/>
          <w:sz w:val="20"/>
          <w:szCs w:val="20"/>
        </w:rPr>
        <w:t xml:space="preserve"> 3 &lt;https://digitalcommons.law.umaryland.edu/fac_pubs/1612&gt;</w:t>
      </w:r>
    </w:p>
    <w:p w14:paraId="4F2AB659" w14:textId="01A6A81E" w:rsidR="00B15325" w:rsidRPr="00C462C9" w:rsidRDefault="00B15325" w:rsidP="005822EE">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Pi, Daniel, Francesco Parisi and Barbara Luppi, </w:t>
      </w:r>
      <w:r w:rsidRPr="00C462C9">
        <w:rPr>
          <w:rFonts w:ascii="Times New Roman" w:hAnsi="Times New Roman" w:cs="Times New Roman"/>
          <w:i/>
          <w:iCs/>
          <w:sz w:val="20"/>
          <w:szCs w:val="20"/>
        </w:rPr>
        <w:t>Quantifying Reasonable Doubt</w:t>
      </w:r>
      <w:r w:rsidRPr="00C462C9">
        <w:rPr>
          <w:rFonts w:ascii="Times New Roman" w:hAnsi="Times New Roman" w:cs="Times New Roman"/>
          <w:sz w:val="20"/>
          <w:szCs w:val="20"/>
        </w:rPr>
        <w:t xml:space="preserve"> (SSRN Scholarly Paper No ID 3226479, Social Science Research Network, 5 August 2018) &lt;https://papers.ssrn.com/abstract=3226479&gt;</w:t>
      </w:r>
    </w:p>
    <w:p w14:paraId="03BC18DF" w14:textId="3F7CD5A1" w:rsidR="00EB10B4" w:rsidRPr="00C462C9" w:rsidRDefault="00EB10B4" w:rsidP="005822EE">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Popovič, Anton, ‘Aspects of Metatext’ [1976] </w:t>
      </w:r>
      <w:r w:rsidRPr="00C462C9">
        <w:rPr>
          <w:rFonts w:ascii="Times New Roman" w:hAnsi="Times New Roman" w:cs="Times New Roman"/>
          <w:i/>
          <w:iCs/>
          <w:sz w:val="20"/>
          <w:szCs w:val="20"/>
        </w:rPr>
        <w:t>Canadian Review of Comparative Literature</w:t>
      </w:r>
      <w:r w:rsidRPr="00C462C9">
        <w:rPr>
          <w:rFonts w:ascii="Times New Roman" w:hAnsi="Times New Roman" w:cs="Times New Roman"/>
          <w:sz w:val="20"/>
          <w:szCs w:val="20"/>
        </w:rPr>
        <w:t xml:space="preserve"> 225</w:t>
      </w:r>
    </w:p>
    <w:p w14:paraId="331C5483" w14:textId="0FA998E3" w:rsidR="00EB10B4" w:rsidRPr="00C462C9" w:rsidRDefault="00EB10B4" w:rsidP="005822EE">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Popovič, Anton, </w:t>
      </w:r>
      <w:r w:rsidRPr="00C462C9">
        <w:rPr>
          <w:rFonts w:ascii="Times New Roman" w:hAnsi="Times New Roman" w:cs="Times New Roman"/>
          <w:i/>
          <w:iCs/>
          <w:sz w:val="20"/>
          <w:szCs w:val="20"/>
        </w:rPr>
        <w:t>La Scienza Della Traduzione: Aspetti Metodologici, La Comunicazione Traduttiva  [The Science of Translation: Methods and Translation as a Form of Communication]</w:t>
      </w:r>
      <w:r w:rsidRPr="00C462C9">
        <w:rPr>
          <w:rFonts w:ascii="Times New Roman" w:hAnsi="Times New Roman" w:cs="Times New Roman"/>
          <w:sz w:val="20"/>
          <w:szCs w:val="20"/>
        </w:rPr>
        <w:t>, tr Bruno Osimo (Casa Editrice Hoepli, 1975)</w:t>
      </w:r>
    </w:p>
    <w:p w14:paraId="6722A8FC" w14:textId="4C3AB845" w:rsidR="005822EE" w:rsidRPr="00C462C9" w:rsidRDefault="005822EE" w:rsidP="005822EE">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Posner, Richard A., ‘Nine Theories of Judicial Behavior’ in </w:t>
      </w:r>
      <w:r w:rsidRPr="00C462C9">
        <w:rPr>
          <w:rFonts w:ascii="Times New Roman" w:hAnsi="Times New Roman" w:cs="Times New Roman"/>
          <w:i/>
          <w:iCs/>
          <w:sz w:val="20"/>
          <w:szCs w:val="20"/>
        </w:rPr>
        <w:t>How Judges Think</w:t>
      </w:r>
      <w:r w:rsidRPr="00C462C9">
        <w:rPr>
          <w:rFonts w:ascii="Times New Roman" w:hAnsi="Times New Roman" w:cs="Times New Roman"/>
          <w:sz w:val="20"/>
          <w:szCs w:val="20"/>
        </w:rPr>
        <w:t xml:space="preserve"> (Harvard University Press, 2008) 19, 42 &lt;https://www.jstor.org/stable/j.ctvjk2w91.4&gt;</w:t>
      </w:r>
    </w:p>
    <w:p w14:paraId="2FF27F4D" w14:textId="5B1A4A6C"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ProPublica, </w:t>
      </w:r>
      <w:r w:rsidRPr="00C462C9">
        <w:rPr>
          <w:rFonts w:ascii="Times New Roman" w:hAnsi="Times New Roman" w:cs="Times New Roman"/>
          <w:i/>
          <w:iCs/>
          <w:sz w:val="20"/>
          <w:szCs w:val="20"/>
        </w:rPr>
        <w:t>COMPAS Recidivism Risk Score Data and Analysis</w:t>
      </w:r>
      <w:r w:rsidRPr="00C462C9">
        <w:rPr>
          <w:rFonts w:ascii="Times New Roman" w:hAnsi="Times New Roman" w:cs="Times New Roman"/>
          <w:sz w:val="20"/>
          <w:szCs w:val="20"/>
        </w:rPr>
        <w:t xml:space="preserve"> (Dataset, March 2020) &lt;https://propublica.org/datastore/dataset/compas-recidivism-risk-score-data-and-analysis&gt;</w:t>
      </w:r>
    </w:p>
    <w:p w14:paraId="1E8A69A2" w14:textId="6ECCE96E" w:rsidR="006B1479" w:rsidRPr="00C462C9" w:rsidRDefault="006B1479"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Robertson, Colin, ‘EU Legislative Texts and Translation’ in </w:t>
      </w:r>
      <w:r w:rsidRPr="00C462C9">
        <w:rPr>
          <w:rFonts w:ascii="Times New Roman" w:hAnsi="Times New Roman" w:cs="Times New Roman"/>
          <w:i/>
          <w:iCs/>
          <w:sz w:val="20"/>
          <w:szCs w:val="20"/>
        </w:rPr>
        <w:t>The Ashgate Handbook of Legal Translation</w:t>
      </w:r>
      <w:r w:rsidRPr="00C462C9">
        <w:rPr>
          <w:rFonts w:ascii="Times New Roman" w:hAnsi="Times New Roman" w:cs="Times New Roman"/>
          <w:sz w:val="20"/>
          <w:szCs w:val="20"/>
        </w:rPr>
        <w:t xml:space="preserve"> (Routledge, 2016) 155 &lt;https://www-taylorfrancis-com.ezp01.library.qut.edu.au/books/e/9781315612706&gt;</w:t>
      </w:r>
    </w:p>
    <w:p w14:paraId="0B13C3D1" w14:textId="77374621"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Roth, Martha T, and Harry A Hoffner, </w:t>
      </w:r>
      <w:r w:rsidRPr="00C462C9">
        <w:rPr>
          <w:rFonts w:ascii="Times New Roman" w:hAnsi="Times New Roman" w:cs="Times New Roman"/>
          <w:i/>
          <w:iCs/>
          <w:sz w:val="20"/>
          <w:szCs w:val="20"/>
        </w:rPr>
        <w:t>Law Collections from Mesopotamia and Asia Minor</w:t>
      </w:r>
      <w:r w:rsidRPr="00C462C9">
        <w:rPr>
          <w:rFonts w:ascii="Times New Roman" w:hAnsi="Times New Roman" w:cs="Times New Roman"/>
          <w:sz w:val="20"/>
          <w:szCs w:val="20"/>
        </w:rPr>
        <w:t xml:space="preserve"> (Society of Biblical Literature, 2nd ed, 1997)</w:t>
      </w:r>
    </w:p>
    <w:p w14:paraId="104BEF23" w14:textId="77777777"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Sam Smith, ‘Regtech Spending to Reach $127 Billion by 2024, as AI Drives Cost Savings’, </w:t>
      </w:r>
      <w:r w:rsidRPr="00C462C9">
        <w:rPr>
          <w:rFonts w:ascii="Times New Roman" w:hAnsi="Times New Roman" w:cs="Times New Roman"/>
          <w:i/>
          <w:iCs/>
          <w:sz w:val="20"/>
          <w:szCs w:val="20"/>
        </w:rPr>
        <w:t>Juniper Research</w:t>
      </w:r>
      <w:r w:rsidRPr="00C462C9">
        <w:rPr>
          <w:rFonts w:ascii="Times New Roman" w:hAnsi="Times New Roman" w:cs="Times New Roman"/>
          <w:sz w:val="20"/>
          <w:szCs w:val="20"/>
        </w:rPr>
        <w:t xml:space="preserve"> (24 September 2019) &lt;https://www.juniperresearch.com/press/press-releases/regtech-spending-to-reach-$127-billion-by-2024&gt;</w:t>
      </w:r>
    </w:p>
    <w:p w14:paraId="429B2CFC" w14:textId="50CABE2B" w:rsidR="00FF32FC" w:rsidRPr="00C462C9" w:rsidRDefault="00FF32FC" w:rsidP="001F131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lastRenderedPageBreak/>
        <w:t>Sanson, Michelle, Statutory Interpretation (Oxford University Press, 2016) &lt;http://ebookcentral.proquest.com/lib/qut/detail.action?docID=5676439&gt;</w:t>
      </w:r>
    </w:p>
    <w:p w14:paraId="2423CA2E" w14:textId="0C0FF9F7" w:rsidR="006B1479" w:rsidRPr="00C462C9" w:rsidRDefault="006B1479" w:rsidP="001F131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Sarcevic, ‘Creativity in Legal Translation: How Much Is Too Much?’ in </w:t>
      </w:r>
      <w:r w:rsidRPr="00C462C9">
        <w:rPr>
          <w:rFonts w:ascii="Times New Roman" w:hAnsi="Times New Roman" w:cs="Times New Roman"/>
          <w:i/>
          <w:iCs/>
          <w:sz w:val="20"/>
          <w:szCs w:val="20"/>
        </w:rPr>
        <w:t>Translation in Context: Selected Contributions from the EST Congress, Granada, 1998</w:t>
      </w:r>
      <w:r w:rsidRPr="00C462C9">
        <w:rPr>
          <w:rFonts w:ascii="Times New Roman" w:hAnsi="Times New Roman" w:cs="Times New Roman"/>
          <w:sz w:val="20"/>
          <w:szCs w:val="20"/>
        </w:rPr>
        <w:t xml:space="preserve"> (John Benjamins Publishing, 2000) 281</w:t>
      </w:r>
    </w:p>
    <w:p w14:paraId="4D13B27D" w14:textId="2D620342" w:rsidR="006B1479" w:rsidRPr="00C462C9" w:rsidRDefault="006B1479" w:rsidP="001F131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Sarcevic, Susan, </w:t>
      </w:r>
      <w:r w:rsidRPr="00C462C9">
        <w:rPr>
          <w:rFonts w:ascii="Times New Roman" w:hAnsi="Times New Roman" w:cs="Times New Roman"/>
          <w:i/>
          <w:iCs/>
          <w:sz w:val="20"/>
          <w:szCs w:val="20"/>
        </w:rPr>
        <w:t>New Approach To Legal Translation</w:t>
      </w:r>
      <w:r w:rsidRPr="00C462C9">
        <w:rPr>
          <w:rFonts w:ascii="Times New Roman" w:hAnsi="Times New Roman" w:cs="Times New Roman"/>
          <w:sz w:val="20"/>
          <w:szCs w:val="20"/>
        </w:rPr>
        <w:t xml:space="preserve"> (Kluwer Law International, 1st Edition, 1997)</w:t>
      </w:r>
    </w:p>
    <w:p w14:paraId="0B6365CF" w14:textId="53D92956" w:rsidR="00B15325" w:rsidRPr="00C462C9" w:rsidRDefault="00B15325" w:rsidP="001F131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Saunders, Harry, ‘Quantifying Reasonable Doubt: A Proposed Solution to an Equal Protection Problem’ [2005] </w:t>
      </w:r>
      <w:r w:rsidRPr="00C462C9">
        <w:rPr>
          <w:rFonts w:ascii="Times New Roman" w:hAnsi="Times New Roman" w:cs="Times New Roman"/>
          <w:i/>
          <w:iCs/>
          <w:sz w:val="20"/>
          <w:szCs w:val="20"/>
        </w:rPr>
        <w:t>bepress Legal Series</w:t>
      </w:r>
      <w:r w:rsidRPr="00C462C9">
        <w:rPr>
          <w:rFonts w:ascii="Times New Roman" w:hAnsi="Times New Roman" w:cs="Times New Roman"/>
          <w:sz w:val="20"/>
          <w:szCs w:val="20"/>
        </w:rPr>
        <w:t xml:space="preserve"> &lt;https://law.bepress.com/expresso/eps/881&gt;</w:t>
      </w:r>
    </w:p>
    <w:p w14:paraId="0B99D5B3" w14:textId="09869734" w:rsidR="001F1318" w:rsidRPr="00C462C9" w:rsidRDefault="001F1318" w:rsidP="001F131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Schizas, Emmanuel et al, </w:t>
      </w:r>
      <w:r w:rsidRPr="00C462C9">
        <w:rPr>
          <w:rFonts w:ascii="Times New Roman" w:hAnsi="Times New Roman" w:cs="Times New Roman"/>
          <w:i/>
          <w:iCs/>
          <w:sz w:val="20"/>
          <w:szCs w:val="20"/>
        </w:rPr>
        <w:t>The Global RegTech Industry Benchmark Report</w:t>
      </w:r>
      <w:r w:rsidRPr="00C462C9">
        <w:rPr>
          <w:rFonts w:ascii="Times New Roman" w:hAnsi="Times New Roman" w:cs="Times New Roman"/>
          <w:sz w:val="20"/>
          <w:szCs w:val="20"/>
        </w:rPr>
        <w:t xml:space="preserve"> (SSRN Scholarly Paper No ID 3560811, Social Science Research Network, 30 June 2019) &lt;https://papers.ssrn.com/abstract=3560811&gt;</w:t>
      </w:r>
    </w:p>
    <w:p w14:paraId="3B0FA66A" w14:textId="7F666BBC" w:rsidR="00B15325" w:rsidRPr="00C462C9" w:rsidRDefault="00B15325" w:rsidP="00141674">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Schomer, Donald L, Fernando H Lopes da Silva, </w:t>
      </w:r>
      <w:r w:rsidRPr="00C462C9">
        <w:rPr>
          <w:rFonts w:ascii="Times New Roman" w:hAnsi="Times New Roman" w:cs="Times New Roman"/>
          <w:i/>
          <w:iCs/>
          <w:sz w:val="20"/>
          <w:szCs w:val="20"/>
        </w:rPr>
        <w:t>Niedermeyer’s Electroencephalography: Basic Principles, Clinical Applications, and Related Fields</w:t>
      </w:r>
      <w:r w:rsidRPr="00C462C9">
        <w:rPr>
          <w:rFonts w:ascii="Times New Roman" w:hAnsi="Times New Roman" w:cs="Times New Roman"/>
          <w:sz w:val="20"/>
          <w:szCs w:val="20"/>
        </w:rPr>
        <w:t xml:space="preserve"> (Lippincott Williams &amp; Wilkins, 6th ed, 2010)</w:t>
      </w:r>
    </w:p>
    <w:p w14:paraId="174006B5" w14:textId="6B54AAC8" w:rsidR="00235AFC" w:rsidRPr="00C462C9" w:rsidRDefault="00235AFC" w:rsidP="00141674">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Senate Standing Committees on Community Affairs, Parliament of Australia, </w:t>
      </w:r>
      <w:r w:rsidRPr="00C462C9">
        <w:rPr>
          <w:rFonts w:ascii="Times New Roman" w:hAnsi="Times New Roman" w:cs="Times New Roman"/>
          <w:i/>
          <w:iCs/>
          <w:sz w:val="20"/>
          <w:szCs w:val="20"/>
        </w:rPr>
        <w:t xml:space="preserve">Design, scope, cost-benefit analysis, contracts awarded and implementation associated with the Better Management of the Social Welfare System initiative </w:t>
      </w:r>
      <w:r w:rsidRPr="00C462C9">
        <w:rPr>
          <w:rFonts w:ascii="Times New Roman" w:hAnsi="Times New Roman" w:cs="Times New Roman"/>
          <w:sz w:val="20"/>
          <w:szCs w:val="20"/>
        </w:rPr>
        <w:t>(Report, June 2017) &lt;https://www.aph.gov.au/Parliamentary_Business/Committees/Senate/Community_Affairs/SocialWelfareSystem/Report&gt;</w:t>
      </w:r>
    </w:p>
    <w:p w14:paraId="4C21CCC2" w14:textId="414C9895" w:rsidR="005822EE" w:rsidRPr="00C462C9" w:rsidRDefault="005822EE" w:rsidP="00141674">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Sergot, Marek, et al, ‘The British Nationality Act as a Logic Program’ (1986) 29 </w:t>
      </w:r>
      <w:r w:rsidRPr="00C462C9">
        <w:rPr>
          <w:rFonts w:ascii="Times New Roman" w:hAnsi="Times New Roman" w:cs="Times New Roman"/>
          <w:i/>
          <w:iCs/>
          <w:sz w:val="20"/>
          <w:szCs w:val="20"/>
        </w:rPr>
        <w:t>Communications of the ACM</w:t>
      </w:r>
      <w:r w:rsidRPr="00C462C9">
        <w:rPr>
          <w:rFonts w:ascii="Times New Roman" w:hAnsi="Times New Roman" w:cs="Times New Roman"/>
          <w:sz w:val="20"/>
          <w:szCs w:val="20"/>
        </w:rPr>
        <w:t xml:space="preserve"> 370</w:t>
      </w:r>
    </w:p>
    <w:p w14:paraId="32865D5A" w14:textId="3CACBAA9" w:rsidR="00B15325" w:rsidRPr="00C462C9" w:rsidRDefault="00B15325" w:rsidP="00141674">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Solan, Lawrence, ‘The Interpretation of Multilingual Statutes by the European Court of Justice’ (2009) 34(2) </w:t>
      </w:r>
      <w:r w:rsidRPr="00C462C9">
        <w:rPr>
          <w:rFonts w:ascii="Times New Roman" w:hAnsi="Times New Roman" w:cs="Times New Roman"/>
          <w:i/>
          <w:iCs/>
          <w:sz w:val="20"/>
          <w:szCs w:val="20"/>
        </w:rPr>
        <w:t>Brooklyn Journal of International Law</w:t>
      </w:r>
      <w:r w:rsidRPr="00C462C9">
        <w:rPr>
          <w:rFonts w:ascii="Times New Roman" w:hAnsi="Times New Roman" w:cs="Times New Roman"/>
          <w:sz w:val="20"/>
          <w:szCs w:val="20"/>
        </w:rPr>
        <w:t xml:space="preserve"> 277</w:t>
      </w:r>
    </w:p>
    <w:p w14:paraId="47B90D69" w14:textId="34E6D8FA"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Starr,</w:t>
      </w:r>
      <w:r w:rsidR="00DD6466" w:rsidRPr="00C462C9">
        <w:rPr>
          <w:rFonts w:ascii="Times New Roman" w:hAnsi="Times New Roman" w:cs="Times New Roman"/>
          <w:sz w:val="20"/>
          <w:szCs w:val="20"/>
        </w:rPr>
        <w:t xml:space="preserve"> Sonja,</w:t>
      </w:r>
      <w:r w:rsidRPr="00C462C9">
        <w:rPr>
          <w:rFonts w:ascii="Times New Roman" w:hAnsi="Times New Roman" w:cs="Times New Roman"/>
          <w:sz w:val="20"/>
          <w:szCs w:val="20"/>
        </w:rPr>
        <w:t xml:space="preserve"> ‘Evidence-Based Sentencing and the Scientific Rationalization of Discrimination’ (2014) 66(4) </w:t>
      </w:r>
      <w:r w:rsidRPr="00C462C9">
        <w:rPr>
          <w:rFonts w:ascii="Times New Roman" w:hAnsi="Times New Roman" w:cs="Times New Roman"/>
          <w:i/>
          <w:iCs/>
          <w:sz w:val="20"/>
          <w:szCs w:val="20"/>
        </w:rPr>
        <w:t>Stanford Law Review</w:t>
      </w:r>
      <w:r w:rsidRPr="00C462C9">
        <w:rPr>
          <w:rFonts w:ascii="Times New Roman" w:hAnsi="Times New Roman" w:cs="Times New Roman"/>
          <w:sz w:val="20"/>
          <w:szCs w:val="20"/>
        </w:rPr>
        <w:t xml:space="preserve"> 803</w:t>
      </w:r>
    </w:p>
    <w:p w14:paraId="378FFAEB" w14:textId="26F3561A" w:rsidR="005822EE" w:rsidRPr="00C462C9" w:rsidRDefault="005822EE" w:rsidP="0037367B">
      <w:pPr>
        <w:spacing w:line="480" w:lineRule="auto"/>
        <w:ind w:firstLine="720"/>
        <w:rPr>
          <w:rFonts w:ascii="Times New Roman" w:hAnsi="Times New Roman" w:cs="Times New Roman"/>
          <w:i/>
          <w:iCs/>
          <w:sz w:val="20"/>
          <w:szCs w:val="20"/>
        </w:rPr>
      </w:pPr>
      <w:r w:rsidRPr="00C462C9">
        <w:rPr>
          <w:rFonts w:ascii="Times New Roman" w:hAnsi="Times New Roman" w:cs="Times New Roman"/>
          <w:sz w:val="20"/>
          <w:szCs w:val="20"/>
        </w:rPr>
        <w:t xml:space="preserve">Tamanaha, Brian Z., ‘INTRODUCTION’ in </w:t>
      </w:r>
      <w:r w:rsidRPr="00C462C9">
        <w:rPr>
          <w:rFonts w:ascii="Times New Roman" w:hAnsi="Times New Roman" w:cs="Times New Roman"/>
          <w:i/>
          <w:iCs/>
          <w:sz w:val="20"/>
          <w:szCs w:val="20"/>
        </w:rPr>
        <w:t>Beyond the Formalist-Realist Divide</w:t>
      </w:r>
      <w:r w:rsidRPr="00C462C9">
        <w:rPr>
          <w:rFonts w:ascii="Times New Roman" w:hAnsi="Times New Roman" w:cs="Times New Roman"/>
          <w:sz w:val="20"/>
          <w:szCs w:val="20"/>
        </w:rPr>
        <w:t xml:space="preserve"> (Princeton University Press, 2010) 1 &lt;https://www.jstor.org/stable/j.ctt7rm95.4&gt;</w:t>
      </w:r>
    </w:p>
    <w:p w14:paraId="5DFBAB07" w14:textId="43B22ED1" w:rsidR="001F1318" w:rsidRPr="00C462C9" w:rsidRDefault="001F1318" w:rsidP="0037367B">
      <w:pPr>
        <w:spacing w:line="480" w:lineRule="auto"/>
        <w:ind w:firstLine="720"/>
        <w:rPr>
          <w:rFonts w:ascii="Times New Roman" w:hAnsi="Times New Roman" w:cs="Times New Roman"/>
          <w:i/>
          <w:iCs/>
          <w:sz w:val="20"/>
          <w:szCs w:val="20"/>
        </w:rPr>
      </w:pPr>
      <w:r w:rsidRPr="00C462C9">
        <w:rPr>
          <w:rFonts w:ascii="Times New Roman" w:hAnsi="Times New Roman" w:cs="Times New Roman"/>
          <w:sz w:val="20"/>
          <w:szCs w:val="20"/>
        </w:rPr>
        <w:t xml:space="preserve">Waldron, Jeremy, ‘The Rule of Law’ in Edward N Zalta (ed), </w:t>
      </w:r>
      <w:r w:rsidRPr="00C462C9">
        <w:rPr>
          <w:rFonts w:ascii="Times New Roman" w:hAnsi="Times New Roman" w:cs="Times New Roman"/>
          <w:i/>
          <w:iCs/>
          <w:sz w:val="20"/>
          <w:szCs w:val="20"/>
        </w:rPr>
        <w:t>The Stanford Encyclopedia of Philosophy</w:t>
      </w:r>
      <w:r w:rsidRPr="00C462C9">
        <w:rPr>
          <w:rFonts w:ascii="Times New Roman" w:hAnsi="Times New Roman" w:cs="Times New Roman"/>
          <w:sz w:val="20"/>
          <w:szCs w:val="20"/>
        </w:rPr>
        <w:t xml:space="preserve"> (Metaphysics Research Lab, Stanford University, 2020) &lt;https://plato.stanford.edu/archives/sum2020/entries/rule-of-law/&gt;</w:t>
      </w:r>
    </w:p>
    <w:p w14:paraId="529DA844" w14:textId="1D3038B1"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lastRenderedPageBreak/>
        <w:t>West’s Encyclopedia of American Law</w:t>
      </w:r>
      <w:r w:rsidRPr="00C462C9">
        <w:rPr>
          <w:rFonts w:ascii="Times New Roman" w:hAnsi="Times New Roman" w:cs="Times New Roman"/>
          <w:sz w:val="20"/>
          <w:szCs w:val="20"/>
        </w:rPr>
        <w:t xml:space="preserve"> (online at 25 August 2020) ‘formalism’</w:t>
      </w:r>
    </w:p>
    <w:p w14:paraId="55630209" w14:textId="1E08CC98"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Westpac Banking Corporation, ‘Westpac Releases Findings into Austrac Statement of Claim’ (4 June 2020)</w:t>
      </w:r>
    </w:p>
    <w:p w14:paraId="5251FAF8" w14:textId="1225784E" w:rsidR="005822EE" w:rsidRPr="00C462C9" w:rsidRDefault="005822EE"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Wolfram, Stephen, ‘Computational Law, Symbolic Discourse, and the AI Constitution’ in </w:t>
      </w:r>
      <w:r w:rsidRPr="00C462C9">
        <w:rPr>
          <w:rFonts w:ascii="Times New Roman" w:hAnsi="Times New Roman" w:cs="Times New Roman"/>
          <w:i/>
          <w:iCs/>
          <w:sz w:val="20"/>
          <w:szCs w:val="20"/>
        </w:rPr>
        <w:t>Ethics of Artificial Intelligence</w:t>
      </w:r>
      <w:r w:rsidRPr="00C462C9">
        <w:rPr>
          <w:rFonts w:ascii="Times New Roman" w:hAnsi="Times New Roman" w:cs="Times New Roman"/>
          <w:sz w:val="20"/>
          <w:szCs w:val="20"/>
        </w:rPr>
        <w:t xml:space="preserve"> (Oxford University Press, 2020) 155</w:t>
      </w:r>
    </w:p>
    <w:p w14:paraId="4284FCDC" w14:textId="2F0271AE" w:rsidR="005165E4" w:rsidRPr="00C462C9" w:rsidRDefault="005165E4" w:rsidP="0037367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Zhou, Lina, Judee K. Burgoon, Douglas P. Twitchell, Tiantian Qin, Jay F. Nunamaker, ‘A Comparison of Classification Methods for Predicting Deception in Computer-Mediated Communication’ 20(4) </w:t>
      </w:r>
      <w:r w:rsidRPr="00C462C9">
        <w:rPr>
          <w:rFonts w:ascii="Times New Roman" w:hAnsi="Times New Roman" w:cs="Times New Roman"/>
          <w:i/>
          <w:iCs/>
          <w:sz w:val="20"/>
          <w:szCs w:val="20"/>
        </w:rPr>
        <w:t xml:space="preserve">Journal of Management Information </w:t>
      </w:r>
      <w:r w:rsidRPr="00C462C9">
        <w:rPr>
          <w:rFonts w:ascii="Times New Roman" w:hAnsi="Times New Roman" w:cs="Times New Roman"/>
          <w:sz w:val="20"/>
          <w:szCs w:val="20"/>
        </w:rPr>
        <w:t>Systems 139.</w:t>
      </w:r>
    </w:p>
    <w:p w14:paraId="1DD06151" w14:textId="77777777" w:rsidR="00157B24" w:rsidRPr="00157B24" w:rsidRDefault="00157B24" w:rsidP="0037367B">
      <w:pPr>
        <w:spacing w:line="480" w:lineRule="auto"/>
        <w:jc w:val="center"/>
        <w:rPr>
          <w:rFonts w:ascii="Times New Roman" w:hAnsi="Times New Roman" w:cs="Times New Roman"/>
          <w:sz w:val="20"/>
          <w:szCs w:val="20"/>
        </w:rPr>
      </w:pPr>
    </w:p>
    <w:p w14:paraId="6C0FF8B9" w14:textId="7DC8DCED" w:rsidR="0037367B" w:rsidRPr="00157B24" w:rsidRDefault="0037367B" w:rsidP="0037367B">
      <w:pPr>
        <w:spacing w:line="480" w:lineRule="auto"/>
        <w:jc w:val="center"/>
        <w:rPr>
          <w:rFonts w:ascii="Times New Roman" w:hAnsi="Times New Roman" w:cs="Times New Roman"/>
          <w:i/>
          <w:iCs/>
          <w:sz w:val="24"/>
          <w:szCs w:val="24"/>
        </w:rPr>
      </w:pPr>
      <w:r w:rsidRPr="00157B24">
        <w:rPr>
          <w:rFonts w:ascii="Times New Roman" w:hAnsi="Times New Roman" w:cs="Times New Roman"/>
          <w:sz w:val="24"/>
          <w:szCs w:val="24"/>
        </w:rPr>
        <w:t xml:space="preserve">B </w:t>
      </w:r>
      <w:r w:rsidRPr="00157B24">
        <w:rPr>
          <w:rFonts w:ascii="Times New Roman" w:hAnsi="Times New Roman" w:cs="Times New Roman"/>
          <w:i/>
          <w:iCs/>
          <w:sz w:val="24"/>
          <w:szCs w:val="24"/>
        </w:rPr>
        <w:t>Cases</w:t>
      </w:r>
    </w:p>
    <w:p w14:paraId="6C2D1830" w14:textId="69D45B46" w:rsidR="00AB3E6B" w:rsidRPr="00C462C9" w:rsidRDefault="00AB3E6B"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Australian National Airways Pty Ltd v Commonwealth (No 1) (‘Airlines Nationalisation case’)</w:t>
      </w:r>
      <w:r w:rsidRPr="00C462C9">
        <w:rPr>
          <w:rFonts w:ascii="Times New Roman" w:hAnsi="Times New Roman" w:cs="Times New Roman"/>
          <w:sz w:val="20"/>
          <w:szCs w:val="20"/>
        </w:rPr>
        <w:t xml:space="preserve"> (1945) 71 CLR 29</w:t>
      </w:r>
    </w:p>
    <w:p w14:paraId="0037C339" w14:textId="76490778" w:rsidR="00AB3E6B" w:rsidRPr="00C462C9" w:rsidRDefault="00AB3E6B"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Australian Securities and Investment Commission v Channic Pty Ltd (No 4) </w:t>
      </w:r>
      <w:r w:rsidRPr="00C462C9">
        <w:rPr>
          <w:rFonts w:ascii="Times New Roman" w:hAnsi="Times New Roman" w:cs="Times New Roman"/>
          <w:sz w:val="20"/>
          <w:szCs w:val="20"/>
        </w:rPr>
        <w:t>[2016] FCA 1174</w:t>
      </w:r>
    </w:p>
    <w:p w14:paraId="4CFEECC1" w14:textId="41C5E1EA" w:rsidR="00AB3E6B" w:rsidRPr="00C462C9" w:rsidRDefault="00AB3E6B"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Australian Securities and Investments Commission v Cas</w:t>
      </w:r>
      <w:r w:rsidR="00702FCF" w:rsidRPr="00C462C9">
        <w:rPr>
          <w:rFonts w:ascii="Times New Roman" w:hAnsi="Times New Roman" w:cs="Times New Roman"/>
          <w:i/>
          <w:iCs/>
          <w:sz w:val="20"/>
          <w:szCs w:val="20"/>
        </w:rPr>
        <w:t>h</w:t>
      </w:r>
      <w:r w:rsidRPr="00C462C9">
        <w:rPr>
          <w:rFonts w:ascii="Times New Roman" w:hAnsi="Times New Roman" w:cs="Times New Roman"/>
          <w:i/>
          <w:iCs/>
          <w:sz w:val="20"/>
          <w:szCs w:val="20"/>
        </w:rPr>
        <w:t xml:space="preserve"> Store</w:t>
      </w:r>
      <w:r w:rsidR="00702FCF" w:rsidRPr="00C462C9">
        <w:rPr>
          <w:rFonts w:ascii="Times New Roman" w:hAnsi="Times New Roman" w:cs="Times New Roman"/>
          <w:i/>
          <w:iCs/>
          <w:sz w:val="20"/>
          <w:szCs w:val="20"/>
        </w:rPr>
        <w:t xml:space="preserve"> Pty Ltd</w:t>
      </w:r>
      <w:r w:rsidRPr="00C462C9">
        <w:rPr>
          <w:rFonts w:ascii="Times New Roman" w:hAnsi="Times New Roman" w:cs="Times New Roman"/>
          <w:i/>
          <w:iCs/>
          <w:sz w:val="20"/>
          <w:szCs w:val="20"/>
        </w:rPr>
        <w:t xml:space="preserve"> (in liquidation) </w:t>
      </w:r>
      <w:r w:rsidRPr="00C462C9">
        <w:rPr>
          <w:rFonts w:ascii="Times New Roman" w:hAnsi="Times New Roman" w:cs="Times New Roman"/>
          <w:sz w:val="20"/>
          <w:szCs w:val="20"/>
        </w:rPr>
        <w:t>[2014] FCA 926</w:t>
      </w:r>
    </w:p>
    <w:p w14:paraId="302857C9" w14:textId="1BAA5E4B" w:rsidR="002020DF" w:rsidRPr="00C462C9" w:rsidRDefault="002020DF"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Australian Securities and Investments Commission v Westpac Banking Corporation </w:t>
      </w:r>
      <w:r w:rsidRPr="00C462C9">
        <w:rPr>
          <w:rFonts w:ascii="Times New Roman" w:hAnsi="Times New Roman" w:cs="Times New Roman"/>
          <w:sz w:val="20"/>
          <w:szCs w:val="20"/>
        </w:rPr>
        <w:t>(2020) 380 ALR 262</w:t>
      </w:r>
    </w:p>
    <w:p w14:paraId="5658F5C7" w14:textId="2DD9BF44" w:rsidR="00AB3E6B" w:rsidRPr="00C462C9" w:rsidRDefault="00AB3E6B"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Australian Securities and Investments Commission v Westpac Banking Corporation (Liability Trial) </w:t>
      </w:r>
      <w:r w:rsidRPr="00C462C9">
        <w:rPr>
          <w:rFonts w:ascii="Times New Roman" w:hAnsi="Times New Roman" w:cs="Times New Roman"/>
          <w:sz w:val="20"/>
          <w:szCs w:val="20"/>
        </w:rPr>
        <w:t>[2019] FCA 1244</w:t>
      </w:r>
    </w:p>
    <w:p w14:paraId="616C6770" w14:textId="5619C101" w:rsidR="00AB3E6B" w:rsidRPr="00C462C9" w:rsidRDefault="00AB3E6B" w:rsidP="00AB3E6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fldChar w:fldCharType="begin"/>
      </w:r>
      <w:r w:rsidR="001152C3" w:rsidRPr="00C462C9">
        <w:rPr>
          <w:rFonts w:ascii="Times New Roman" w:hAnsi="Times New Roman" w:cs="Times New Roman"/>
          <w:sz w:val="20"/>
          <w:szCs w:val="20"/>
        </w:rPr>
        <w:instrText xml:space="preserve"> ADDIN ZOTERO_ITEM CSL_CITATION {"citationID":"ce2mQjjR","properties":{"formattedCitation":"{\\i{}Case of Prohibitions EWHC KB J23} (1607) 77 ER 1342.","plainCitation":"Case of Prohibitions EWHC KB J23 (1607) 77 ER 1342.","dontUpdate":true,"noteIndex":0},"citationItems":[{"id":94,"uris":["http://zotero.org/users/6782581/items/S73MG3IE"],"uri":["http://zotero.org/users/6782581/items/S73MG3IE"],"itemData":{"id":94,"type":"legal_case","authority":"EWHC (KB)","container-title":"ER","page":"1342","title":"Case of Prohibitions EWHC KB J23","URL":"http://www.bailii.org/ew/cases/EWHC/KB/1607/J23.html","volume":"77","accessed":{"date-parts":[["2020",8,20]]},"issued":{"date-parts":[["1607"]]}}}],"schema":"https://github.com/citation-style-language/schema/raw/master/csl-citation.json"} </w:instrText>
      </w:r>
      <w:r w:rsidRPr="00C462C9">
        <w:rPr>
          <w:rFonts w:ascii="Times New Roman" w:hAnsi="Times New Roman" w:cs="Times New Roman"/>
          <w:sz w:val="20"/>
          <w:szCs w:val="20"/>
        </w:rPr>
        <w:fldChar w:fldCharType="separate"/>
      </w:r>
      <w:r w:rsidRPr="00C462C9">
        <w:rPr>
          <w:rFonts w:ascii="Times New Roman" w:hAnsi="Times New Roman" w:cs="Times New Roman"/>
          <w:i/>
          <w:iCs/>
          <w:sz w:val="20"/>
          <w:szCs w:val="20"/>
        </w:rPr>
        <w:t>Case of Prohibitions EWHC KB J23</w:t>
      </w:r>
      <w:r w:rsidRPr="00C462C9">
        <w:rPr>
          <w:rFonts w:ascii="Times New Roman" w:hAnsi="Times New Roman" w:cs="Times New Roman"/>
          <w:sz w:val="20"/>
          <w:szCs w:val="20"/>
        </w:rPr>
        <w:t xml:space="preserve"> (1607) 77 ER 1342</w:t>
      </w:r>
      <w:r w:rsidRPr="00C462C9">
        <w:rPr>
          <w:rFonts w:ascii="Times New Roman" w:hAnsi="Times New Roman" w:cs="Times New Roman"/>
          <w:sz w:val="20"/>
          <w:szCs w:val="20"/>
        </w:rPr>
        <w:fldChar w:fldCharType="end"/>
      </w:r>
    </w:p>
    <w:p w14:paraId="350E3076" w14:textId="686636EC" w:rsidR="00FF32FC" w:rsidRPr="00C462C9" w:rsidRDefault="00FF32FC"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Chu Kheng Lim v Minister for Immigration </w:t>
      </w:r>
      <w:r w:rsidRPr="00C462C9">
        <w:rPr>
          <w:rFonts w:ascii="Times New Roman" w:hAnsi="Times New Roman" w:cs="Times New Roman"/>
          <w:sz w:val="20"/>
          <w:szCs w:val="20"/>
        </w:rPr>
        <w:t>(1992) 176 CLR 1</w:t>
      </w:r>
    </w:p>
    <w:p w14:paraId="44C2EBC7" w14:textId="04DC0657" w:rsidR="005165E4" w:rsidRPr="00C462C9" w:rsidRDefault="005165E4"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CIC Insurance Ltd v Bankstown Football Club Ltd</w:t>
      </w:r>
      <w:r w:rsidRPr="00C462C9">
        <w:rPr>
          <w:rFonts w:ascii="Times New Roman" w:hAnsi="Times New Roman" w:cs="Times New Roman"/>
          <w:sz w:val="20"/>
          <w:szCs w:val="20"/>
        </w:rPr>
        <w:t xml:space="preserve"> (1997) 187 CLR 384</w:t>
      </w:r>
    </w:p>
    <w:p w14:paraId="033D49A4" w14:textId="2360F052" w:rsidR="00AB3E6B" w:rsidRPr="00C462C9" w:rsidRDefault="00AB3E6B"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Commission of the European Union v United Kingdom of Great Britain and Northern </w:t>
      </w:r>
      <w:r w:rsidRPr="00C462C9">
        <w:rPr>
          <w:rFonts w:ascii="Times New Roman" w:hAnsi="Times New Roman" w:cs="Times New Roman"/>
          <w:sz w:val="20"/>
          <w:szCs w:val="20"/>
        </w:rPr>
        <w:t>(C-416/85) [1988] ECR 3127</w:t>
      </w:r>
    </w:p>
    <w:p w14:paraId="58F039DA" w14:textId="0BE55B12" w:rsidR="00B15325" w:rsidRPr="00C462C9" w:rsidRDefault="00B15325"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Commonwealth v Rosa </w:t>
      </w:r>
      <w:r w:rsidRPr="00C462C9">
        <w:rPr>
          <w:rFonts w:ascii="Times New Roman" w:hAnsi="Times New Roman" w:cs="Times New Roman"/>
          <w:sz w:val="20"/>
          <w:szCs w:val="20"/>
        </w:rPr>
        <w:t>661 NE 2d 56 (1996)</w:t>
      </w:r>
    </w:p>
    <w:p w14:paraId="44EF5BAF" w14:textId="2D9D2004" w:rsidR="00AB3E6B" w:rsidRPr="00C462C9" w:rsidRDefault="00AB3E6B"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lastRenderedPageBreak/>
        <w:t xml:space="preserve">Elefanten Schuh GmbH v Pierre Jacqmain </w:t>
      </w:r>
      <w:r w:rsidRPr="00C462C9">
        <w:rPr>
          <w:rFonts w:ascii="Times New Roman" w:hAnsi="Times New Roman" w:cs="Times New Roman"/>
          <w:sz w:val="20"/>
          <w:szCs w:val="20"/>
        </w:rPr>
        <w:t>(C-150/80) [1981] ECR 1671</w:t>
      </w:r>
    </w:p>
    <w:p w14:paraId="11DE5236" w14:textId="1904AE59" w:rsidR="00AB3E6B" w:rsidRPr="00C462C9" w:rsidRDefault="00AB3E6B" w:rsidP="00AB3E6B">
      <w:pPr>
        <w:spacing w:line="480" w:lineRule="auto"/>
        <w:ind w:firstLine="720"/>
        <w:rPr>
          <w:rFonts w:ascii="Times New Roman" w:hAnsi="Times New Roman" w:cs="Times New Roman"/>
          <w:sz w:val="20"/>
          <w:szCs w:val="20"/>
        </w:rPr>
      </w:pPr>
      <w:r w:rsidRPr="00C462C9">
        <w:rPr>
          <w:rFonts w:ascii="Times New Roman" w:eastAsia="Microsoft JhengHei" w:hAnsi="Times New Roman" w:cs="Times New Roman"/>
          <w:sz w:val="20"/>
          <w:szCs w:val="20"/>
        </w:rPr>
        <w:t>自由位移整装公司与常州市英才金属制品有限公司、上海健达健身器材有限公司其他发明权与发现权纠纷申请再审民事裁定书</w:t>
      </w:r>
      <w:r w:rsidRPr="00C462C9">
        <w:rPr>
          <w:rFonts w:ascii="Times New Roman" w:eastAsia="Microsoft JhengHei" w:hAnsi="Times New Roman" w:cs="Times New Roman"/>
          <w:sz w:val="20"/>
          <w:szCs w:val="20"/>
        </w:rPr>
        <w:t xml:space="preserve"> [Free Displacement Co. Ltd. v Changzhou Yingcai Metal Products Co. Ltd., Shanghai Jianda Fitness Equipment Co. Ltd. – Invention Rights and Discovery Rights Dispute Civil Retrial] [2014], </w:t>
      </w:r>
      <w:r w:rsidRPr="00C462C9">
        <w:rPr>
          <w:rFonts w:ascii="Times New Roman" w:eastAsia="Microsoft JhengHei" w:hAnsi="Times New Roman" w:cs="Times New Roman"/>
          <w:sz w:val="20"/>
          <w:szCs w:val="20"/>
        </w:rPr>
        <w:t>最高人民法院</w:t>
      </w:r>
      <w:r w:rsidRPr="00C462C9">
        <w:rPr>
          <w:rFonts w:ascii="Times New Roman" w:eastAsia="Microsoft JhengHei" w:hAnsi="Times New Roman" w:cs="Times New Roman"/>
          <w:sz w:val="20"/>
          <w:szCs w:val="20"/>
        </w:rPr>
        <w:t xml:space="preserve"> [Supreme People’s Court, People’s Republic of China], Civil Retrial No. 497, 4 January 2015</w:t>
      </w:r>
    </w:p>
    <w:p w14:paraId="4607B770" w14:textId="332382F4" w:rsidR="00AB3E6B" w:rsidRPr="00C462C9" w:rsidRDefault="00AB3E6B"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Free Motion Fitness Inc v Cybex International Inc, </w:t>
      </w:r>
      <w:r w:rsidRPr="00C462C9">
        <w:rPr>
          <w:rFonts w:ascii="Times New Roman" w:hAnsi="Times New Roman" w:cs="Times New Roman"/>
          <w:sz w:val="20"/>
          <w:szCs w:val="20"/>
        </w:rPr>
        <w:t>423 F 3d 1343 (Fed Cir, 2005)</w:t>
      </w:r>
    </w:p>
    <w:p w14:paraId="7463AC45" w14:textId="2ED4C6E8" w:rsidR="005165E4" w:rsidRPr="00C462C9" w:rsidRDefault="005165E4" w:rsidP="00AB3E6B">
      <w:pPr>
        <w:spacing w:line="480" w:lineRule="auto"/>
        <w:ind w:firstLine="720"/>
        <w:rPr>
          <w:rFonts w:ascii="Times New Roman" w:hAnsi="Times New Roman" w:cs="Times New Roman"/>
          <w:i/>
          <w:iCs/>
          <w:sz w:val="20"/>
          <w:szCs w:val="20"/>
        </w:rPr>
      </w:pPr>
      <w:r w:rsidRPr="00C462C9">
        <w:rPr>
          <w:rFonts w:ascii="Times New Roman" w:hAnsi="Times New Roman" w:cs="Times New Roman"/>
          <w:i/>
          <w:iCs/>
          <w:sz w:val="20"/>
          <w:szCs w:val="20"/>
        </w:rPr>
        <w:t>K &amp; S Lake City Freighters Pty Ltd v Gordon &amp; Gotch Ltd</w:t>
      </w:r>
      <w:r w:rsidRPr="00C462C9">
        <w:rPr>
          <w:rFonts w:ascii="Times New Roman" w:hAnsi="Times New Roman" w:cs="Times New Roman"/>
          <w:sz w:val="20"/>
          <w:szCs w:val="20"/>
        </w:rPr>
        <w:t xml:space="preserve"> (1985) 157 CLR 309</w:t>
      </w:r>
    </w:p>
    <w:p w14:paraId="33A3C892" w14:textId="765313D7" w:rsidR="001A2F99" w:rsidRPr="00C462C9" w:rsidRDefault="001A2F99"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Lochner v New York</w:t>
      </w:r>
      <w:r w:rsidR="00AB3E6B" w:rsidRPr="00C462C9">
        <w:rPr>
          <w:rFonts w:ascii="Times New Roman" w:hAnsi="Times New Roman" w:cs="Times New Roman"/>
          <w:i/>
          <w:iCs/>
          <w:sz w:val="20"/>
          <w:szCs w:val="20"/>
        </w:rPr>
        <w:t xml:space="preserve"> </w:t>
      </w:r>
      <w:r w:rsidR="00AB3E6B" w:rsidRPr="00C462C9">
        <w:rPr>
          <w:rFonts w:ascii="Times New Roman" w:hAnsi="Times New Roman" w:cs="Times New Roman"/>
          <w:sz w:val="20"/>
          <w:szCs w:val="20"/>
        </w:rPr>
        <w:t>198 US 45 (1905)</w:t>
      </w:r>
    </w:p>
    <w:p w14:paraId="57FBA7B3" w14:textId="2F93C110" w:rsidR="001A2F99" w:rsidRPr="00C462C9" w:rsidRDefault="001A2F99"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Loomis v Wisconsin </w:t>
      </w:r>
      <w:r w:rsidRPr="00C462C9">
        <w:rPr>
          <w:rFonts w:ascii="Times New Roman" w:hAnsi="Times New Roman" w:cs="Times New Roman"/>
          <w:sz w:val="20"/>
          <w:szCs w:val="20"/>
        </w:rPr>
        <w:t>881 NW 2d 749 (Wis, 2016)</w:t>
      </w:r>
    </w:p>
    <w:p w14:paraId="526255C2" w14:textId="2180D03D" w:rsidR="00235AFC" w:rsidRPr="00C462C9" w:rsidRDefault="00235AFC"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Minister for Natural Resources v New South Wales Aboriginal Land Council </w:t>
      </w:r>
      <w:r w:rsidRPr="00C462C9">
        <w:rPr>
          <w:rFonts w:ascii="Times New Roman" w:hAnsi="Times New Roman" w:cs="Times New Roman"/>
          <w:sz w:val="20"/>
          <w:szCs w:val="20"/>
        </w:rPr>
        <w:t>(1987) 9 NSWLR 154</w:t>
      </w:r>
    </w:p>
    <w:p w14:paraId="23AC1915" w14:textId="1C4AF1C7" w:rsidR="00AB3E6B" w:rsidRPr="00C462C9" w:rsidRDefault="00AB3E6B"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New South Wales v Commonwealth</w:t>
      </w:r>
      <w:r w:rsidRPr="00C462C9">
        <w:rPr>
          <w:rFonts w:ascii="Times New Roman" w:hAnsi="Times New Roman" w:cs="Times New Roman"/>
          <w:sz w:val="20"/>
          <w:szCs w:val="20"/>
        </w:rPr>
        <w:t xml:space="preserve"> (1915) 20 CLR 54</w:t>
      </w:r>
    </w:p>
    <w:p w14:paraId="3E49D538" w14:textId="0ECA8CF0" w:rsidR="00AB3E6B" w:rsidRPr="00C462C9" w:rsidRDefault="00AB3E6B"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Nix v Hedden </w:t>
      </w:r>
      <w:r w:rsidRPr="00C462C9">
        <w:rPr>
          <w:rFonts w:ascii="Times New Roman" w:hAnsi="Times New Roman" w:cs="Times New Roman"/>
          <w:sz w:val="20"/>
          <w:szCs w:val="20"/>
        </w:rPr>
        <w:t>149 US 304 (1893)</w:t>
      </w:r>
    </w:p>
    <w:p w14:paraId="0B8D80E6" w14:textId="38A2A3D4" w:rsidR="005165E4" w:rsidRPr="00C462C9" w:rsidRDefault="005165E4"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Parrett v Secretary, Department of Family &amp; Community Services</w:t>
      </w:r>
      <w:r w:rsidRPr="00C462C9">
        <w:rPr>
          <w:rFonts w:ascii="Times New Roman" w:hAnsi="Times New Roman" w:cs="Times New Roman"/>
          <w:sz w:val="20"/>
          <w:szCs w:val="20"/>
        </w:rPr>
        <w:t xml:space="preserve"> (2002) 124 FCR 299</w:t>
      </w:r>
    </w:p>
    <w:p w14:paraId="5273C991" w14:textId="02216521" w:rsidR="00235AFC" w:rsidRPr="00C462C9" w:rsidRDefault="00235AFC"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Pintarich v Deputy Commission of Taxation </w:t>
      </w:r>
      <w:r w:rsidRPr="00C462C9">
        <w:rPr>
          <w:rFonts w:ascii="Times New Roman" w:hAnsi="Times New Roman" w:cs="Times New Roman"/>
          <w:sz w:val="20"/>
          <w:szCs w:val="20"/>
        </w:rPr>
        <w:t>[2018] FCAFC 79</w:t>
      </w:r>
    </w:p>
    <w:p w14:paraId="56315C02" w14:textId="3EA39B56" w:rsidR="00235AFC" w:rsidRPr="00C462C9" w:rsidRDefault="00235AFC"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Pintarich v Deputy Commission of Taxation </w:t>
      </w:r>
      <w:r w:rsidRPr="00C462C9">
        <w:rPr>
          <w:rFonts w:ascii="Times New Roman" w:hAnsi="Times New Roman" w:cs="Times New Roman"/>
          <w:sz w:val="20"/>
          <w:szCs w:val="20"/>
        </w:rPr>
        <w:t>[2018] HCASL 322</w:t>
      </w:r>
    </w:p>
    <w:p w14:paraId="368ACA82" w14:textId="0587B0B3" w:rsidR="005165E4" w:rsidRPr="00C462C9" w:rsidRDefault="005165E4"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Project Blue Sky v Australian Broadcasting Authority</w:t>
      </w:r>
      <w:r w:rsidRPr="00C462C9">
        <w:rPr>
          <w:rFonts w:ascii="Times New Roman" w:hAnsi="Times New Roman" w:cs="Times New Roman"/>
          <w:sz w:val="20"/>
          <w:szCs w:val="20"/>
        </w:rPr>
        <w:t xml:space="preserve"> (1998) 194 CLR 355</w:t>
      </w:r>
    </w:p>
    <w:p w14:paraId="64446D7A" w14:textId="24997E6C" w:rsidR="00AB3E6B" w:rsidRPr="00C462C9" w:rsidRDefault="00AB3E6B"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Roudolff</w:t>
      </w:r>
      <w:r w:rsidRPr="00C462C9">
        <w:rPr>
          <w:rFonts w:ascii="Times New Roman" w:hAnsi="Times New Roman" w:cs="Times New Roman"/>
          <w:sz w:val="20"/>
          <w:szCs w:val="20"/>
        </w:rPr>
        <w:t xml:space="preserve"> (C-803/79 ) [1980] ECR 2015</w:t>
      </w:r>
    </w:p>
    <w:p w14:paraId="04CA9FEB" w14:textId="41FC7967" w:rsidR="00AB3E6B" w:rsidRPr="00C462C9" w:rsidRDefault="00AB3E6B"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R v Kirby; Ex parte Boilermakers’ Society of Australia</w:t>
      </w:r>
      <w:r w:rsidRPr="00C462C9">
        <w:rPr>
          <w:rFonts w:ascii="Times New Roman" w:hAnsi="Times New Roman" w:cs="Times New Roman"/>
          <w:sz w:val="20"/>
          <w:szCs w:val="20"/>
        </w:rPr>
        <w:t xml:space="preserve"> (1956) 94 CLR 254</w:t>
      </w:r>
    </w:p>
    <w:p w14:paraId="0DCA32A6" w14:textId="1E03B659" w:rsidR="00AB3E6B" w:rsidRPr="00C462C9" w:rsidRDefault="00AB3E6B"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Schulte v Deutsche Bausparkasse Badenia </w:t>
      </w:r>
      <w:r w:rsidRPr="00C462C9">
        <w:rPr>
          <w:rFonts w:ascii="Times New Roman" w:hAnsi="Times New Roman" w:cs="Times New Roman"/>
          <w:sz w:val="20"/>
          <w:szCs w:val="20"/>
        </w:rPr>
        <w:t>(C-350/03) [2005] ECR I-9215</w:t>
      </w:r>
    </w:p>
    <w:p w14:paraId="0F772B2F" w14:textId="6F9E4E15" w:rsidR="00235AFC" w:rsidRPr="00C462C9" w:rsidRDefault="00235AFC"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Semunigus v Minister for Immigration and Multicultural Affairs </w:t>
      </w:r>
      <w:r w:rsidRPr="00C462C9">
        <w:rPr>
          <w:rFonts w:ascii="Times New Roman" w:hAnsi="Times New Roman" w:cs="Times New Roman"/>
          <w:sz w:val="20"/>
          <w:szCs w:val="20"/>
        </w:rPr>
        <w:t>[1999] FCA 422</w:t>
      </w:r>
    </w:p>
    <w:p w14:paraId="272672FE" w14:textId="09163B64" w:rsidR="006B1479" w:rsidRPr="00C462C9" w:rsidRDefault="006B1479"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Simutenkov v. Ministerio de Educación y Cultura </w:t>
      </w:r>
      <w:r w:rsidRPr="00C462C9">
        <w:rPr>
          <w:rFonts w:ascii="Times New Roman" w:hAnsi="Times New Roman" w:cs="Times New Roman"/>
          <w:sz w:val="20"/>
          <w:szCs w:val="20"/>
        </w:rPr>
        <w:t>(C-265/03) [2005] ECR I-2579</w:t>
      </w:r>
    </w:p>
    <w:p w14:paraId="349E014D" w14:textId="2CA4B606" w:rsidR="00AB3E6B" w:rsidRPr="00C462C9" w:rsidRDefault="00AB3E6B"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Skatteministeriet v Aktieselskabet Forsikrinsselskabet Codan</w:t>
      </w:r>
      <w:r w:rsidRPr="00C462C9">
        <w:rPr>
          <w:rFonts w:ascii="Times New Roman" w:hAnsi="Times New Roman" w:cs="Times New Roman"/>
          <w:sz w:val="20"/>
          <w:szCs w:val="20"/>
        </w:rPr>
        <w:t xml:space="preserve"> (C-236/97) [1998] ECR I-8679</w:t>
      </w:r>
    </w:p>
    <w:p w14:paraId="78A6E26A" w14:textId="2577C861" w:rsidR="00AB3E6B" w:rsidRPr="00C462C9" w:rsidRDefault="00AB3E6B" w:rsidP="00AB3E6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lastRenderedPageBreak/>
        <w:fldChar w:fldCharType="begin"/>
      </w:r>
      <w:r w:rsidR="001152C3" w:rsidRPr="00C462C9">
        <w:rPr>
          <w:rFonts w:ascii="Times New Roman" w:hAnsi="Times New Roman" w:cs="Times New Roman"/>
          <w:sz w:val="20"/>
          <w:szCs w:val="20"/>
        </w:rPr>
        <w:instrText xml:space="preserve"> ADDIN ZOTERO_ITEM CSL_CITATION {"citationID":"xYBJkHUY","properties":{"formattedCitation":"{\\i{}Smith v United States} (1993) 508 U.S. 223.","plainCitation":"Smith v United States (1993) 508 U.S. 223.","dontUpdate":true,"noteIndex":0},"citationItems":[{"id":127,"uris":["http://zotero.org/users/6782581/items/Y59582P8"],"uri":["http://zotero.org/users/6782581/items/Y59582P8"],"itemData":{"id":127,"type":"legal_case","authority":"United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schema":"https://github.com/citation-style-language/schema/raw/master/csl-citation.json"} </w:instrText>
      </w:r>
      <w:r w:rsidRPr="00C462C9">
        <w:rPr>
          <w:rFonts w:ascii="Times New Roman" w:hAnsi="Times New Roman" w:cs="Times New Roman"/>
          <w:sz w:val="20"/>
          <w:szCs w:val="20"/>
        </w:rPr>
        <w:fldChar w:fldCharType="separate"/>
      </w:r>
      <w:r w:rsidRPr="00C462C9">
        <w:rPr>
          <w:rFonts w:ascii="Times New Roman" w:hAnsi="Times New Roman" w:cs="Times New Roman"/>
          <w:i/>
          <w:iCs/>
          <w:sz w:val="20"/>
          <w:szCs w:val="20"/>
        </w:rPr>
        <w:t>Smith v United States</w:t>
      </w:r>
      <w:r w:rsidRPr="00C462C9">
        <w:rPr>
          <w:rFonts w:ascii="Times New Roman" w:hAnsi="Times New Roman" w:cs="Times New Roman"/>
          <w:sz w:val="20"/>
          <w:szCs w:val="20"/>
        </w:rPr>
        <w:t xml:space="preserve"> 508 US 223</w:t>
      </w:r>
      <w:r w:rsidRPr="00C462C9">
        <w:rPr>
          <w:rFonts w:ascii="Times New Roman" w:hAnsi="Times New Roman" w:cs="Times New Roman"/>
          <w:sz w:val="20"/>
          <w:szCs w:val="20"/>
        </w:rPr>
        <w:fldChar w:fldCharType="end"/>
      </w:r>
      <w:r w:rsidRPr="00C462C9">
        <w:rPr>
          <w:rFonts w:ascii="Times New Roman" w:hAnsi="Times New Roman" w:cs="Times New Roman"/>
          <w:sz w:val="20"/>
          <w:szCs w:val="20"/>
        </w:rPr>
        <w:t xml:space="preserve"> (1993)</w:t>
      </w:r>
    </w:p>
    <w:p w14:paraId="7F4EF964" w14:textId="13C26E76" w:rsidR="006B1479" w:rsidRPr="00C462C9" w:rsidRDefault="006B1479"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Stauder v Ulm</w:t>
      </w:r>
      <w:r w:rsidRPr="00C462C9">
        <w:rPr>
          <w:rFonts w:ascii="Times New Roman" w:hAnsi="Times New Roman" w:cs="Times New Roman"/>
          <w:sz w:val="20"/>
          <w:szCs w:val="20"/>
        </w:rPr>
        <w:t xml:space="preserve"> (C-29/69) [1969] ECR 419</w:t>
      </w:r>
    </w:p>
    <w:p w14:paraId="267057FF" w14:textId="10626C81" w:rsidR="00B15325" w:rsidRPr="00C462C9" w:rsidRDefault="00B15325" w:rsidP="00AB3E6B">
      <w:pPr>
        <w:spacing w:line="480" w:lineRule="auto"/>
        <w:ind w:firstLine="720"/>
        <w:rPr>
          <w:rFonts w:ascii="Times New Roman" w:hAnsi="Times New Roman" w:cs="Times New Roman"/>
          <w:i/>
          <w:iCs/>
          <w:sz w:val="20"/>
          <w:szCs w:val="20"/>
        </w:rPr>
      </w:pPr>
      <w:r w:rsidRPr="00C462C9">
        <w:rPr>
          <w:rFonts w:ascii="Times New Roman" w:hAnsi="Times New Roman" w:cs="Times New Roman"/>
          <w:i/>
          <w:iCs/>
          <w:sz w:val="20"/>
          <w:szCs w:val="20"/>
        </w:rPr>
        <w:t xml:space="preserve">United States v Copeland </w:t>
      </w:r>
      <w:r w:rsidRPr="00C462C9">
        <w:rPr>
          <w:rFonts w:ascii="Times New Roman" w:hAnsi="Times New Roman" w:cs="Times New Roman"/>
          <w:sz w:val="20"/>
          <w:szCs w:val="20"/>
        </w:rPr>
        <w:t>369 F. Supp. 2d 275 (EDNY 2005)</w:t>
      </w:r>
    </w:p>
    <w:p w14:paraId="6C5601BF" w14:textId="2AE95520" w:rsidR="001A2F99" w:rsidRPr="00C462C9" w:rsidRDefault="00AB3E6B"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Waterside Workers’ Federation of Australia v J W Alexander Ltd</w:t>
      </w:r>
      <w:r w:rsidRPr="00C462C9">
        <w:rPr>
          <w:rFonts w:ascii="Times New Roman" w:hAnsi="Times New Roman" w:cs="Times New Roman"/>
          <w:sz w:val="20"/>
          <w:szCs w:val="20"/>
        </w:rPr>
        <w:t xml:space="preserve"> (1918) 25 CLR 434</w:t>
      </w:r>
    </w:p>
    <w:p w14:paraId="5473724F" w14:textId="6BF517B0" w:rsidR="00B15325" w:rsidRPr="00C462C9" w:rsidRDefault="00B15325" w:rsidP="00AB3E6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Wilson v Maryland </w:t>
      </w:r>
      <w:r w:rsidRPr="00C462C9">
        <w:rPr>
          <w:rFonts w:ascii="Times New Roman" w:hAnsi="Times New Roman" w:cs="Times New Roman"/>
          <w:sz w:val="20"/>
          <w:szCs w:val="20"/>
        </w:rPr>
        <w:t>370 Md. 191</w:t>
      </w:r>
    </w:p>
    <w:p w14:paraId="44D8B812" w14:textId="77777777" w:rsidR="00157B24" w:rsidRPr="00157B24" w:rsidRDefault="00157B24" w:rsidP="0037367B">
      <w:pPr>
        <w:spacing w:line="480" w:lineRule="auto"/>
        <w:jc w:val="center"/>
        <w:rPr>
          <w:rFonts w:ascii="Times New Roman" w:hAnsi="Times New Roman" w:cs="Times New Roman"/>
          <w:sz w:val="20"/>
          <w:szCs w:val="20"/>
        </w:rPr>
      </w:pPr>
    </w:p>
    <w:p w14:paraId="62D4D18C" w14:textId="6A3658F8" w:rsidR="00B83B65" w:rsidRPr="00B83B65" w:rsidRDefault="0037367B" w:rsidP="00B83B65">
      <w:pPr>
        <w:spacing w:line="480" w:lineRule="auto"/>
        <w:jc w:val="center"/>
        <w:rPr>
          <w:rFonts w:ascii="Times New Roman" w:hAnsi="Times New Roman" w:cs="Times New Roman"/>
          <w:i/>
          <w:iCs/>
          <w:sz w:val="24"/>
          <w:szCs w:val="24"/>
        </w:rPr>
      </w:pPr>
      <w:r w:rsidRPr="00157B24">
        <w:rPr>
          <w:rFonts w:ascii="Times New Roman" w:hAnsi="Times New Roman" w:cs="Times New Roman"/>
          <w:sz w:val="24"/>
          <w:szCs w:val="24"/>
        </w:rPr>
        <w:t xml:space="preserve">C </w:t>
      </w:r>
      <w:r w:rsidRPr="00157B24">
        <w:rPr>
          <w:rFonts w:ascii="Times New Roman" w:hAnsi="Times New Roman" w:cs="Times New Roman"/>
          <w:i/>
          <w:iCs/>
          <w:sz w:val="24"/>
          <w:szCs w:val="24"/>
        </w:rPr>
        <w:t>Legislation</w:t>
      </w:r>
    </w:p>
    <w:p w14:paraId="6AD8A5C5" w14:textId="145C579A" w:rsidR="00B15325" w:rsidRPr="00C462C9" w:rsidRDefault="00B15325" w:rsidP="000E269B">
      <w:pPr>
        <w:spacing w:line="480" w:lineRule="auto"/>
        <w:ind w:firstLine="720"/>
        <w:rPr>
          <w:rFonts w:ascii="Times New Roman" w:hAnsi="Times New Roman" w:cs="Times New Roman"/>
          <w:i/>
          <w:iCs/>
          <w:sz w:val="20"/>
          <w:szCs w:val="20"/>
        </w:rPr>
      </w:pPr>
      <w:r w:rsidRPr="00C462C9">
        <w:rPr>
          <w:rFonts w:ascii="Times New Roman" w:hAnsi="Times New Roman" w:cs="Times New Roman"/>
          <w:i/>
          <w:iCs/>
          <w:sz w:val="20"/>
          <w:szCs w:val="20"/>
        </w:rPr>
        <w:t xml:space="preserve">Acts Interpretation Act 1901 </w:t>
      </w:r>
      <w:r w:rsidRPr="00C462C9">
        <w:rPr>
          <w:rFonts w:ascii="Times New Roman" w:hAnsi="Times New Roman" w:cs="Times New Roman"/>
          <w:sz w:val="20"/>
          <w:szCs w:val="20"/>
        </w:rPr>
        <w:t>(Cth)</w:t>
      </w:r>
    </w:p>
    <w:p w14:paraId="799B9BBE" w14:textId="0EBF08CA" w:rsidR="00161898" w:rsidRPr="00C462C9" w:rsidRDefault="00161898" w:rsidP="000E269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British Nationality Act 1981 </w:t>
      </w:r>
      <w:r w:rsidRPr="00C462C9">
        <w:rPr>
          <w:rFonts w:ascii="Times New Roman" w:hAnsi="Times New Roman" w:cs="Times New Roman"/>
          <w:sz w:val="20"/>
          <w:szCs w:val="20"/>
        </w:rPr>
        <w:t>(UK)</w:t>
      </w:r>
    </w:p>
    <w:p w14:paraId="51C0E73A" w14:textId="70737E99" w:rsidR="006B1479" w:rsidRPr="00C462C9" w:rsidRDefault="006B1479" w:rsidP="000E269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Bunreacht na hÉireann</w:t>
      </w:r>
    </w:p>
    <w:p w14:paraId="57054C17" w14:textId="18AF0AF9" w:rsidR="000E269B" w:rsidRPr="00C462C9" w:rsidRDefault="000E269B" w:rsidP="000E269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Code civil des français </w:t>
      </w:r>
      <w:r w:rsidRPr="00C462C9">
        <w:rPr>
          <w:rFonts w:ascii="Times New Roman" w:hAnsi="Times New Roman" w:cs="Times New Roman"/>
          <w:sz w:val="20"/>
          <w:szCs w:val="20"/>
        </w:rPr>
        <w:t>[Civil code of the French] (France)</w:t>
      </w:r>
    </w:p>
    <w:p w14:paraId="7FDF0297" w14:textId="297349D3" w:rsidR="00235AFC" w:rsidRPr="00C462C9" w:rsidRDefault="00235AFC" w:rsidP="000E269B">
      <w:pPr>
        <w:spacing w:line="480" w:lineRule="auto"/>
        <w:ind w:firstLine="720"/>
        <w:rPr>
          <w:rFonts w:ascii="Times New Roman" w:hAnsi="Times New Roman" w:cs="Times New Roman"/>
          <w:i/>
          <w:iCs/>
          <w:sz w:val="20"/>
          <w:szCs w:val="20"/>
        </w:rPr>
      </w:pPr>
      <w:r w:rsidRPr="00C462C9">
        <w:rPr>
          <w:rFonts w:ascii="Times New Roman" w:hAnsi="Times New Roman" w:cs="Times New Roman"/>
          <w:i/>
          <w:iCs/>
          <w:sz w:val="20"/>
          <w:szCs w:val="20"/>
        </w:rPr>
        <w:t xml:space="preserve">Commonwealth Electoral Act 1918 </w:t>
      </w:r>
      <w:r w:rsidRPr="00C462C9">
        <w:rPr>
          <w:rFonts w:ascii="Times New Roman" w:hAnsi="Times New Roman" w:cs="Times New Roman"/>
          <w:sz w:val="20"/>
          <w:szCs w:val="20"/>
        </w:rPr>
        <w:t>(Cth)</w:t>
      </w:r>
    </w:p>
    <w:p w14:paraId="0E44C182" w14:textId="6506645F" w:rsidR="000E269B" w:rsidRPr="00C462C9" w:rsidRDefault="000E269B" w:rsidP="000E269B">
      <w:pPr>
        <w:spacing w:line="480" w:lineRule="auto"/>
        <w:ind w:firstLine="720"/>
        <w:rPr>
          <w:rFonts w:ascii="Times New Roman" w:hAnsi="Times New Roman" w:cs="Times New Roman"/>
          <w:i/>
          <w:iCs/>
          <w:sz w:val="20"/>
          <w:szCs w:val="20"/>
        </w:rPr>
      </w:pPr>
      <w:r w:rsidRPr="00C462C9">
        <w:rPr>
          <w:rFonts w:ascii="Times New Roman" w:hAnsi="Times New Roman" w:cs="Times New Roman"/>
          <w:i/>
          <w:iCs/>
          <w:sz w:val="20"/>
          <w:szCs w:val="20"/>
        </w:rPr>
        <w:t>Commonwealth of Australia Constitution</w:t>
      </w:r>
    </w:p>
    <w:p w14:paraId="4145736B" w14:textId="2069A0B9" w:rsidR="006B1479" w:rsidRPr="00C462C9" w:rsidRDefault="006B1479" w:rsidP="000E269B">
      <w:pPr>
        <w:spacing w:line="480" w:lineRule="auto"/>
        <w:ind w:firstLine="720"/>
        <w:rPr>
          <w:rFonts w:ascii="Times New Roman" w:hAnsi="Times New Roman" w:cs="Times New Roman"/>
          <w:i/>
          <w:iCs/>
          <w:sz w:val="20"/>
          <w:szCs w:val="20"/>
        </w:rPr>
      </w:pPr>
      <w:r w:rsidRPr="00C462C9">
        <w:rPr>
          <w:rFonts w:ascii="Times New Roman" w:hAnsi="Times New Roman" w:cs="Times New Roman"/>
          <w:i/>
          <w:iCs/>
          <w:sz w:val="20"/>
          <w:szCs w:val="20"/>
        </w:rPr>
        <w:t xml:space="preserve">Corporations Act 2001 </w:t>
      </w:r>
      <w:r w:rsidRPr="00C462C9">
        <w:rPr>
          <w:rFonts w:ascii="Times New Roman" w:hAnsi="Times New Roman" w:cs="Times New Roman"/>
          <w:sz w:val="20"/>
          <w:szCs w:val="20"/>
        </w:rPr>
        <w:t>(Cth)</w:t>
      </w:r>
    </w:p>
    <w:p w14:paraId="4E1733B2" w14:textId="1B0FE77D" w:rsidR="00B83B65" w:rsidRPr="00C462C9" w:rsidRDefault="00B83B65" w:rsidP="000E269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Crimes Act 1914 </w:t>
      </w:r>
      <w:r w:rsidRPr="00C462C9">
        <w:rPr>
          <w:rFonts w:ascii="Times New Roman" w:hAnsi="Times New Roman" w:cs="Times New Roman"/>
          <w:sz w:val="20"/>
          <w:szCs w:val="20"/>
        </w:rPr>
        <w:t>(Cth)</w:t>
      </w:r>
    </w:p>
    <w:p w14:paraId="4C305E02" w14:textId="65242B43" w:rsidR="006B1479" w:rsidRPr="00C462C9" w:rsidRDefault="006B1479" w:rsidP="000E269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Itegeko Nshinga rya Repubulika y’u Rwanda 2003</w:t>
      </w:r>
      <w:r w:rsidRPr="00C462C9">
        <w:rPr>
          <w:rFonts w:ascii="Times New Roman" w:hAnsi="Times New Roman" w:cs="Times New Roman"/>
          <w:sz w:val="20"/>
          <w:szCs w:val="20"/>
        </w:rPr>
        <w:t xml:space="preserve"> [Constitution of the Republic of Rwanda 2003]</w:t>
      </w:r>
    </w:p>
    <w:p w14:paraId="379C9CA8" w14:textId="0E32A16A" w:rsidR="006B1479" w:rsidRPr="00C462C9" w:rsidRDefault="006B1479" w:rsidP="000E269B">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Loi sur les regimes des langues 1984 </w:t>
      </w:r>
      <w:r w:rsidRPr="00C462C9">
        <w:rPr>
          <w:rFonts w:ascii="Times New Roman" w:hAnsi="Times New Roman" w:cs="Times New Roman"/>
          <w:sz w:val="20"/>
          <w:szCs w:val="20"/>
        </w:rPr>
        <w:t>[Languages Regulation Act 1984] (Luxembourg)</w:t>
      </w:r>
    </w:p>
    <w:p w14:paraId="3747D70B" w14:textId="459206D7" w:rsidR="00B83B65" w:rsidRPr="00C462C9" w:rsidRDefault="00161898" w:rsidP="00B83B65">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National Consumer Credit Protection Act 2009</w:t>
      </w:r>
      <w:r w:rsidRPr="00C462C9">
        <w:rPr>
          <w:rFonts w:ascii="Times New Roman" w:hAnsi="Times New Roman" w:cs="Times New Roman"/>
          <w:sz w:val="20"/>
          <w:szCs w:val="20"/>
        </w:rPr>
        <w:t xml:space="preserve"> (Cth)</w:t>
      </w:r>
    </w:p>
    <w:p w14:paraId="0E1D5048" w14:textId="7B5FB631" w:rsidR="002020DF" w:rsidRPr="00C462C9" w:rsidRDefault="002020DF" w:rsidP="00B83B65">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National Consumer Credit Protection Regulations 2010 </w:t>
      </w:r>
      <w:r w:rsidRPr="00C462C9">
        <w:rPr>
          <w:rFonts w:ascii="Times New Roman" w:hAnsi="Times New Roman" w:cs="Times New Roman"/>
          <w:sz w:val="20"/>
          <w:szCs w:val="20"/>
        </w:rPr>
        <w:t>(Cth)</w:t>
      </w:r>
    </w:p>
    <w:p w14:paraId="21DD660C" w14:textId="45A091BB" w:rsidR="006B1479" w:rsidRPr="00C462C9" w:rsidRDefault="006B1479" w:rsidP="00B83B65">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Official Languages Act</w:t>
      </w:r>
      <w:r w:rsidRPr="00C462C9">
        <w:rPr>
          <w:rFonts w:ascii="Times New Roman" w:hAnsi="Times New Roman" w:cs="Times New Roman"/>
          <w:sz w:val="20"/>
          <w:szCs w:val="20"/>
        </w:rPr>
        <w:t>, RSC 1985, c 31</w:t>
      </w:r>
    </w:p>
    <w:p w14:paraId="127306F8" w14:textId="7380AB11" w:rsidR="00157B24" w:rsidRPr="00C462C9" w:rsidRDefault="006B1479" w:rsidP="006B1479">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Regulation (EEC) No 1 determining the languages to be used by the European Economic Community </w:t>
      </w:r>
      <w:r w:rsidRPr="00C462C9">
        <w:rPr>
          <w:rFonts w:ascii="Times New Roman" w:hAnsi="Times New Roman" w:cs="Times New Roman"/>
          <w:sz w:val="20"/>
          <w:szCs w:val="20"/>
        </w:rPr>
        <w:t>(1958) OJ 17</w:t>
      </w:r>
    </w:p>
    <w:p w14:paraId="2A2FA875" w14:textId="61B0E0BA" w:rsidR="006B1479" w:rsidRPr="00C462C9" w:rsidRDefault="006B1479" w:rsidP="006B1479">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Retirement Savings Accounts Act 1997</w:t>
      </w:r>
      <w:r w:rsidRPr="00C462C9">
        <w:rPr>
          <w:rFonts w:ascii="Times New Roman" w:hAnsi="Times New Roman" w:cs="Times New Roman"/>
          <w:sz w:val="20"/>
          <w:szCs w:val="20"/>
        </w:rPr>
        <w:t xml:space="preserve"> (Cth)</w:t>
      </w:r>
    </w:p>
    <w:p w14:paraId="59AA1C1B" w14:textId="6E051E28" w:rsidR="006B1479" w:rsidRPr="00C462C9" w:rsidRDefault="006B1479" w:rsidP="006B1479">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lastRenderedPageBreak/>
        <w:t xml:space="preserve">Schweizerisches Zivilgesetzbuch </w:t>
      </w:r>
      <w:r w:rsidRPr="00C462C9">
        <w:rPr>
          <w:rFonts w:ascii="Times New Roman" w:hAnsi="Times New Roman" w:cs="Times New Roman"/>
          <w:sz w:val="20"/>
          <w:szCs w:val="20"/>
        </w:rPr>
        <w:t>[Swiss Civil Code] (Switzerland)</w:t>
      </w:r>
    </w:p>
    <w:p w14:paraId="31DC687C" w14:textId="02509E17" w:rsidR="006B1479" w:rsidRDefault="006B1479" w:rsidP="006B1479">
      <w:pPr>
        <w:spacing w:line="480" w:lineRule="auto"/>
        <w:ind w:firstLine="720"/>
        <w:rPr>
          <w:rFonts w:ascii="Times New Roman" w:hAnsi="Times New Roman" w:cs="Times New Roman"/>
          <w:sz w:val="20"/>
          <w:szCs w:val="20"/>
        </w:rPr>
      </w:pPr>
      <w:r w:rsidRPr="00C462C9">
        <w:rPr>
          <w:rFonts w:ascii="Times New Roman" w:hAnsi="Times New Roman" w:cs="Times New Roman"/>
          <w:i/>
          <w:iCs/>
          <w:sz w:val="20"/>
          <w:szCs w:val="20"/>
        </w:rPr>
        <w:t xml:space="preserve">Superannuation Industry (Supervision) Act 1993 </w:t>
      </w:r>
      <w:r w:rsidRPr="00C462C9">
        <w:rPr>
          <w:rFonts w:ascii="Times New Roman" w:hAnsi="Times New Roman" w:cs="Times New Roman"/>
          <w:sz w:val="20"/>
          <w:szCs w:val="20"/>
        </w:rPr>
        <w:t>(Cth)</w:t>
      </w:r>
    </w:p>
    <w:p w14:paraId="69CD76ED" w14:textId="77777777" w:rsidR="00C462C9" w:rsidRPr="00C462C9" w:rsidRDefault="00C462C9" w:rsidP="00C462C9">
      <w:pPr>
        <w:spacing w:line="480" w:lineRule="auto"/>
        <w:rPr>
          <w:rFonts w:ascii="Times New Roman" w:hAnsi="Times New Roman" w:cs="Times New Roman"/>
          <w:i/>
          <w:iCs/>
          <w:sz w:val="20"/>
          <w:szCs w:val="20"/>
        </w:rPr>
      </w:pPr>
    </w:p>
    <w:p w14:paraId="2DFFA67A" w14:textId="6FA1348F" w:rsidR="0037367B" w:rsidRPr="00157B24" w:rsidRDefault="001A2F99" w:rsidP="0037367B">
      <w:pPr>
        <w:spacing w:line="480" w:lineRule="auto"/>
        <w:jc w:val="center"/>
        <w:rPr>
          <w:rFonts w:ascii="Times New Roman" w:hAnsi="Times New Roman" w:cs="Times New Roman"/>
          <w:i/>
          <w:iCs/>
          <w:sz w:val="24"/>
          <w:szCs w:val="24"/>
        </w:rPr>
      </w:pPr>
      <w:r w:rsidRPr="00157B24">
        <w:rPr>
          <w:rFonts w:ascii="Times New Roman" w:hAnsi="Times New Roman" w:cs="Times New Roman"/>
          <w:sz w:val="24"/>
          <w:szCs w:val="24"/>
        </w:rPr>
        <w:t>D</w:t>
      </w:r>
      <w:r w:rsidR="0037367B" w:rsidRPr="00157B24">
        <w:rPr>
          <w:rFonts w:ascii="Times New Roman" w:hAnsi="Times New Roman" w:cs="Times New Roman"/>
          <w:sz w:val="24"/>
          <w:szCs w:val="24"/>
        </w:rPr>
        <w:t xml:space="preserve"> </w:t>
      </w:r>
      <w:r w:rsidR="0037367B" w:rsidRPr="00157B24">
        <w:rPr>
          <w:rFonts w:ascii="Times New Roman" w:hAnsi="Times New Roman" w:cs="Times New Roman"/>
          <w:i/>
          <w:iCs/>
          <w:sz w:val="24"/>
          <w:szCs w:val="24"/>
        </w:rPr>
        <w:t>Treaties</w:t>
      </w:r>
    </w:p>
    <w:p w14:paraId="0C6011BB" w14:textId="5C94F64B" w:rsidR="006B1479" w:rsidRPr="006B1479" w:rsidRDefault="006B1479" w:rsidP="000E269B">
      <w:pPr>
        <w:spacing w:line="480" w:lineRule="auto"/>
        <w:ind w:firstLine="720"/>
        <w:rPr>
          <w:rFonts w:ascii="Times New Roman" w:hAnsi="Times New Roman" w:cs="Times New Roman"/>
          <w:i/>
          <w:iCs/>
          <w:sz w:val="20"/>
          <w:szCs w:val="20"/>
        </w:rPr>
      </w:pPr>
      <w:r w:rsidRPr="006B1479">
        <w:rPr>
          <w:rFonts w:ascii="Times New Roman" w:hAnsi="Times New Roman" w:cs="Times New Roman"/>
          <w:i/>
          <w:iCs/>
          <w:sz w:val="20"/>
          <w:szCs w:val="20"/>
        </w:rPr>
        <w:t xml:space="preserve">Treaty establishing the European Community, </w:t>
      </w:r>
      <w:r w:rsidRPr="006B1479">
        <w:rPr>
          <w:rFonts w:ascii="Times New Roman" w:hAnsi="Times New Roman" w:cs="Times New Roman"/>
          <w:sz w:val="20"/>
          <w:szCs w:val="20"/>
        </w:rPr>
        <w:t>opened for signature 7 February 1992, [1992] OJ C 224/6 (entered into force 1 November 1993) (‘</w:t>
      </w:r>
      <w:r w:rsidRPr="006B1479">
        <w:rPr>
          <w:rFonts w:ascii="Times New Roman" w:hAnsi="Times New Roman" w:cs="Times New Roman"/>
          <w:i/>
          <w:iCs/>
          <w:sz w:val="20"/>
          <w:szCs w:val="20"/>
        </w:rPr>
        <w:t>EC Treaty’</w:t>
      </w:r>
      <w:r w:rsidRPr="006B1479">
        <w:rPr>
          <w:rFonts w:ascii="Times New Roman" w:hAnsi="Times New Roman" w:cs="Times New Roman"/>
          <w:sz w:val="20"/>
          <w:szCs w:val="20"/>
        </w:rPr>
        <w:t>)</w:t>
      </w:r>
    </w:p>
    <w:p w14:paraId="58F3E058" w14:textId="77D39DF7" w:rsidR="000E269B" w:rsidRPr="00157B24" w:rsidRDefault="000E269B" w:rsidP="000E269B">
      <w:pPr>
        <w:spacing w:line="480" w:lineRule="auto"/>
        <w:ind w:firstLine="720"/>
        <w:rPr>
          <w:rFonts w:ascii="Times New Roman" w:hAnsi="Times New Roman" w:cs="Times New Roman"/>
          <w:i/>
          <w:iCs/>
          <w:sz w:val="20"/>
          <w:szCs w:val="20"/>
        </w:rPr>
      </w:pPr>
      <w:r w:rsidRPr="00157B24">
        <w:rPr>
          <w:rFonts w:ascii="Times New Roman" w:hAnsi="Times New Roman" w:cs="Times New Roman"/>
          <w:i/>
          <w:iCs/>
          <w:sz w:val="20"/>
          <w:szCs w:val="20"/>
        </w:rPr>
        <w:t>Treaty on European Union</w:t>
      </w:r>
      <w:r w:rsidRPr="00157B24">
        <w:rPr>
          <w:rFonts w:ascii="Times New Roman" w:hAnsi="Times New Roman" w:cs="Times New Roman"/>
          <w:sz w:val="20"/>
          <w:szCs w:val="20"/>
        </w:rPr>
        <w:t>, opened for signature 7 February 1992, [2009] OJ C 115/13 (entered into force 1 November 1993)</w:t>
      </w:r>
    </w:p>
    <w:p w14:paraId="757DAEB9" w14:textId="1748A523" w:rsidR="000E269B" w:rsidRPr="00157B24" w:rsidRDefault="000E269B" w:rsidP="000E269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Treaty on the Functioning of the European Union</w:t>
      </w:r>
      <w:r w:rsidRPr="00157B24">
        <w:rPr>
          <w:rFonts w:ascii="Times New Roman" w:hAnsi="Times New Roman" w:cs="Times New Roman"/>
          <w:sz w:val="20"/>
          <w:szCs w:val="20"/>
        </w:rPr>
        <w:t>, opened for signature 7 February 1992, [2009] OJ C 115/199 (entered into force 1 November 1993)</w:t>
      </w:r>
    </w:p>
    <w:p w14:paraId="449DB3C8" w14:textId="77777777" w:rsidR="00157B24" w:rsidRPr="00157B24" w:rsidRDefault="00157B24" w:rsidP="0037367B">
      <w:pPr>
        <w:spacing w:line="480" w:lineRule="auto"/>
        <w:jc w:val="center"/>
        <w:rPr>
          <w:rFonts w:ascii="Times New Roman" w:hAnsi="Times New Roman" w:cs="Times New Roman"/>
          <w:sz w:val="20"/>
          <w:szCs w:val="20"/>
        </w:rPr>
      </w:pPr>
    </w:p>
    <w:p w14:paraId="50EA011F" w14:textId="75D4F676" w:rsidR="006B1479" w:rsidRPr="006B1479" w:rsidRDefault="001A2F99" w:rsidP="006B1479">
      <w:pPr>
        <w:spacing w:line="480" w:lineRule="auto"/>
        <w:jc w:val="center"/>
        <w:rPr>
          <w:rFonts w:ascii="Times New Roman" w:hAnsi="Times New Roman" w:cs="Times New Roman"/>
          <w:sz w:val="24"/>
          <w:szCs w:val="24"/>
        </w:rPr>
      </w:pPr>
      <w:r w:rsidRPr="00157B24">
        <w:rPr>
          <w:rFonts w:ascii="Times New Roman" w:hAnsi="Times New Roman" w:cs="Times New Roman"/>
          <w:sz w:val="24"/>
          <w:szCs w:val="24"/>
        </w:rPr>
        <w:t>E</w:t>
      </w:r>
      <w:r w:rsidR="0037367B" w:rsidRPr="00157B24">
        <w:rPr>
          <w:rFonts w:ascii="Times New Roman" w:hAnsi="Times New Roman" w:cs="Times New Roman"/>
          <w:sz w:val="24"/>
          <w:szCs w:val="24"/>
        </w:rPr>
        <w:t xml:space="preserve"> </w:t>
      </w:r>
      <w:r w:rsidR="0037367B" w:rsidRPr="00157B24">
        <w:rPr>
          <w:rFonts w:ascii="Times New Roman" w:hAnsi="Times New Roman" w:cs="Times New Roman"/>
          <w:i/>
          <w:iCs/>
          <w:sz w:val="24"/>
          <w:szCs w:val="24"/>
        </w:rPr>
        <w:t>Other</w:t>
      </w:r>
    </w:p>
    <w:p w14:paraId="65291DF1" w14:textId="040863D1" w:rsidR="00FF32FC" w:rsidRPr="00C462C9" w:rsidRDefault="00FF32FC" w:rsidP="0016189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Australasian Legal Information Institute, ‘DataLex Consultation: ElectKB’, </w:t>
      </w:r>
      <w:r w:rsidRPr="00C462C9">
        <w:rPr>
          <w:rFonts w:ascii="Times New Roman" w:hAnsi="Times New Roman" w:cs="Times New Roman"/>
          <w:i/>
          <w:iCs/>
          <w:sz w:val="20"/>
          <w:szCs w:val="20"/>
        </w:rPr>
        <w:t>DataLex</w:t>
      </w:r>
      <w:r w:rsidRPr="00C462C9">
        <w:rPr>
          <w:rFonts w:ascii="Times New Roman" w:hAnsi="Times New Roman" w:cs="Times New Roman"/>
          <w:sz w:val="20"/>
          <w:szCs w:val="20"/>
        </w:rPr>
        <w:t xml:space="preserve"> &lt;http://beta.datalex.org/app/consultation?rulebase=http%3A%2F%2Faustlii.community%2Ffoswiki%2FDataLex%2FElectKB&gt;</w:t>
      </w:r>
    </w:p>
    <w:p w14:paraId="68A57BD5" w14:textId="6A81FAE5" w:rsidR="00235AFC" w:rsidRPr="00C462C9" w:rsidRDefault="00235AFC" w:rsidP="00161898">
      <w:pPr>
        <w:spacing w:line="480" w:lineRule="auto"/>
        <w:ind w:firstLine="720"/>
        <w:rPr>
          <w:rFonts w:ascii="Times New Roman" w:hAnsi="Times New Roman" w:cs="Times New Roman"/>
          <w:i/>
          <w:iCs/>
          <w:sz w:val="20"/>
          <w:szCs w:val="20"/>
        </w:rPr>
      </w:pPr>
      <w:r w:rsidRPr="00C462C9">
        <w:rPr>
          <w:rFonts w:ascii="Times New Roman" w:hAnsi="Times New Roman" w:cs="Times New Roman"/>
          <w:sz w:val="20"/>
          <w:szCs w:val="20"/>
        </w:rPr>
        <w:t xml:space="preserve">Australasian Legal Information Institute, </w:t>
      </w:r>
      <w:r w:rsidRPr="00C462C9">
        <w:rPr>
          <w:rFonts w:ascii="Times New Roman" w:hAnsi="Times New Roman" w:cs="Times New Roman"/>
          <w:i/>
          <w:iCs/>
          <w:sz w:val="20"/>
          <w:szCs w:val="20"/>
        </w:rPr>
        <w:t>ElectKB</w:t>
      </w:r>
      <w:r w:rsidRPr="00C462C9">
        <w:rPr>
          <w:rFonts w:ascii="Times New Roman" w:hAnsi="Times New Roman" w:cs="Times New Roman"/>
          <w:sz w:val="20"/>
          <w:szCs w:val="20"/>
        </w:rPr>
        <w:t xml:space="preserve"> (Australasian Legal Information Institute, 2020) &lt;http://austlii.community/foswiki/DataLex/ElectKB&gt;</w:t>
      </w:r>
    </w:p>
    <w:p w14:paraId="09D15BAF" w14:textId="0CF66FBB" w:rsidR="00B83B65" w:rsidRPr="00C462C9" w:rsidRDefault="00506773" w:rsidP="00161898">
      <w:pPr>
        <w:spacing w:line="480" w:lineRule="auto"/>
        <w:ind w:firstLine="720"/>
        <w:rPr>
          <w:rFonts w:ascii="Times New Roman" w:hAnsi="Times New Roman" w:cs="Times New Roman"/>
          <w:i/>
          <w:iCs/>
          <w:sz w:val="20"/>
          <w:szCs w:val="20"/>
        </w:rPr>
      </w:pPr>
      <w:r w:rsidRPr="00C462C9">
        <w:rPr>
          <w:rFonts w:ascii="Times New Roman" w:hAnsi="Times New Roman" w:cs="Times New Roman"/>
          <w:i/>
          <w:iCs/>
          <w:sz w:val="20"/>
          <w:szCs w:val="20"/>
        </w:rPr>
        <w:t xml:space="preserve">Australian Securities &amp; Investments Commission </w:t>
      </w:r>
      <w:r w:rsidR="00B83B65" w:rsidRPr="00C462C9">
        <w:rPr>
          <w:rFonts w:ascii="Times New Roman" w:hAnsi="Times New Roman" w:cs="Times New Roman"/>
          <w:i/>
          <w:iCs/>
          <w:sz w:val="20"/>
          <w:szCs w:val="20"/>
        </w:rPr>
        <w:t>Credit (Unsuitability—Credit Cards) Instrument 2018/753</w:t>
      </w:r>
    </w:p>
    <w:p w14:paraId="595A3830" w14:textId="1640C3AA" w:rsidR="00BA7082" w:rsidRPr="00C462C9" w:rsidRDefault="001F1318" w:rsidP="00BA7082">
      <w:pPr>
        <w:spacing w:line="480" w:lineRule="auto"/>
        <w:ind w:firstLine="720"/>
        <w:rPr>
          <w:rFonts w:ascii="Times New Roman" w:hAnsi="Times New Roman" w:cs="Times New Roman"/>
          <w:sz w:val="20"/>
          <w:szCs w:val="20"/>
        </w:rPr>
      </w:pPr>
      <w:bookmarkStart w:id="14" w:name="_Hlk52722212"/>
      <w:r w:rsidRPr="00C462C9">
        <w:rPr>
          <w:rFonts w:ascii="Times New Roman" w:hAnsi="Times New Roman" w:cs="Times New Roman"/>
          <w:sz w:val="20"/>
          <w:szCs w:val="20"/>
        </w:rPr>
        <w:t>Australian Securities &amp; Investments Commission, Regulatory Guide 209: Credit Licensing: Responsible Lending Conduct</w:t>
      </w:r>
    </w:p>
    <w:bookmarkEnd w:id="14"/>
    <w:p w14:paraId="3DE392D3" w14:textId="5E847920" w:rsidR="00506773" w:rsidRPr="00C462C9" w:rsidRDefault="00506773" w:rsidP="0016189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Australian Taxation Office, </w:t>
      </w:r>
      <w:r w:rsidRPr="00C462C9">
        <w:rPr>
          <w:rFonts w:ascii="Times New Roman" w:hAnsi="Times New Roman" w:cs="Times New Roman"/>
          <w:i/>
          <w:iCs/>
          <w:sz w:val="20"/>
          <w:szCs w:val="20"/>
        </w:rPr>
        <w:t xml:space="preserve">Decision Impact Statement on Pintarich v Deputy Commission of Taxation [2018] FCAFC 79 </w:t>
      </w:r>
      <w:r w:rsidRPr="00C462C9">
        <w:rPr>
          <w:rFonts w:ascii="Times New Roman" w:hAnsi="Times New Roman" w:cs="Times New Roman"/>
          <w:sz w:val="20"/>
          <w:szCs w:val="20"/>
        </w:rPr>
        <w:t>(4 April 2019).</w:t>
      </w:r>
    </w:p>
    <w:p w14:paraId="6935E7D2" w14:textId="54766ED0" w:rsidR="00C972AD" w:rsidRPr="00C462C9" w:rsidRDefault="00C972AD" w:rsidP="00C972AD">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‘Datetime — Basic Date and Time Types’, </w:t>
      </w:r>
      <w:r w:rsidRPr="00C462C9">
        <w:rPr>
          <w:rFonts w:ascii="Times New Roman" w:hAnsi="Times New Roman" w:cs="Times New Roman"/>
          <w:i/>
          <w:iCs/>
          <w:sz w:val="20"/>
          <w:szCs w:val="20"/>
        </w:rPr>
        <w:t>Python 3.8.6 documentation</w:t>
      </w:r>
      <w:r w:rsidRPr="00C462C9">
        <w:rPr>
          <w:rFonts w:ascii="Times New Roman" w:hAnsi="Times New Roman" w:cs="Times New Roman"/>
          <w:sz w:val="20"/>
          <w:szCs w:val="20"/>
        </w:rPr>
        <w:t xml:space="preserve"> (Documentation, 29 September 2020) &lt;https://docs.python.org/3/library/datetime.html&gt;</w:t>
      </w:r>
    </w:p>
    <w:p w14:paraId="756520E8" w14:textId="2118C6ED" w:rsidR="001152C3" w:rsidRPr="00C462C9" w:rsidRDefault="001152C3" w:rsidP="0016189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lastRenderedPageBreak/>
        <w:t xml:space="preserve">Directorate-General for Communication, ‘Translation’, </w:t>
      </w:r>
      <w:r w:rsidRPr="00C462C9">
        <w:rPr>
          <w:rFonts w:ascii="Times New Roman" w:hAnsi="Times New Roman" w:cs="Times New Roman"/>
          <w:i/>
          <w:iCs/>
          <w:sz w:val="20"/>
          <w:szCs w:val="20"/>
        </w:rPr>
        <w:t>European Commission</w:t>
      </w:r>
      <w:r w:rsidR="009470A6" w:rsidRPr="00C462C9">
        <w:rPr>
          <w:rFonts w:ascii="Times New Roman" w:hAnsi="Times New Roman" w:cs="Times New Roman"/>
          <w:sz w:val="20"/>
          <w:szCs w:val="20"/>
        </w:rPr>
        <w:t xml:space="preserve"> </w:t>
      </w:r>
      <w:r w:rsidRPr="00C462C9">
        <w:rPr>
          <w:rFonts w:ascii="Times New Roman" w:hAnsi="Times New Roman" w:cs="Times New Roman"/>
          <w:sz w:val="20"/>
          <w:szCs w:val="20"/>
        </w:rPr>
        <w:t>&lt;https://ec.europa.eu/info/departments/translation_en&gt;</w:t>
      </w:r>
    </w:p>
    <w:p w14:paraId="50BCEC36" w14:textId="06262CB3" w:rsidR="005822EE" w:rsidRPr="00C462C9" w:rsidRDefault="005822EE" w:rsidP="0016189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Dixon J, “Concerning Judicial Method” (1956) 29 ALJ 468, 472</w:t>
      </w:r>
    </w:p>
    <w:p w14:paraId="018D77DE" w14:textId="2B3C32E7" w:rsidR="001F1318" w:rsidRPr="00C462C9" w:rsidRDefault="001F1318" w:rsidP="0016189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New Zealand Law Foundation, ‘Projects Funded | The Law Foundation’ &lt;https://www.lawfoundation.org.nz/?page_id=6882&gt;</w:t>
      </w:r>
    </w:p>
    <w:p w14:paraId="22136E37" w14:textId="4D8230D7" w:rsidR="00B83B65" w:rsidRPr="00C462C9" w:rsidRDefault="00B83B65" w:rsidP="0016189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Explanatory Memorandum, Crimes Legislation Amendment Bill 1987 (Cth)</w:t>
      </w:r>
    </w:p>
    <w:p w14:paraId="16987F40" w14:textId="3EFFE564" w:rsidR="004B7FAB" w:rsidRPr="00C462C9" w:rsidRDefault="004B7FAB" w:rsidP="0016189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Explanatory Memorandum, National Consumer Credit Protection Bill 2009 (Cth)</w:t>
      </w:r>
    </w:p>
    <w:p w14:paraId="7A1006F0" w14:textId="75D1AE24" w:rsidR="00DD6466" w:rsidRPr="00C462C9" w:rsidRDefault="00DD6466" w:rsidP="0016189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fldChar w:fldCharType="begin"/>
      </w:r>
      <w:r w:rsidRPr="00C462C9">
        <w:rPr>
          <w:rFonts w:ascii="Times New Roman" w:hAnsi="Times New Roman" w:cs="Times New Roman"/>
          <w:sz w:val="20"/>
          <w:szCs w:val="20"/>
        </w:rPr>
        <w:instrText xml:space="preserve"> ADDIN ZOTERO_ITEM CSL_CITATION {"citationID":"awomDONx","properties":{"formattedCitation":"Robert French, \\uc0\\u8216{}Statutory Interpretation and Rationality in Administrative Law\\uc0\\u8217{} (2015) 6\\uc0\\u8211{}7 &lt;http://www.austlii.edu.au/au/journals/AIAdminLawF/2015/20.pdf&gt;.","plainCitation":"Robert French, ‘Statutory Interpretation and Rationality in Administrative Law’ (2015) 6–7 &lt;http://www.austlii.edu.au/au/journals/AIAdminLawF/2015/20.pdf&gt;.","noteIndex":16},"citationItems":[{"id":334,"uris":["http://zotero.org/users/6782581/items/P77X2FDS"],"uri":["http://zotero.org/users/6782581/items/P77X2FDS"],"itemData":{"id":334,"type":"paper-conference","event":"National Administrative Law Conference","event-place":"Canberra, Australia","publisher-place":"Canberra, Australia","title":"Statutory Interpretation and Rationality in Administrative Law","URL":"http://www.austlii.edu.au/au/journals/AIAdminLawF/2015/20.pdf","author":[{"family":"French","given":"Robert"}],"accessed":{"date-parts":[["2020",9,29]]},"issued":{"date-parts":[["2015",7,23]]}},"locator":"6-7"}],"schema":"https://github.com/citation-style-language/schema/raw/master/csl-citation.json"} </w:instrText>
      </w:r>
      <w:r w:rsidRPr="00C462C9">
        <w:rPr>
          <w:rFonts w:ascii="Times New Roman" w:hAnsi="Times New Roman" w:cs="Times New Roman"/>
          <w:sz w:val="20"/>
          <w:szCs w:val="20"/>
        </w:rPr>
        <w:fldChar w:fldCharType="separate"/>
      </w:r>
      <w:r w:rsidRPr="00C462C9">
        <w:rPr>
          <w:rFonts w:ascii="Times New Roman" w:hAnsi="Times New Roman" w:cs="Times New Roman"/>
          <w:sz w:val="20"/>
          <w:szCs w:val="20"/>
        </w:rPr>
        <w:t>French, Robert, ‘Statutory Interpretation and Rationality in Administrative Law’ (2015) 6–7 &lt;http://www.austlii.edu.au/au/journals/AIAdminLawF/2015/20.pdf&gt;.</w:t>
      </w:r>
      <w:r w:rsidRPr="00C462C9">
        <w:rPr>
          <w:rFonts w:ascii="Times New Roman" w:hAnsi="Times New Roman" w:cs="Times New Roman"/>
          <w:sz w:val="20"/>
          <w:szCs w:val="20"/>
        </w:rPr>
        <w:fldChar w:fldCharType="end"/>
      </w:r>
    </w:p>
    <w:p w14:paraId="67A62CA6" w14:textId="7B2976DF" w:rsidR="00BA7082" w:rsidRPr="00C462C9" w:rsidRDefault="00BA7082" w:rsidP="0016189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Godfrey,</w:t>
      </w:r>
      <w:r w:rsidR="00DA6A3D" w:rsidRPr="00C462C9">
        <w:rPr>
          <w:rFonts w:ascii="Times New Roman" w:hAnsi="Times New Roman" w:cs="Times New Roman"/>
          <w:sz w:val="20"/>
          <w:szCs w:val="20"/>
        </w:rPr>
        <w:t xml:space="preserve"> Nicholas,</w:t>
      </w:r>
      <w:r w:rsidRPr="00C462C9">
        <w:rPr>
          <w:rFonts w:ascii="Times New Roman" w:hAnsi="Times New Roman" w:cs="Times New Roman"/>
          <w:sz w:val="20"/>
          <w:szCs w:val="20"/>
        </w:rPr>
        <w:t xml:space="preserve"> </w:t>
      </w:r>
      <w:r w:rsidRPr="00C462C9">
        <w:rPr>
          <w:rFonts w:ascii="Times New Roman" w:hAnsi="Times New Roman" w:cs="Times New Roman"/>
          <w:i/>
          <w:iCs/>
          <w:sz w:val="20"/>
          <w:szCs w:val="20"/>
        </w:rPr>
        <w:t>Rules as Code - Banking Compliance</w:t>
      </w:r>
      <w:r w:rsidRPr="00C462C9">
        <w:rPr>
          <w:rFonts w:ascii="Times New Roman" w:hAnsi="Times New Roman" w:cs="Times New Roman"/>
          <w:sz w:val="20"/>
          <w:szCs w:val="20"/>
        </w:rPr>
        <w:t xml:space="preserve"> (2020) &lt;https://github.com/NicGodfrey/Rules-As-Code_Banking-Compliance&gt;</w:t>
      </w:r>
    </w:p>
    <w:p w14:paraId="4CD73A15" w14:textId="31CE1F88" w:rsidR="004430AA" w:rsidRPr="00C462C9" w:rsidRDefault="004430AA" w:rsidP="0016189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Jenks,</w:t>
      </w:r>
      <w:r w:rsidR="00F95749" w:rsidRPr="00C462C9">
        <w:rPr>
          <w:rFonts w:ascii="Times New Roman" w:hAnsi="Times New Roman" w:cs="Times New Roman"/>
          <w:sz w:val="20"/>
          <w:szCs w:val="20"/>
        </w:rPr>
        <w:t xml:space="preserve"> Grant,</w:t>
      </w:r>
      <w:r w:rsidRPr="00C462C9">
        <w:rPr>
          <w:rFonts w:ascii="Times New Roman" w:hAnsi="Times New Roman" w:cs="Times New Roman"/>
          <w:sz w:val="20"/>
          <w:szCs w:val="20"/>
        </w:rPr>
        <w:t xml:space="preserve"> </w:t>
      </w:r>
      <w:r w:rsidRPr="00C462C9">
        <w:rPr>
          <w:rFonts w:ascii="Times New Roman" w:hAnsi="Times New Roman" w:cs="Times New Roman"/>
          <w:i/>
          <w:iCs/>
          <w:sz w:val="20"/>
          <w:szCs w:val="20"/>
        </w:rPr>
        <w:t>Tribool: Three-Valued Logic Data Type.</w:t>
      </w:r>
      <w:r w:rsidRPr="00C462C9">
        <w:rPr>
          <w:rFonts w:ascii="Times New Roman" w:hAnsi="Times New Roman" w:cs="Times New Roman"/>
          <w:sz w:val="20"/>
          <w:szCs w:val="20"/>
        </w:rPr>
        <w:t xml:space="preserve"> (online at 29 September 2020) &lt;http://www.grantjenks.com/docs/tribool/&gt; (‘</w:t>
      </w:r>
      <w:r w:rsidRPr="00C462C9">
        <w:rPr>
          <w:rFonts w:ascii="Times New Roman" w:hAnsi="Times New Roman" w:cs="Times New Roman"/>
          <w:i/>
          <w:iCs/>
          <w:sz w:val="20"/>
          <w:szCs w:val="20"/>
        </w:rPr>
        <w:t>Tribool</w:t>
      </w:r>
      <w:r w:rsidRPr="00C462C9">
        <w:rPr>
          <w:rFonts w:ascii="Times New Roman" w:hAnsi="Times New Roman" w:cs="Times New Roman"/>
          <w:sz w:val="20"/>
          <w:szCs w:val="20"/>
        </w:rPr>
        <w:t>’)</w:t>
      </w:r>
    </w:p>
    <w:p w14:paraId="4B9C6179" w14:textId="5EAB8CDD" w:rsidR="00235AFC" w:rsidRPr="00C462C9" w:rsidRDefault="00235AFC" w:rsidP="0016189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Khadem, Nassim, ‘Tax Office Computer Says Yes, Federal Court Says No’, </w:t>
      </w:r>
      <w:r w:rsidRPr="00C462C9">
        <w:rPr>
          <w:rFonts w:ascii="Times New Roman" w:hAnsi="Times New Roman" w:cs="Times New Roman"/>
          <w:i/>
          <w:iCs/>
          <w:sz w:val="20"/>
          <w:szCs w:val="20"/>
        </w:rPr>
        <w:t>ABC News</w:t>
      </w:r>
      <w:r w:rsidRPr="00C462C9">
        <w:rPr>
          <w:rFonts w:ascii="Times New Roman" w:hAnsi="Times New Roman" w:cs="Times New Roman"/>
          <w:sz w:val="20"/>
          <w:szCs w:val="20"/>
        </w:rPr>
        <w:t xml:space="preserve"> (online, 5 October 2018) &lt;https://www.abc.net.au/news/2018-10-05/tax-office-computer-says-yes-federal-court-says-no/10341548&gt;</w:t>
      </w:r>
    </w:p>
    <w:p w14:paraId="5C8E0610" w14:textId="4F8B870D" w:rsidR="00B15325" w:rsidRPr="00C462C9" w:rsidRDefault="00B15325" w:rsidP="0016189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National Judicial College of Australia, ‘Corporations’, </w:t>
      </w:r>
      <w:r w:rsidRPr="00C462C9">
        <w:rPr>
          <w:rFonts w:ascii="Times New Roman" w:hAnsi="Times New Roman" w:cs="Times New Roman"/>
          <w:i/>
          <w:iCs/>
          <w:sz w:val="20"/>
          <w:szCs w:val="20"/>
        </w:rPr>
        <w:t>Commonwealth Sentencing Database</w:t>
      </w:r>
      <w:r w:rsidRPr="00C462C9">
        <w:rPr>
          <w:rFonts w:ascii="Times New Roman" w:hAnsi="Times New Roman" w:cs="Times New Roman"/>
          <w:sz w:val="20"/>
          <w:szCs w:val="20"/>
        </w:rPr>
        <w:t xml:space="preserve"> (Database) &lt;https://csd.njca.com.au/principles-practice/categories-of-federal-offenders/corporations2/&gt;</w:t>
      </w:r>
    </w:p>
    <w:p w14:paraId="17011AB2" w14:textId="164B29C4" w:rsidR="0037367B" w:rsidRPr="00C462C9" w:rsidRDefault="00141674" w:rsidP="0016189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Open Fisca, ‘From Law to Code — OpenFisca Documentation’, </w:t>
      </w:r>
      <w:r w:rsidRPr="00C462C9">
        <w:rPr>
          <w:rFonts w:ascii="Times New Roman" w:hAnsi="Times New Roman" w:cs="Times New Roman"/>
          <w:i/>
          <w:iCs/>
          <w:sz w:val="20"/>
          <w:szCs w:val="20"/>
        </w:rPr>
        <w:t>Open Fisca</w:t>
      </w:r>
      <w:r w:rsidRPr="00C462C9">
        <w:rPr>
          <w:rFonts w:ascii="Times New Roman" w:hAnsi="Times New Roman" w:cs="Times New Roman"/>
          <w:sz w:val="20"/>
          <w:szCs w:val="20"/>
        </w:rPr>
        <w:t xml:space="preserve"> (Wiki) &lt;https://openfisca.org/doc/coding-the-legislation/index.html&gt;</w:t>
      </w:r>
    </w:p>
    <w:p w14:paraId="23A9954A" w14:textId="630F13C0" w:rsidR="00141674" w:rsidRPr="00C462C9" w:rsidRDefault="00141674" w:rsidP="0016189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Open Fisca, ‘OpenFisca’, </w:t>
      </w:r>
      <w:r w:rsidRPr="00C462C9">
        <w:rPr>
          <w:rFonts w:ascii="Times New Roman" w:hAnsi="Times New Roman" w:cs="Times New Roman"/>
          <w:i/>
          <w:iCs/>
          <w:sz w:val="20"/>
          <w:szCs w:val="20"/>
        </w:rPr>
        <w:t>Open Fisca</w:t>
      </w:r>
      <w:r w:rsidRPr="00C462C9">
        <w:rPr>
          <w:rFonts w:ascii="Times New Roman" w:hAnsi="Times New Roman" w:cs="Times New Roman"/>
          <w:sz w:val="20"/>
          <w:szCs w:val="20"/>
        </w:rPr>
        <w:t xml:space="preserve"> (Wiki) &lt;https://openfisca.org/&gt;</w:t>
      </w:r>
    </w:p>
    <w:p w14:paraId="4061B423" w14:textId="7F4876B5" w:rsidR="00B15325" w:rsidRPr="00C462C9" w:rsidRDefault="00B15325" w:rsidP="0016189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Python Software Foundation, ‘Datetime — Basic Date and Time Types’, </w:t>
      </w:r>
      <w:r w:rsidRPr="00C462C9">
        <w:rPr>
          <w:rFonts w:ascii="Times New Roman" w:hAnsi="Times New Roman" w:cs="Times New Roman"/>
          <w:i/>
          <w:iCs/>
          <w:sz w:val="20"/>
          <w:szCs w:val="20"/>
        </w:rPr>
        <w:t>Python 3.8.6 documentation</w:t>
      </w:r>
      <w:r w:rsidRPr="00C462C9">
        <w:rPr>
          <w:rFonts w:ascii="Times New Roman" w:hAnsi="Times New Roman" w:cs="Times New Roman"/>
          <w:sz w:val="20"/>
          <w:szCs w:val="20"/>
        </w:rPr>
        <w:t xml:space="preserve"> (Documentation, 29 September 2020) &lt;https://docs.python.org/3/library/datetime.html&gt;</w:t>
      </w:r>
    </w:p>
    <w:p w14:paraId="6D968608" w14:textId="3D88B3AC" w:rsidR="001F1318" w:rsidRPr="00C462C9" w:rsidRDefault="001F1318" w:rsidP="0016189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‘Rules as Code – Test, Learn, Repeat’, </w:t>
      </w:r>
      <w:r w:rsidRPr="00C462C9">
        <w:rPr>
          <w:rFonts w:ascii="Times New Roman" w:hAnsi="Times New Roman" w:cs="Times New Roman"/>
          <w:i/>
          <w:iCs/>
          <w:sz w:val="20"/>
          <w:szCs w:val="20"/>
        </w:rPr>
        <w:t>Digital.NSW</w:t>
      </w:r>
      <w:r w:rsidRPr="00C462C9">
        <w:rPr>
          <w:rFonts w:ascii="Times New Roman" w:hAnsi="Times New Roman" w:cs="Times New Roman"/>
          <w:sz w:val="20"/>
          <w:szCs w:val="20"/>
        </w:rPr>
        <w:t xml:space="preserve"> &lt;https://www.digital.nsw.gov.au/article/rules-code-test-learn-repeat&gt;</w:t>
      </w:r>
    </w:p>
    <w:p w14:paraId="1064B45B" w14:textId="1DF22588" w:rsidR="00141674" w:rsidRPr="00C462C9" w:rsidRDefault="00141674" w:rsidP="0016189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lastRenderedPageBreak/>
        <w:t xml:space="preserve">Stanford Law School, ‘Hammurabi’, </w:t>
      </w:r>
      <w:r w:rsidRPr="00C462C9">
        <w:rPr>
          <w:rFonts w:ascii="Times New Roman" w:hAnsi="Times New Roman" w:cs="Times New Roman"/>
          <w:i/>
          <w:iCs/>
          <w:sz w:val="20"/>
          <w:szCs w:val="20"/>
        </w:rPr>
        <w:t>Stanford Law School</w:t>
      </w:r>
      <w:r w:rsidRPr="00C462C9">
        <w:rPr>
          <w:rFonts w:ascii="Times New Roman" w:hAnsi="Times New Roman" w:cs="Times New Roman"/>
          <w:sz w:val="20"/>
          <w:szCs w:val="20"/>
        </w:rPr>
        <w:t xml:space="preserve"> &lt;https://law.stanford.edu/projects/hammurabi/&gt;</w:t>
      </w:r>
    </w:p>
    <w:p w14:paraId="50E412C6" w14:textId="573FEB87" w:rsidR="00141674" w:rsidRPr="00C462C9" w:rsidRDefault="00141674" w:rsidP="00161898">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 xml:space="preserve">‘Statement of Claim’, </w:t>
      </w:r>
      <w:r w:rsidRPr="00C462C9">
        <w:rPr>
          <w:rFonts w:ascii="Times New Roman" w:hAnsi="Times New Roman" w:cs="Times New Roman"/>
          <w:i/>
          <w:iCs/>
          <w:sz w:val="20"/>
          <w:szCs w:val="20"/>
        </w:rPr>
        <w:t>Chief Executive Officer of the Australian Transaction Reports and Analysis Centre v Westpac Banking Corporation</w:t>
      </w:r>
      <w:r w:rsidRPr="00C462C9">
        <w:rPr>
          <w:rFonts w:ascii="Times New Roman" w:hAnsi="Times New Roman" w:cs="Times New Roman"/>
          <w:sz w:val="20"/>
          <w:szCs w:val="20"/>
        </w:rPr>
        <w:t xml:space="preserve"> (Federal Court of Australia, 20 November 2019)</w:t>
      </w:r>
    </w:p>
    <w:p w14:paraId="4AD9C1F6" w14:textId="0EF00454" w:rsidR="00141674" w:rsidRPr="00C462C9" w:rsidRDefault="005822EE" w:rsidP="00AB3E6B">
      <w:pPr>
        <w:spacing w:line="480" w:lineRule="auto"/>
        <w:ind w:firstLine="720"/>
        <w:rPr>
          <w:rFonts w:ascii="Times New Roman" w:hAnsi="Times New Roman" w:cs="Times New Roman"/>
          <w:sz w:val="20"/>
          <w:szCs w:val="20"/>
        </w:rPr>
      </w:pPr>
      <w:r w:rsidRPr="00C462C9">
        <w:rPr>
          <w:rFonts w:ascii="Times New Roman" w:hAnsi="Times New Roman" w:cs="Times New Roman"/>
          <w:sz w:val="20"/>
          <w:szCs w:val="20"/>
        </w:rPr>
        <w:t>“Swearing in of Sir Own Dixon as Chief Justice” (1952) 85 CLR xi</w:t>
      </w:r>
    </w:p>
    <w:p w14:paraId="0BF58965" w14:textId="77777777" w:rsidR="007F30E7" w:rsidRPr="00C462C9" w:rsidRDefault="007F30E7" w:rsidP="00AB3E6B">
      <w:pPr>
        <w:spacing w:line="480" w:lineRule="auto"/>
        <w:ind w:firstLine="720"/>
        <w:rPr>
          <w:rFonts w:ascii="Times New Roman" w:hAnsi="Times New Roman" w:cs="Times New Roman"/>
          <w:sz w:val="20"/>
          <w:szCs w:val="20"/>
        </w:rPr>
      </w:pPr>
    </w:p>
    <w:sectPr w:rsidR="007F30E7" w:rsidRPr="00C462C9">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189D8" w14:textId="77777777" w:rsidR="005941A5" w:rsidRDefault="005941A5" w:rsidP="00A106C8">
      <w:pPr>
        <w:spacing w:after="0" w:line="240" w:lineRule="auto"/>
      </w:pPr>
      <w:r>
        <w:separator/>
      </w:r>
    </w:p>
  </w:endnote>
  <w:endnote w:type="continuationSeparator" w:id="0">
    <w:p w14:paraId="5B6FF4B2" w14:textId="77777777" w:rsidR="005941A5" w:rsidRDefault="005941A5" w:rsidP="00A10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9273046"/>
      <w:docPartObj>
        <w:docPartGallery w:val="Page Numbers (Bottom of Page)"/>
        <w:docPartUnique/>
      </w:docPartObj>
    </w:sdtPr>
    <w:sdtEndPr>
      <w:rPr>
        <w:noProof/>
      </w:rPr>
    </w:sdtEndPr>
    <w:sdtContent>
      <w:p w14:paraId="5774FCAF" w14:textId="55287319" w:rsidR="004538FF" w:rsidRDefault="00453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2FEF96" w14:textId="77777777" w:rsidR="004538FF" w:rsidRDefault="00453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6C022" w14:textId="77777777" w:rsidR="005941A5" w:rsidRDefault="005941A5" w:rsidP="00A106C8">
      <w:pPr>
        <w:spacing w:after="0" w:line="240" w:lineRule="auto"/>
      </w:pPr>
      <w:r>
        <w:separator/>
      </w:r>
    </w:p>
  </w:footnote>
  <w:footnote w:type="continuationSeparator" w:id="0">
    <w:p w14:paraId="5E267519" w14:textId="77777777" w:rsidR="005941A5" w:rsidRDefault="005941A5" w:rsidP="00A106C8">
      <w:pPr>
        <w:spacing w:after="0" w:line="240" w:lineRule="auto"/>
      </w:pPr>
      <w:r>
        <w:continuationSeparator/>
      </w:r>
    </w:p>
  </w:footnote>
  <w:footnote w:id="1">
    <w:p w14:paraId="2C85C447" w14:textId="11B24528"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{"citationID":"H6oUQxaC","properties":{"formattedCitation":"See James Mohun and Alex Roberts, \\uc0\\u8216{}Cracking the Code: Rulemaking for Humans and Machines\\uc0\\u8217{} (Observatory of Public Sector Innovation, Organsation for Economic Co-operation and Development, 27 May 2020) 58\\uc0\\u8211{}59.","plainCitation":"See James Mohun and Alex Roberts, ‘Cracking the Code: Rulemaking for Humans and Machines’ (Observatory of Public Sector Innovation, Organsation for Economic Co-operation and Development, 27 May 2020) 58–59.","noteIndex":1},"citationItems":[{"id":19,"uris":["http://zotero.org/users/6782581/items/HWX5UKVU"],"uri":["http://zotero.org/users/6782581/items/HWX5UKVU"],"itemData":{"id":19,"type":"article","publisher":"Observatory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machines","author":[{"family":"Mohun","given":"James"},{"family":"Roberts","given":"Alex"}],"issued":{"date-parts":[["2020",5,27]]}},"locator":"58-59","prefix":"See "}],"schema":"https://github.com/citation-style-language/schema/raw/master/csl-citation.json"}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See James Mohun and Alex Roberts, ‘Cracking the Code: Rulemaking for Humans and Machines’ (Observatory of Public Sector Innovation, Organsation for Economic Co-operation and Development, 27 May 2020) 58–59.</w:t>
      </w:r>
      <w:r w:rsidRPr="004538FF">
        <w:rPr>
          <w:rFonts w:ascii="Times New Roman" w:hAnsi="Times New Roman" w:cs="Times New Roman"/>
        </w:rPr>
        <w:fldChar w:fldCharType="end"/>
      </w:r>
    </w:p>
  </w:footnote>
  <w:footnote w:id="2">
    <w:p w14:paraId="07EF7C00" w14:textId="19A47745"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2009</w:t>
      </w:r>
      <w:r w:rsidRPr="004538FF">
        <w:rPr>
          <w:rFonts w:ascii="Times New Roman" w:hAnsi="Times New Roman" w:cs="Times New Roman"/>
        </w:rPr>
        <w:t xml:space="preserve"> (Cth).</w:t>
      </w:r>
    </w:p>
  </w:footnote>
  <w:footnote w:id="3">
    <w:p w14:paraId="090ED469" w14:textId="015CF758"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{"citationID":"QJ5dLzcU","properties":{"formattedCitation":"Accessible at Nicholas Godfrey, {\\i{}Rules as Code - Banking Compliance} (2020) &lt;https://github.com/NicGodfrey/Rules-As-Code_Banking-Compliance&gt;.","plainCitation":"Accessible at Nicholas Godfrey, Rules as Code - Banking Compliance (2020) &lt;https://github.com/NicGodfrey/Rules-As-Code_Banking-Compliance&gt;.","noteIndex":3},"citationItems":[{"id":344,"uris":["http://zotero.org/users/6782581/items/ZB4I4JSX"],"uri":["http://zotero.org/users/6782581/items/ZB4I4JSX"],"itemData":{"id":344,"type":"book","title":"Rules as Code - Banking Compliance","URL":"https://github.com/NicGodfrey/Rules-As-Code_Banking-Compliance","author":[{"family":"Godfrey","given":"Nicholas"}],"accessed":{"date-parts":[["2020",10,2]]},"issued":{"date-parts":[["2020",10,2]]}},"prefix":"Accessible at"}],"schema":"https://github.com/citation-style-language/schema/raw/master/csl-citation.json"}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Accessible at Nicholas Godfrey, </w:t>
      </w:r>
      <w:r w:rsidRPr="004538FF">
        <w:rPr>
          <w:rFonts w:ascii="Times New Roman" w:hAnsi="Times New Roman" w:cs="Times New Roman"/>
          <w:i/>
          <w:iCs/>
          <w:szCs w:val="24"/>
        </w:rPr>
        <w:t>Rules as Code - Banking Compliance</w:t>
      </w:r>
      <w:r w:rsidRPr="004538FF">
        <w:rPr>
          <w:rFonts w:ascii="Times New Roman" w:hAnsi="Times New Roman" w:cs="Times New Roman"/>
          <w:szCs w:val="24"/>
        </w:rPr>
        <w:t xml:space="preserve"> (2020) &lt;https://github.com/NicGodfrey/Rules-As-Code_Banking-Compliance&gt;.</w:t>
      </w:r>
      <w:r w:rsidRPr="004538FF">
        <w:rPr>
          <w:rFonts w:ascii="Times New Roman" w:hAnsi="Times New Roman" w:cs="Times New Roman"/>
        </w:rPr>
        <w:fldChar w:fldCharType="end"/>
      </w:r>
    </w:p>
  </w:footnote>
  <w:footnote w:id="4">
    <w:p w14:paraId="1EF6079F" w14:textId="66975D86"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That is, given a set of inputs (facts), an output (decision) can be determined according to pre-set rules.</w:t>
      </w:r>
    </w:p>
  </w:footnote>
  <w:footnote w:id="5">
    <w:p w14:paraId="35DB3E9F" w14:textId="2C9A5D29"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Systems such as the common law, of course, have less computational potential than, for example, statute.</w:t>
      </w:r>
    </w:p>
  </w:footnote>
  <w:footnote w:id="6">
    <w:p w14:paraId="5DE75FF2" w14:textId="7CCAB3B1"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{"citationID":"pgYQnJho","properties":{"formattedCitation":"Martha T Roth and Harry A Hoffner, {\\i{}Law Collections from Mesopotamia and Asia Minor} (Society of Biblical Literature, 2nd ed, 1997) 13\\uc0\\u8211{}22.","plainCitation":"Martha T Roth and Harry A Hoffner, Law Collections from Mesopotamia and Asia Minor (Society of Biblical Literature, 2nd ed, 1997) 13–22.","noteIndex":7},"citationItems":[{"id":73,"uris":["http://zotero.org/users/6782581/items/J8UBSSBN"],"uri":["http://zotero.org/users/6782581/items/J8UBSSBN"],"itemData":{"id":73,"type":"book","edition":"2nd","publisher":"Society of Biblical Literature","title":"Law collections from Mesopotamia and Asia Minor","author":[{"family":"Roth","given":"Martha T."},{"family":"Hoffner","given":"Harry A."}],"issued":{"date-parts":[["1997"]]}},"locator":"13-22"}],"schema":"https://github.com/citation-style-language/schema/raw/master/csl-citation.json"}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 xml:space="preserve">Martha T Roth and Harry A Hoffner, </w:t>
      </w:r>
      <w:r w:rsidRPr="004538FF">
        <w:rPr>
          <w:rFonts w:ascii="Times New Roman" w:hAnsi="Times New Roman" w:cs="Times New Roman"/>
          <w:i/>
          <w:iCs/>
        </w:rPr>
        <w:t>Law Collections from Mesopotamia and Asia Minor</w:t>
      </w:r>
      <w:r w:rsidRPr="004538FF">
        <w:rPr>
          <w:rFonts w:ascii="Times New Roman" w:hAnsi="Times New Roman" w:cs="Times New Roman"/>
        </w:rPr>
        <w:t xml:space="preserve"> (Society of Biblical Literature, 2nd ed, 1997) 13–22.</w:t>
      </w:r>
      <w:r w:rsidRPr="004538FF">
        <w:rPr>
          <w:rFonts w:ascii="Times New Roman" w:hAnsi="Times New Roman" w:cs="Times New Roman"/>
        </w:rPr>
        <w:fldChar w:fldCharType="end"/>
      </w:r>
    </w:p>
  </w:footnote>
  <w:footnote w:id="7">
    <w:p w14:paraId="4EB26EC7" w14:textId="0061D779"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{"citationID":"4658iEd0","properties":{"formattedCitation":"Stephen Wolfram, \\uc0\\u8216{}Computational Law, Symbolic Discourse, and the AI Constitution\\uc0\\u8217{} in {\\i{}Ethics of Artificial Intelligence} (Oxford University Press, 2020) 155, 155.","plainCitation":"Stephen Wolfram, ‘Computational Law, Symbolic Discourse, and the AI Constitution’ in Ethics of Artificial Intelligence (Oxford University Press, 2020) 155, 155.","noteIndex":8},"citationItems":[{"id":104,"uris":["http://zotero.org/users/6782581/items/28QHAVCI"],"uri":["http://zotero.org/users/6782581/items/28QHAVCI"],"itemData":{"id":104,"type":"chapter","container-title":"Ethics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Constitution","author":[{"family":"Wolfram","given":"Stephen"}],"issued":{"date-parts":[["2020"]]}},"locator":"155"}],"schema":"https://github.com/citation-style-language/schema/raw/master/csl-citation.json"}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 xml:space="preserve">Stephen Wolfram, ‘Computational Law, Symbolic Discourse, and the AI Constitution’ in </w:t>
      </w:r>
      <w:r w:rsidRPr="004538FF">
        <w:rPr>
          <w:rFonts w:ascii="Times New Roman" w:hAnsi="Times New Roman" w:cs="Times New Roman"/>
          <w:i/>
          <w:iCs/>
        </w:rPr>
        <w:t>Ethics of Artificial Intelligence</w:t>
      </w:r>
      <w:r w:rsidRPr="004538FF">
        <w:rPr>
          <w:rFonts w:ascii="Times New Roman" w:hAnsi="Times New Roman" w:cs="Times New Roman"/>
        </w:rPr>
        <w:t xml:space="preserve"> (Oxford University Press, 2020) 155, 155.</w:t>
      </w:r>
      <w:r w:rsidRPr="004538FF">
        <w:rPr>
          <w:rFonts w:ascii="Times New Roman" w:hAnsi="Times New Roman" w:cs="Times New Roman"/>
        </w:rPr>
        <w:fldChar w:fldCharType="end"/>
      </w:r>
    </w:p>
  </w:footnote>
  <w:footnote w:id="8">
    <w:p w14:paraId="22FF920B" w14:textId="64298C1C" w:rsidR="004538FF" w:rsidRPr="004538FF" w:rsidRDefault="004538FF" w:rsidP="00F70A88">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{"citationID":"qAqcYknH","properties":{"formattedCitation":"Layman Allen and C Engholm, \\uc0\\u8216{}Normalized Legal Drafting and the Query Method\\uc0\\u8217{} (1978) 29 {\\i{}Journal of Legal Education} 380.","plainCitation":"Layman Allen and C Engholm, ‘Normalized Legal Drafting and the Query Method’ (1978) 29 Journal of Legal Education 380.","noteIndex":9},"citationItems":[{"id":44,"uris":["http://zotero.org/users/6782581/items/UJXJJU2E"],"uri":["http://zotero.org/users/6782581/items/UJXJJU2E"],"itemData":{"id":44,"type":"article-journal","container-title":"Journal of Legal Education","page":"380-412","title":"Normalized Legal Drafting and the Query Method","volume":"29","author":[{"family":"Allen","given":"Layman"},{"family":"Engholm","given":"C."}],"issued":{"date-parts":[["1978"]]}}}],"schema":"https://github.com/citation-style-language/schema/raw/master/csl-citation.json"}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 xml:space="preserve">Layman Allen and C Engholm, ‘Normalized Legal Drafting and the Query Method’ (1978) 29 </w:t>
      </w:r>
      <w:r w:rsidRPr="004538FF">
        <w:rPr>
          <w:rFonts w:ascii="Times New Roman" w:hAnsi="Times New Roman" w:cs="Times New Roman"/>
          <w:i/>
          <w:iCs/>
        </w:rPr>
        <w:t>Journal of Legal Education</w:t>
      </w:r>
      <w:r w:rsidRPr="004538FF">
        <w:rPr>
          <w:rFonts w:ascii="Times New Roman" w:hAnsi="Times New Roman" w:cs="Times New Roman"/>
        </w:rPr>
        <w:t xml:space="preserve"> 380.</w:t>
      </w:r>
      <w:r w:rsidRPr="004538FF">
        <w:rPr>
          <w:rFonts w:ascii="Times New Roman" w:hAnsi="Times New Roman" w:cs="Times New Roman"/>
        </w:rPr>
        <w:fldChar w:fldCharType="end"/>
      </w:r>
    </w:p>
  </w:footnote>
  <w:footnote w:id="9">
    <w:p w14:paraId="63A9A82C" w14:textId="0DBFBD6A"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{"citationID":"CQkTsJG2","properties":{"formattedCitation":"See, eg, Kevin D Ashley, {\\i{}Artificial Intelligence and Legal Analytics: New Tools for Law Practice in the Digital Age} (Cambridge University Press, 2017) 39\\uc0\\u8211{}40, 44\\uc0\\u8211{}47 (\\uc0\\u8216{}{\\i{}Artificial Intelligence and Legal Analytics}\\uc0\\u8217{}).","plainCitation":"See, eg, Kevin D Ashley, Artificial Intelligence and Legal Analytics: New Tools for Law Practice in the Digital Age (Cambridge University Press, 2017) 39–40, 44–47 (‘Artificial Intelligence and Legal Analytics’).","noteIndex":10},"citationItems":[{"id":366,"uris":["http://zotero.org/users/6782581/items/CEGSLKJN"],"uri":["http://zotero.org/users/6782581/items/CEGSLKJN"],"itemData":{"id":366,"type":"book","abstract":"The field of artificial intelligence (AI) and the law is on the cusp of a revolution that began with text analytic programs like IBM's Watson and Debater and the open-source information management architectures on which they are based. Today, new legal applications are beginning to appear and this book - designed to explain computational processes to non-programmers - describes how they will change the practice of law, specifically by connecting computational models of legal reasoning directly with legal text, generating arguments for and against particular outcomes, predicting outcomes and explaining these predictions with reasons that legal professionals will be able to evaluate for themselves. These legal applications will support conceptual legal information retrieval and allow cognitive computing, enabling a collaboration between humans and computers in which each does what it can do best. Anyone interested in how AI is changing the practice of law should read this illuminating work.","event-place":"Cambridge New York Melbourne Delhi Singapore","ISBN":"978-1-316-62281-0","language":"English","number-of-pages":"446","publisher":"Cambridge University Press","publisher-place":"Cambridge New York Melbourne Delhi Singapore","source":"Amazon","title":"Artificial Intelligence and Legal Analytics: New Tools for Law Practice in the Digital Age","title-short":"Artificial Intelligence and Legal Analytics","author":[{"family":"Ashley","given":"Kevin D."}],"issued":{"date-parts":[["2017",7,10]]}},"locator":"39-40, 44-47","prefix":"See, eg, "}],"schema":"https://github.com/citation-style-language/schema/raw/master/csl-citation.json"}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See, eg, Kevin D Ashley, </w:t>
      </w:r>
      <w:r w:rsidRPr="004538FF">
        <w:rPr>
          <w:rFonts w:ascii="Times New Roman" w:hAnsi="Times New Roman" w:cs="Times New Roman"/>
          <w:i/>
          <w:iCs/>
          <w:szCs w:val="24"/>
        </w:rPr>
        <w:t>Artificial Intelligence and Legal Analytics: New Tools for Law Practice in the Digital Age</w:t>
      </w:r>
      <w:r w:rsidRPr="004538FF">
        <w:rPr>
          <w:rFonts w:ascii="Times New Roman" w:hAnsi="Times New Roman" w:cs="Times New Roman"/>
          <w:szCs w:val="24"/>
        </w:rPr>
        <w:t xml:space="preserve"> (Cambridge University Press, 2017) 39–40, 44–47 (‘</w:t>
      </w:r>
      <w:r w:rsidRPr="004538FF">
        <w:rPr>
          <w:rFonts w:ascii="Times New Roman" w:hAnsi="Times New Roman" w:cs="Times New Roman"/>
          <w:i/>
          <w:iCs/>
          <w:szCs w:val="24"/>
        </w:rPr>
        <w:t>Artificial Intelligence and Legal Analytics</w:t>
      </w:r>
      <w:r w:rsidRPr="004538FF">
        <w:rPr>
          <w:rFonts w:ascii="Times New Roman" w:hAnsi="Times New Roman" w:cs="Times New Roman"/>
          <w:szCs w:val="24"/>
        </w:rPr>
        <w:t>’).</w:t>
      </w:r>
      <w:r w:rsidRPr="004538FF">
        <w:rPr>
          <w:rFonts w:ascii="Times New Roman" w:hAnsi="Times New Roman" w:cs="Times New Roman"/>
        </w:rPr>
        <w:fldChar w:fldCharType="end"/>
      </w:r>
    </w:p>
  </w:footnote>
  <w:footnote w:id="10">
    <w:p w14:paraId="7EAA2E5E" w14:textId="396342A1"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{"citationID":"5tNxCQtc","properties":{"formattedCitation":"Marek Sergot et al, \\uc0\\u8216{}The British Nationality Act as a Logic Program\\uc0\\u8217{} (1986) 29 {\\i{}Communications of the ACM} 370; See also Allen Hustler, {\\i{}Programming Law in Logic} (Research Report No CS-82-13, May 1982) &lt;http://www.softwarepreservation.org/projects/prolog/waterloo/doc/Hustler-Programming_Law_in_Logic-CS_82_13_Waterloo-1982.pdf&gt;; Duncan C MacRae, \\uc0\\u8216{}User Control Knowledge in a Tax Consulting System\\uc0\\u8217{} (1986) 19(17) {\\i{}IFAC Proceedings Volumes} 193.","plainCitation":"Marek Sergot et al, ‘The British Nationality Act as a Logic Program’ (1986) 29 Communications of the ACM 370; See also Allen Hustler, Programming Law in Logic (Research Report No CS-82-13, May 1982) &lt;http://www.softwarepreservation.org/projects/prolog/waterloo/doc/Hustler-Programming_Law_in_Logic-CS_82_13_Waterloo-1982.pdf&gt;; Duncan C MacRae, ‘User Control Knowledge in a Tax Consulting System’ (1986) 19(17) IFAC Proceedings Volumes 193.","noteIndex":11},"citationItems":[{"id":46,"uris":["http://zotero.org/users/6782581/items/WIX843XU"],"uri":["http://zotero.org/users/6782581/items/WIX843XU"],"itemData":{"id":46,"type":"article-journal","container-title":"Communications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id":175,"uris":["http://zotero.org/users/6782581/items/HH6DBWIK"],"uri":["http://zotero.org/users/6782581/items/HH6DBWIK"],"itemData":{"id":175,"type":"report","genre":"Research Report","number":"CS-82-13","title":"Programming Law in Logic","URL":"http://www.softwarepreservation.org/projects/prolog/waterloo/doc/Hustler-Programming_Law_in_Logic-CS_82_13_Waterloo-1982.pdf","author":[{"family":"Hustler","given":"Allen"}],"accessed":{"date-parts":[["2020",8,28]]},"issued":{"date-parts":[["1982",5]]}},"prefix":"See also"},{"id":176,"uris":["http://zotero.org/users/6782581/items/XFG8G4S8"],"uri":["http://zotero.org/users/6782581/items/XFG8G4S8"],"itemData":{"id":176,"type":"article-journal","abstract":"The purpose of this paper is to demonstrate the utility of including knowledge possessed by the user in developing a control strategy for an expert consulting system. Acquiring declarative knowledge imposes a burden on the user in terms of responding to the queries for facts as the system uses its control knowledge in an attempt to apply its procedural knowledge. Allowing the user to participate in the control strategy reduces this burden by reducing the nunber of unnecessary queries for facts. In this paper the input of control knowledge possessed by the user is illustrated in the context of a consulting system for problem solving in the domain of the Federal income tax law. This system is intended to be used by an accountant or lawyer who formulates a question of tax research and provides facts regarding a specific taxpayer to answer the question. The system is inplemented in the logic programning language Prolog.","collection-title":"IFAC Workshop on Artificial Intelligence in Economics and Management, Zurich, Switzerland, 12-14 March, 1985","container-title":"IFAC Proceedings Volumes","DOI":"10.1016/S1474-6670(17)69404-7","ISSN":"1474-6670","issue":"17","journalAbbreviation":"IFAC Proceedings Volumes","language":"en","page":"193-203","source":"ScienceDirect","title":"User control knowledge in a tax consulting system","volume":"19","author":[{"family":"MacRae","given":"Duncan C."}],"issued":{"date-parts":[["1986",3,1]]}}}],"schema":"https://github.com/citation-style-language/schema/raw/master/csl-citation.json"}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 xml:space="preserve">Marek Sergot et al, ‘The British Nationality Act as a Logic Program’ (1986) 29 </w:t>
      </w:r>
      <w:r w:rsidRPr="004538FF">
        <w:rPr>
          <w:rFonts w:ascii="Times New Roman" w:hAnsi="Times New Roman" w:cs="Times New Roman"/>
          <w:i/>
          <w:iCs/>
        </w:rPr>
        <w:t>Communications of the ACM</w:t>
      </w:r>
      <w:r w:rsidRPr="004538FF">
        <w:rPr>
          <w:rFonts w:ascii="Times New Roman" w:hAnsi="Times New Roman" w:cs="Times New Roman"/>
        </w:rPr>
        <w:t xml:space="preserve"> 370; See also Allen Hustler, </w:t>
      </w:r>
      <w:r w:rsidRPr="004538FF">
        <w:rPr>
          <w:rFonts w:ascii="Times New Roman" w:hAnsi="Times New Roman" w:cs="Times New Roman"/>
          <w:i/>
          <w:iCs/>
        </w:rPr>
        <w:t>Programming Law in Logic</w:t>
      </w:r>
      <w:r w:rsidRPr="004538FF">
        <w:rPr>
          <w:rFonts w:ascii="Times New Roman" w:hAnsi="Times New Roman" w:cs="Times New Roman"/>
        </w:rPr>
        <w:t xml:space="preserve"> (Research Report No CS-82-13, May 1982) &lt;http://www.softwarepreservation.org/projects/prolog/waterloo/doc/Hustler-Programming_Law_in_Logic-CS_82_13_Waterloo-1982.pdf&gt;; Duncan C MacRae, ‘User Control Knowledge in a Tax Consulting System’ (1986) 19(17) </w:t>
      </w:r>
      <w:r w:rsidRPr="004538FF">
        <w:rPr>
          <w:rFonts w:ascii="Times New Roman" w:hAnsi="Times New Roman" w:cs="Times New Roman"/>
          <w:i/>
          <w:iCs/>
        </w:rPr>
        <w:t>IFAC Proceedings Volumes</w:t>
      </w:r>
      <w:r w:rsidRPr="004538FF">
        <w:rPr>
          <w:rFonts w:ascii="Times New Roman" w:hAnsi="Times New Roman" w:cs="Times New Roman"/>
        </w:rPr>
        <w:t xml:space="preserve"> 193.</w:t>
      </w:r>
      <w:r w:rsidRPr="004538FF">
        <w:rPr>
          <w:rFonts w:ascii="Times New Roman" w:hAnsi="Times New Roman" w:cs="Times New Roman"/>
        </w:rPr>
        <w:fldChar w:fldCharType="end"/>
      </w:r>
    </w:p>
  </w:footnote>
  <w:footnote w:id="11">
    <w:p w14:paraId="15EAB0C3" w14:textId="5224F129"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 xml:space="preserve">1981 </w:t>
      </w:r>
      <w:r w:rsidRPr="004538FF">
        <w:rPr>
          <w:rFonts w:ascii="Times New Roman" w:hAnsi="Times New Roman" w:cs="Times New Roman"/>
        </w:rPr>
        <w:t>(UK).</w:t>
      </w:r>
    </w:p>
  </w:footnote>
  <w:footnote w:id="12">
    <w:p w14:paraId="2E2FA8A3" w14:textId="5B8C4ADA"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{"citationID":"8GIQqmTC","properties":{"formattedCitation":"Sergot et al (n 11) 379\\uc0\\u8211{}380.","plainCitation":"Sergot et al (n 11) 379–380.","noteIndex":13},"citationItems":[{"id":46,"uris":["http://zotero.org/users/6782581/items/WIX843XU"],"uri":["http://zotero.org/users/6782581/items/WIX843XU"],"itemData":{"id":46,"type":"article-journal","container-title":"Communications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locator":"379-380"}],"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Sergot et al (n 11) 379–380.</w:t>
      </w:r>
      <w:r w:rsidRPr="004538FF">
        <w:rPr>
          <w:rFonts w:ascii="Times New Roman" w:hAnsi="Times New Roman" w:cs="Times New Roman"/>
        </w:rPr>
        <w:fldChar w:fldCharType="end"/>
      </w:r>
    </w:p>
  </w:footnote>
  <w:footnote w:id="13">
    <w:p w14:paraId="6FDEBD46" w14:textId="53B51F9E"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{"citationID":"BcVekekn","properties":{"formattedCitation":"Philip Leith, \\uc0\\u8216{}The Rise and Fall of the Legal Expert System\\uc0\\u8217{} (2016) 30(3) {\\i{}International Review of Law, Computers &amp; Technology} 94, 100\\uc0\\u8211{}101.","plainCitation":"Philip Leith, ‘The Rise and Fall of the Legal Expert System’ (2016) 30(3) International Review of Law, Computers &amp; Technology 94, 100–101.","noteIndex":14},"citationItems":[{"id":178,"uris":["http://zotero.org/users/6782581/items/B5KX5Y77"],"uri":["http://zotero.org/users/6782581/items/B5KX5Y77"],"itemData":{"id":178,"type":"article-journal","container-title":"International Review of Law, Computers &amp; Technology","DOI":"10.1080/13600869.2016.1232465","issue":"3","journalAbbreviation":"International Review of Law, Computers &amp; Technology","page":"94-106","title":"The rise and fall of the legal expert system","volume":"30","author":[{"family":"Leith","given":"Philip"}],"issued":{"date-parts":[["2016",9,1]]}},"locator":"100-101"}],"schema":"https://github.com/citation-style-language/schema/raw/master/csl-citation.json"}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 xml:space="preserve">Philip Leith, ‘The Rise and Fall of the Legal Expert System’ (2016) 30(3) </w:t>
      </w:r>
      <w:r w:rsidRPr="004538FF">
        <w:rPr>
          <w:rFonts w:ascii="Times New Roman" w:hAnsi="Times New Roman" w:cs="Times New Roman"/>
          <w:i/>
          <w:iCs/>
        </w:rPr>
        <w:t>International Review of Law, Computers &amp; Technology</w:t>
      </w:r>
      <w:r w:rsidRPr="004538FF">
        <w:rPr>
          <w:rFonts w:ascii="Times New Roman" w:hAnsi="Times New Roman" w:cs="Times New Roman"/>
        </w:rPr>
        <w:t xml:space="preserve"> 94, 100–101.</w:t>
      </w:r>
      <w:r w:rsidRPr="004538FF">
        <w:rPr>
          <w:rFonts w:ascii="Times New Roman" w:hAnsi="Times New Roman" w:cs="Times New Roman"/>
        </w:rPr>
        <w:fldChar w:fldCharType="end"/>
      </w:r>
    </w:p>
  </w:footnote>
  <w:footnote w:id="14">
    <w:p w14:paraId="72386B5F" w14:textId="0948A2AE"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{"citationID":"F3peXTeB","properties":{"formattedCitation":"Ibid 100.","plainCitation":"Ibid 100.","noteIndex":15},"citationItems":[{"id":178,"uris":["http://zotero.org/users/6782581/items/B5KX5Y77"],"uri":["http://zotero.org/users/6782581/items/B5KX5Y77"],"itemData":{"id":178,"type":"article-journal","container-title":"International Review of Law, Computers &amp; Technology","DOI":"10.1080/13600869.2016.1232465","issue":"3","journalAbbreviation":"International Review of Law, Computers &amp; Technology","page":"94-106","title":"The rise and fall of the legal expert system","volume":"30","author":[{"family":"Leith","given":"Philip"}],"issued":{"date-parts":[["2016",9,1]]}},"locator":"100"}],"schema":"https://github.com/citation-style-language/schema/raw/master/csl-citation.json"}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Ibid 100.</w:t>
      </w:r>
      <w:r w:rsidRPr="004538FF">
        <w:rPr>
          <w:rFonts w:ascii="Times New Roman" w:hAnsi="Times New Roman" w:cs="Times New Roman"/>
        </w:rPr>
        <w:fldChar w:fldCharType="end"/>
      </w:r>
    </w:p>
  </w:footnote>
  <w:footnote w:id="15">
    <w:p w14:paraId="656519FF" w14:textId="3803726B"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{"citationID":"awomDONx","properties":{"formattedCitation":"Robert French, \\uc0\\u8216{}Statutory Interpretation and Rationality in Administrative Law\\uc0\\u8217{} (2015) 6\\uc0\\u8211{}7 &lt;http://www.austlii.edu.au/au/journals/AIAdminLawF/2015/20.pdf&gt;.","plainCitation":"Robert French, ‘Statutory Interpretation and Rationality in Administrative Law’ (2015) 6–7 &lt;http://www.austlii.edu.au/au/journals/AIAdminLawF/2015/20.pdf&gt;.","noteIndex":16},"citationItems":[{"id":334,"uris":["http://zotero.org/users/6782581/items/P77X2FDS"],"uri":["http://zotero.org/users/6782581/items/P77X2FDS"],"itemData":{"id":334,"type":"paper-conference","event":"National Administrative Law Conference","event-place":"Canberra, Australia","publisher-place":"Canberra, Australia","title":"Statutory Interpretation and Rationality in Administrative Law","URL":"http://www.austlii.edu.au/au/journals/AIAdminLawF/2015/20.pdf","author":[{"family":"French","given":"Robert"}],"accessed":{"date-parts":[["2020",9,29]]},"issued":{"date-parts":[["2015",7,23]]}},"locator":"6-7"}],"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Robert French, ‘Statutory Interpretation and Rationality in Administrative Law’ (2015) 6–7 &lt;http://www.austlii.edu.au/au/journals/AIAdminLawF/2015/20.pdf&gt;.</w:t>
      </w:r>
      <w:r w:rsidRPr="004538FF">
        <w:rPr>
          <w:rFonts w:ascii="Times New Roman" w:hAnsi="Times New Roman" w:cs="Times New Roman"/>
        </w:rPr>
        <w:fldChar w:fldCharType="end"/>
      </w:r>
    </w:p>
  </w:footnote>
  <w:footnote w:id="16">
    <w:p w14:paraId="78258910" w14:textId="1B34DB5B"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{"citationID":"9zLRUtCp","properties":{"formattedCitation":"Sergot et al (n 11) 385.","plainCitation":"Sergot et al (n 11) 385.","noteIndex":17},"citationItems":[{"id":46,"uris":["http://zotero.org/users/6782581/items/WIX843XU"],"uri":["http://zotero.org/users/6782581/items/WIX843XU"],"itemData":{"id":46,"type":"article-journal","container-title":"Communications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locator":"385"}],"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Sergot et al (n 11) 385.</w:t>
      </w:r>
      <w:r w:rsidRPr="004538FF">
        <w:rPr>
          <w:rFonts w:ascii="Times New Roman" w:hAnsi="Times New Roman" w:cs="Times New Roman"/>
        </w:rPr>
        <w:fldChar w:fldCharType="end"/>
      </w:r>
    </w:p>
  </w:footnote>
  <w:footnote w:id="17">
    <w:p w14:paraId="5B6AAA68" w14:textId="6BFEED51" w:rsidR="004538FF" w:rsidRPr="004538FF" w:rsidRDefault="004538FF" w:rsidP="00DF2A0E">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{"citationID":"jkG0jxCP","properties":{"formattedCitation":"Michael Genesereth, \\uc0\\u8216{}Computational Law: The Cop in the Backseat\\uc0\\u8217{} (CodeX: The Center for Legal Informatics, Stanford University, 2015) 205, 4\\uc0\\u8211{}5 &lt;http://portal.acm.org/citation.cfm?doid=1165485.1165517&gt;.","plainCitation":"Michael Genesereth, ‘Computational Law: The Cop in the Backseat’ (CodeX: The Center for Legal Informatics, Stanford University, 2015) 205, 4–5 &lt;http://portal.acm.org/citation.cfm?doid=1165485.1165517&gt;.","noteIndex":18},"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4-5"}],"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Michael Genesereth, ‘Computational Law: The Cop in the Backseat’ (CodeX: The Center for Legal Informatics, Stanford University, 2015) 205, 4–5 &lt;http://portal.acm.org/citation.cfm?doid=1165485.1165517&gt;.</w:t>
      </w:r>
      <w:r w:rsidRPr="004538FF">
        <w:rPr>
          <w:rFonts w:ascii="Times New Roman" w:hAnsi="Times New Roman" w:cs="Times New Roman"/>
        </w:rPr>
        <w:fldChar w:fldCharType="end"/>
      </w:r>
    </w:p>
  </w:footnote>
  <w:footnote w:id="18">
    <w:p w14:paraId="5C96E3B5" w14:textId="3538D458"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{"citationID":"hbeTWT0C","properties":{"formattedCitation":"Ibid 6.","plainCitation":"Ibid 6.","noteIndex":19},"citationItems":[{"id":26,"uris":["http://zotero.org/users/6782581/items/5C598D4E"],"uri":["http://zotero.org/users/6782581/items/5C598D4E"],"itemData":{"id":26,"type":"paper-conference","DOI":"10.1145/1165485.1165517","event-place":"Stanford,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6"}],"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Ibid 6.</w:t>
      </w:r>
      <w:r w:rsidRPr="004538FF">
        <w:rPr>
          <w:rFonts w:ascii="Times New Roman" w:hAnsi="Times New Roman" w:cs="Times New Roman"/>
        </w:rPr>
        <w:fldChar w:fldCharType="end"/>
      </w:r>
    </w:p>
  </w:footnote>
  <w:footnote w:id="19">
    <w:p w14:paraId="6B0D3908" w14:textId="1B705441"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{"citationID":"XkxOri0V","properties":{"formattedCitation":"Ibid 5\\uc0\\u8211{}6.","plainCitation":"Ibid 5–6.","noteIndex":20},"citationItems":[{"id":26,"uris":["http://zotero.org/users/6782581/items/5C598D4E"],"uri":["http://zotero.org/users/6782581/items/5C598D4E"],"itemData":{"id":26,"type":"paper-conference","DOI":"10.1145/1165485.1165517","event-place":"Stanford,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5-6"}],"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Ibid 5–6.</w:t>
      </w:r>
      <w:r w:rsidRPr="004538FF">
        <w:rPr>
          <w:rFonts w:ascii="Times New Roman" w:hAnsi="Times New Roman" w:cs="Times New Roman"/>
        </w:rPr>
        <w:fldChar w:fldCharType="end"/>
      </w:r>
    </w:p>
  </w:footnote>
  <w:footnote w:id="20">
    <w:p w14:paraId="39B2580F" w14:textId="579CB873"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{"citationID":"4bKiBhVL","properties":{"formattedCitation":"Ibid 8.","plainCitation":"Ibid 8.","noteIndex":21},"citationItems":[{"id":26,"uris":["http://zotero.org/users/6782581/items/5C598D4E"],"uri":["http://zotero.org/users/6782581/items/5C598D4E"],"itemData":{"id":26,"type":"paper-conference","DOI":"10.1145/1165485.1165517","event-place":"Stanford,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8"}],"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Ibid 8.</w:t>
      </w:r>
      <w:r w:rsidRPr="004538FF">
        <w:rPr>
          <w:rFonts w:ascii="Times New Roman" w:hAnsi="Times New Roman" w:cs="Times New Roman"/>
        </w:rPr>
        <w:fldChar w:fldCharType="end"/>
      </w:r>
    </w:p>
  </w:footnote>
  <w:footnote w:id="21">
    <w:p w14:paraId="5E879571" w14:textId="778505AF"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{"citationID":"GQdenm0k","properties":{"formattedCitation":"Wolfram (n 8).","plainCitation":"Wolfram (n 8).","noteIndex":22},"citationItems":[{"id":104,"uris":["http://zotero.org/users/6782581/items/28QHAVCI"],"uri":["http://zotero.org/users/6782581/items/28QHAVCI"],"itemData":{"id":104,"type":"chapter","container-title":"Ethics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Wolfram (n 8).</w:t>
      </w:r>
      <w:r w:rsidRPr="004538FF">
        <w:rPr>
          <w:rFonts w:ascii="Times New Roman" w:hAnsi="Times New Roman" w:cs="Times New Roman"/>
        </w:rPr>
        <w:fldChar w:fldCharType="end"/>
      </w:r>
    </w:p>
  </w:footnote>
  <w:footnote w:id="22">
    <w:p w14:paraId="517D404A" w14:textId="5F5782E9"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{"citationID":"705eqiyh","properties":{"formattedCitation":"Ibid 156\\uc0\\u8211{}158; See also Lance A Miller, \\uc0\\u8216{}Natural Language Programming: Styles, Strategies, and Contrasts\\uc0\\u8217{} (1981) 20(2) {\\i{}IBM Systems Journal} 184 (\\uc0\\u8216{}Natural Language Programming\\uc0\\u8217{}) for early explorations into Natural Language Programming.","plainCitation":"Ibid 156–158; See also Lance A Miller, ‘Natural Language Programming: Styles, Strategies, and Contrasts’ (1981) 20(2) IBM Systems Journal 184 (‘Natural Language Programming’) for early explorations into Natural Language Programming.","noteIndex":23},"citationItems":[{"id":104,"uris":["http://zotero.org/users/6782581/items/28QHAVCI"],"uri":["http://zotero.org/users/6782581/items/28QHAVCI"],"itemData":{"id":104,"type":"chapter","container-title":"Ethics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-158"},{"id":172,"uris":["http://zotero.org/users/6782581/items/TQUPXF3K"],"uri":["http://zotero.org/users/6782581/items/TQUPXF3K"],"itemData":{"id":172,"type":"article-journal","abstract":"Our objective in this study was to obtain detailed empirical information about the nature of natural language “programming” to bring to bear on the issueosf increasing the usability of computer language interfaces. Although we expected numerous difficulties to be detected concerning the potentioalf actually implementing a system to interpret natural language programs, we were not prepared for the magnitude of what we see as being the three major obstacles: style, semantics, and world knowledge. Concerning the first, there is little way in which the vast differences in styles could be increased: programming-language style is simply alien to natural specification. With respect to semantics, we also were unprepared to find out the extent to which the selection of the appropriate “meaning” (to a word, phrase, or sentence) is dependent upon the immediate and prior context. And as for world nowledge, we suspect that the extent to which shared experiences and knowledge are critical to procedural communication and understanding among people has barely been hintaetd by our present data.","container-title":"IBM Systems Journal","DOI":"10.1147/sj.202.0184","ISSN":"0018-8670","issue":"2","note":"event: IBM Systems Journal","page":"184-215","source":"IEEE Xplore","title":"Natural language programming: Styles, strategies, and contrasts","title-short":"Natural language programming","volume":"20","author":[{"family":"Miller","given":"Lance A."}],"issued":{"date-parts":[["1981"]]}},"prefix":"See also","suffix":"for early explorations into Natural Language Programming"}],"schema":"https://github.com/citation-style-language/schema/raw/master/csl-citation.json"}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Ibid 156–158; See also Lance A Miller, ‘Natural Language Programming: Styles, Strategies, and Contrasts’ (1981) 20(2) </w:t>
      </w:r>
      <w:r w:rsidRPr="004538FF">
        <w:rPr>
          <w:rFonts w:ascii="Times New Roman" w:hAnsi="Times New Roman" w:cs="Times New Roman"/>
          <w:i/>
          <w:iCs/>
          <w:szCs w:val="24"/>
        </w:rPr>
        <w:t>IBM Systems Journal</w:t>
      </w:r>
      <w:r w:rsidRPr="004538FF">
        <w:rPr>
          <w:rFonts w:ascii="Times New Roman" w:hAnsi="Times New Roman" w:cs="Times New Roman"/>
          <w:szCs w:val="24"/>
        </w:rPr>
        <w:t xml:space="preserve"> 184 (‘Natural Language Programming’) for early explorations into Natural Language Programming.</w:t>
      </w:r>
      <w:r w:rsidRPr="004538FF">
        <w:rPr>
          <w:rFonts w:ascii="Times New Roman" w:hAnsi="Times New Roman" w:cs="Times New Roman"/>
        </w:rPr>
        <w:fldChar w:fldCharType="end"/>
      </w:r>
    </w:p>
  </w:footnote>
  <w:footnote w:id="23">
    <w:p w14:paraId="4C3ADC65" w14:textId="32FF12F3"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See, eg, the use of the COMPAS algorithm in </w:t>
      </w:r>
      <w:r w:rsidRPr="004538FF">
        <w:rPr>
          <w:rFonts w:ascii="Times New Roman" w:hAnsi="Times New Roman" w:cs="Times New Roman"/>
          <w:i/>
          <w:iCs/>
        </w:rPr>
        <w:t xml:space="preserve">Loomis v Wisconsin </w:t>
      </w:r>
      <w:r w:rsidRPr="004538FF">
        <w:rPr>
          <w:rFonts w:ascii="Times New Roman" w:hAnsi="Times New Roman" w:cs="Times New Roman"/>
        </w:rPr>
        <w:t xml:space="preserve">881 NW 2d 749 (Wis, 2016). See also Liu, Han-Wie, Ching-Fu Lin and Yu-Jie Chen, ‘Beyond State v. Loomis: Artificial Intelligence, Government Algorithmization, and Accountability’ (2019) 27(2) </w:t>
      </w:r>
      <w:r w:rsidRPr="004538FF">
        <w:rPr>
          <w:rFonts w:ascii="Times New Roman" w:hAnsi="Times New Roman" w:cs="Times New Roman"/>
          <w:i/>
          <w:iCs/>
        </w:rPr>
        <w:t>International Journal of Law and Information Technology</w:t>
      </w:r>
      <w:r w:rsidRPr="004538FF">
        <w:rPr>
          <w:rFonts w:ascii="Times New Roman" w:hAnsi="Times New Roman" w:cs="Times New Roman"/>
        </w:rPr>
        <w:t xml:space="preserve"> 121. </w:t>
      </w:r>
    </w:p>
  </w:footnote>
  <w:footnote w:id="24">
    <w:p w14:paraId="4E1F530F" w14:textId="6DACA013"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{"citationID":"MpOdfVhF","properties":{"formattedCitation":"See, eg, Government Information Services, {\\i{}Better Rules for Government} (Discovery Report, Department of Internal Affairs, New Zealand Government, March 2018) 21\\uc0\\u8211{}24 &lt;https://www.digital.govt.nz/dmsdocument/95-better-rules-for-government-discovery-report/html,-pseudocode-and-software-code#examples-of-legislation,-pseudocode-and-software-code&gt;; Open Fisca, \\uc0\\u8216{}From Law to Code \\uc0\\u8212{} OpenFisca Documentation\\uc0\\u8217{}, {\\i{}Open Fisca} (Wiki) &lt;https://openfisca.org/doc/coding-the-legislation/index.html&gt;; Stanford Law School, \\uc0\\u8216{}Hammurabi\\uc0\\u8217{}, {\\i{}Stanford Law School} &lt;https://law.stanford.edu/projects/hammurabi/&gt;.","plainCitation":"See, eg, Government Information Services, Better Rules for Government (Discovery Report, Department of Internal Affairs, New Zealand Government, March 2018) 21–24 &lt;https://www.digital.govt.nz/dmsdocument/95-better-rules-for-government-discovery-report/html,-pseudocode-and-software-code#examples-of-legislation,-pseudocode-and-software-code&gt;; Open Fisca, ‘From Law to Code — OpenFisca Documentation’, Open Fisca (Wiki) &lt;https://openfisca.org/doc/coding-the-legislation/index.html&gt;; Stanford Law School, ‘Hammurabi’, Stanford Law School &lt;https://law.stanford.edu/projects/hammurabi/&gt;.","noteIndex":25},"citationItems":[{"id":1,"uris":["http://zotero.org/users/6782581/items/CE9X6PPW"],"uri":["http://zotero.org/users/6782581/items/CE9X6PPW"],"itemData":{"id":1,"type":"report","genre":"Discovery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Services"}],"accessed":{"date-parts":[["2020",8,4]]},"issued":{"date-parts":[["2018",3]]}},"locator":"21-24","prefix":"See, eg, "},{"id":121,"uris":["http://zotero.org/users/6782581/items/66GJK3XE"],"uri":["http://zotero.org/users/6782581/items/66GJK3XE"],"itemData":{"id":121,"type":"webpage","container-title":"Open Fisca","genre":"Wiki","title":"From law to code — OpenFisca documentation","URL":"https://openfisca.org/doc/coding-the-legislation/index.html","author":[{"literal":"Open Fisca"}],"accessed":{"date-parts":[["2020",8,23]]}}},{"id":169,"uris":["http://zotero.org/users/6782581/items/P7GHC3TW"],"uri":["http://zotero.org/users/6782581/items/P7GHC3TW"],"itemData":{"id":169,"type":"webpage","abstract":"The Hammurabi Project is an experiment in converting legal source material to the C# programming language. It’s an open source library with two comp","container-title":"Stanford Law School","language":"en","title":"Hammurabi","URL":"https://law.stanford.edu/projects/hammurabi/","author":[{"family":"School","given":"Stanford Law"}],"accessed":{"date-parts":[["2020",8,27]]}}}],"schema":"https://github.com/citation-style-language/schema/raw/master/csl-citation.json"}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 xml:space="preserve">See, eg, Government Information Services, </w:t>
      </w:r>
      <w:r w:rsidRPr="004538FF">
        <w:rPr>
          <w:rFonts w:ascii="Times New Roman" w:hAnsi="Times New Roman" w:cs="Times New Roman"/>
          <w:i/>
          <w:iCs/>
        </w:rPr>
        <w:t>Better Rules for Government</w:t>
      </w:r>
      <w:r w:rsidRPr="004538FF">
        <w:rPr>
          <w:rFonts w:ascii="Times New Roman" w:hAnsi="Times New Roman" w:cs="Times New Roman"/>
        </w:rPr>
        <w:t xml:space="preserve"> (Discovery Report, Department of Internal Affairs, New Zealand Government, March 2018) 21–24 &lt;https://www.digital.govt.nz/dmsdocument/95-better-rules-for-government-discovery-report/html,-pseudocode-and-software-code#examples-of-legislation,-pseudocode-and-software-code&gt;; Open Fisca, ‘From Law to Code — OpenFisca Documentation’, </w:t>
      </w:r>
      <w:r w:rsidRPr="004538FF">
        <w:rPr>
          <w:rFonts w:ascii="Times New Roman" w:hAnsi="Times New Roman" w:cs="Times New Roman"/>
          <w:i/>
          <w:iCs/>
        </w:rPr>
        <w:t>Open Fisca</w:t>
      </w:r>
      <w:r w:rsidRPr="004538FF">
        <w:rPr>
          <w:rFonts w:ascii="Times New Roman" w:hAnsi="Times New Roman" w:cs="Times New Roman"/>
        </w:rPr>
        <w:t xml:space="preserve"> (Wiki) &lt;https://openfisca.org/doc/coding-the-legislation/index.html&gt;; Stanford Law School, ‘Hammurabi’, </w:t>
      </w:r>
      <w:r w:rsidRPr="004538FF">
        <w:rPr>
          <w:rFonts w:ascii="Times New Roman" w:hAnsi="Times New Roman" w:cs="Times New Roman"/>
          <w:i/>
          <w:iCs/>
        </w:rPr>
        <w:t>Stanford Law School</w:t>
      </w:r>
      <w:r w:rsidRPr="004538FF">
        <w:rPr>
          <w:rFonts w:ascii="Times New Roman" w:hAnsi="Times New Roman" w:cs="Times New Roman"/>
        </w:rPr>
        <w:t xml:space="preserve"> &lt;https://law.stanford.edu/projects/hammurabi/&gt;.</w:t>
      </w:r>
      <w:r w:rsidRPr="004538FF">
        <w:rPr>
          <w:rFonts w:ascii="Times New Roman" w:hAnsi="Times New Roman" w:cs="Times New Roman"/>
        </w:rPr>
        <w:fldChar w:fldCharType="end"/>
      </w:r>
    </w:p>
  </w:footnote>
  <w:footnote w:id="25">
    <w:p w14:paraId="64DDFF6A" w14:textId="31DF3C08"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{"citationID":"pyNIhBL3","properties":{"formattedCitation":"Susannah Hampton, \\uc0\\u8216{}Opportunities for AI in Regtech\\uc0\\u8217{} (Juniper Research, September 2019) 1 &lt;https://www.juniperresearch.com/document-library/white-papers/opportunities-for-ai-in-regtech-whitepaper&gt;; Sam Smith, \\uc0\\u8216{}Regtech Spending to Reach $127 Billion by 2024, as AI Drives Cost Savings\\uc0\\u8217{}, {\\i{}Juniper Research} (24 September 2019) &lt;https://www.juniperresearch.com/press/press-releases/regtech-spending-to-reach-$127-billion-by-2024&gt;. See also Emmanuel Schizas et al, {\\i{}The Global RegTech Industry Benchmark Report} (SSRN Scholarly Paper No ID 3560811, Social Science Research Network, 30 June 2019) &lt;https://papers.ssrn.com/abstract=3560811&gt;; Mohun and Roberts (n 1) 39; Deloitte Australia, \\uc0\\u8216{}Get out of Your Own Way: Unleashing Productivity\\uc0\\u8217{} (2014) &lt;https://www2.deloitte.com/au/en/pages/building-lucky-country/articles/get-out-of-your-own-way.html&gt; (\\uc0\\u8216{}Get out of Your Own Way\\uc0\\u8217{}).","plainCitation":"Susannah Hampton, ‘Opportunities for AI in Regtech’ (Juniper Research, September 2019) 1 &lt;https://www.juniperresearch.com/document-library/white-papers/opportunities-for-ai-in-regtech-whitepaper&gt;; Sam Smith, ‘Regtech Spending to Reach $127 Billion by 2024, as AI Drives Cost Savings’, Juniper Research (24 September 2019) &lt;https://www.juniperresearch.com/press/press-releases/regtech-spending-to-reach-$127-billion-by-2024&gt;. See also Emmanuel Schizas et al, The Global RegTech Industry Benchmark Report (SSRN Scholarly Paper No ID 3560811, Social Science Research Network, 30 June 2019) &lt;https://papers.ssrn.com/abstract=3560811&gt;; Mohun and Roberts (n 1) 39; Deloitte Australia, ‘Get out of Your Own Way: Unleashing Productivity’ (2014) &lt;https://www2.deloitte.com/au/en/pages/building-lucky-country/articles/get-out-of-your-own-way.html&gt; (‘Get out of Your Own Way’).","noteIndex":26},"citationItems":[{"id":108,"uris":["http://zotero.org/users/6782581/items/LPANZMLD"],"uri":["http://zotero.org/users/6782581/items/LPANZMLD"],"itemData":{"id":108,"type":"article","abstract":"Opportunities for AI in Regtech provides an analysis of key regtech trends.","publisher":"Juniper Research","title":"Opportunities for AI in Regtech","URL":"https://www.juniperresearch.com/document-library/white-papers/opportunities-for-ai-in-regtech-whitepaper","author":[{"family":"Hampton","given":"Susannah"}],"accessed":{"date-parts":[["2020",8,21]]},"issued":{"date-parts":[["2019",9]]}},"locator":"1"},{"id":109,"uris":["http://zotero.org/users/6782581/items/WHTLE6RL"],"uri":["http://zotero.org/users/6782581/items/WHTLE6RL"],"itemData":{"id":109,"type":"webpage","abstract":"View Juniper Research’s latest Press Release information for the media.","container-title":"Juniper Research","title":"Regtech Spending to Reach $127 Billion by 2024, as AI Drives Cost Savings","URL":"https://www.juniperresearch.com/press/press-releases/regtech-spending-to-reach-$127-billion-by-2024","author":[{"literal":"Sam Smith"}],"accessed":{"date-parts":[["2020",8,21]]},"issued":{"date-parts":[["2019",9,24]]}},"suffix":"."},{"id":106,"uris":["http://zotero.org/users/6782581/items/XK24E2GT"],"uri":["http://zotero.org/users/6782581/items/XK24E2GT"],"itemData":{"id":106,"type":"report","abstract":"The first global benchmark study of the RegTech sector by the Cambridge Centre for Alternative Finance, conducted with the support of EY Japan, is based on a survey of 111 firms as well as regulators and industry experts. We estimate that the global RegTech industry generated $5 billion in revenue in 2018, and had raised $9.7 billion in external funding as of early 2019. The financial services sector dominates demand for RegTech services but most vendors now target non-financial sectors, and this share is set to grow.The RegTech market can be broken down into five distinct segments: 1. Profiling and due diligence 2. Dynamic compliance 3. Reporting and dashboards 4. Risk analytics 5. Market monitoring.The sector underwent a period of rapid growth between 2014 and 2018, but is now growing mostly through incumbent expansion rather than market entry. Long sales cycles, complex IT planning within client institutions, difficulties in establishing trust and high levels of competition have left some vendors struggling to gain traction. A handful of larger vendors thus dominate most funding and commercial activity.","event-place":"Rochester, NY","genre":"SSRN Scholarly Paper","language":"en","note":"DOI: 10.2139/ssrn.3560811","number":"ID 3560811","publisher":"Social Science Research Network","publisher-place":"Rochester, NY","source":"papers.ssrn.com","title":"The Global RegTech Industry Benchmark Report","URL":"https://papers.ssrn.com/abstract=3560811","author":[{"family":"Schizas","given":"Emmanuel"},{"family":"McKain","given":"Grigory"},{"family":"Zhang","given":"Bryan Zheng"},{"family":"Garvey","given":"Kieran"},{"family":"Ganbold","given":"Altantsetseg"},{"family":"Hussain","given":"Hatim"},{"family":"Kumar","given":"Pankajesh"},{"family":"Huang","given":"Eva"},{"family":"Wang","given":"Shaoxin"},{"family":"Yerolemou","given":"Nikos"}],"accessed":{"date-parts":[["2020",8,21]]},"issued":{"date-parts":[["2019",6,30]]}},"prefix":"See also"},{"id":19,"uris":["http://zotero.org/users/6782581/items/HWX5UKVU"],"uri":["http://zotero.org/users/6782581/items/HWX5UKVU"],"itemData":{"id":19,"type":"article","publisher":"Observatory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39"},{"id":114,"uris":["http://zotero.org/users/6782581/items/JCG34HIV"],"uri":["http://zotero.org/users/6782581/items/JCG34HIV"],"itemData":{"id":114,"type":"article","abstract":"Australia is a lucky country, with a bright future. But we have a problem – and its colour is red. Red tape, that is. There’s too much of it…and we need to address the grip it has on our economy.","language":"en","title":"Get out of your own way: Unleashing productivity","title-short":"Get out of your own way","URL":"https://www2.deloitte.com/au/en/pages/building-lucky-country/articles/get-out-of-your-own-way.html","author":[{"literal":"Deloitte Australia"}],"accessed":{"date-parts":[["2020",8,21]]},"issued":{"date-parts":[["2014"]]}}}],"schema":"https://github.com/citation-style-language/schema/raw/master/csl-citation.json"}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 xml:space="preserve">Susannah Hampton, ‘Opportunities for AI in Regtech’ (Juniper Research, September 2019) 1 &lt;https://www.juniperresearch.com/document-library/white-papers/opportunities-for-ai-in-regtech-whitepaper&gt;; Sam Smith, ‘Regtech Spending to Reach $127 Billion by 2024, as AI Drives Cost Savings’, </w:t>
      </w:r>
      <w:r w:rsidRPr="004538FF">
        <w:rPr>
          <w:rFonts w:ascii="Times New Roman" w:hAnsi="Times New Roman" w:cs="Times New Roman"/>
          <w:i/>
          <w:iCs/>
        </w:rPr>
        <w:t>Juniper Research</w:t>
      </w:r>
      <w:r w:rsidRPr="004538FF">
        <w:rPr>
          <w:rFonts w:ascii="Times New Roman" w:hAnsi="Times New Roman" w:cs="Times New Roman"/>
        </w:rPr>
        <w:t xml:space="preserve"> (24 September 2019) &lt;https://www.juniperresearch.com/press/press-releases/regtech-spending-to-reach-$127-billion-by-2024&gt;. See also Emmanuel Schizas et al, </w:t>
      </w:r>
      <w:r w:rsidRPr="004538FF">
        <w:rPr>
          <w:rFonts w:ascii="Times New Roman" w:hAnsi="Times New Roman" w:cs="Times New Roman"/>
          <w:i/>
          <w:iCs/>
        </w:rPr>
        <w:t>The Global RegTech Industry Benchmark Report</w:t>
      </w:r>
      <w:r w:rsidRPr="004538FF">
        <w:rPr>
          <w:rFonts w:ascii="Times New Roman" w:hAnsi="Times New Roman" w:cs="Times New Roman"/>
        </w:rPr>
        <w:t xml:space="preserve"> (SSRN Scholarly Paper No ID 3560811, Social Science Research Network, 30 June 2019) &lt;https://papers.ssrn.com/abstract=3560811&gt;; Mohun and Roberts (n 1) 39; Deloitte Australia, ‘Get out of Your Own Way: Unleashing Productivity’ (2014) &lt;https://www2.deloitte.com/au/en/pages/building-lucky-country/articles/get-out-of-your-own-way.html&gt; (‘Get out of Your Own Way’).</w:t>
      </w:r>
      <w:r w:rsidRPr="004538FF">
        <w:rPr>
          <w:rFonts w:ascii="Times New Roman" w:hAnsi="Times New Roman" w:cs="Times New Roman"/>
        </w:rPr>
        <w:fldChar w:fldCharType="end"/>
      </w:r>
    </w:p>
  </w:footnote>
  <w:footnote w:id="26">
    <w:p w14:paraId="05B80447" w14:textId="7E86CE0A"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Commonwealth, Royal Commission into Misconduct in the Banking, Superannuation and Financial Services Industry, </w:t>
      </w:r>
      <w:r w:rsidRPr="004538FF">
        <w:rPr>
          <w:rFonts w:ascii="Times New Roman" w:hAnsi="Times New Roman" w:cs="Times New Roman"/>
          <w:i/>
          <w:iCs/>
        </w:rPr>
        <w:t>Final Report</w:t>
      </w:r>
      <w:r w:rsidRPr="004538FF">
        <w:rPr>
          <w:rFonts w:ascii="Times New Roman" w:hAnsi="Times New Roman" w:cs="Times New Roman"/>
        </w:rPr>
        <w:t xml:space="preserve"> (2019). </w:t>
      </w:r>
    </w:p>
  </w:footnote>
  <w:footnote w:id="27">
    <w:p w14:paraId="7D029E35" w14:textId="25CE1806"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‘Statement of Claim’, </w:t>
      </w:r>
      <w:r w:rsidRPr="004538FF">
        <w:rPr>
          <w:rFonts w:ascii="Times New Roman" w:hAnsi="Times New Roman" w:cs="Times New Roman"/>
          <w:i/>
          <w:iCs/>
        </w:rPr>
        <w:t>Chief Executive Officer of the Australian Transaction Reports and Analysis Centre v Westpac Banking Corporation</w:t>
      </w:r>
      <w:r w:rsidRPr="004538FF">
        <w:rPr>
          <w:rFonts w:ascii="Times New Roman" w:hAnsi="Times New Roman" w:cs="Times New Roman"/>
        </w:rPr>
        <w:t xml:space="preserve"> (Federal Court of Australia, 20 November 2019). See also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{"citationID":"pLUWUgDI","properties":{"formattedCitation":"Westpac Banking Corporation, \\uc0\\u8216{}Westpac Releases Findings into Austrac Statement of Claim\\uc0\\u8217{} (4 June 2020) for Westpac\\uc0\\u8217{}s acknowledgement of compliance failures.","plainCitation":"Westpac Banking Corporation, ‘Westpac Releases Findings into Austrac Statement of Claim’ (4 June 2020) for Westpac’s acknowledgement of compliance failures.","noteIndex":28},"citationItems":[{"id":180,"uris":["http://zotero.org/users/6782581/items/PMCA8XAW"],"uri":["http://zotero.org/users/6782581/items/PMCA8XAW"],"itemData":{"id":180,"type":"article","language":"en","source":"Zotero","title":"Westpac Releases Findings into Austrac Statement of Claim","author":[{"literal":"Westpac Banking Corporation"}],"issued":{"date-parts":[["2020",6,4]]}},"suffix":"for Westpac's acknowledgement of compliance failures."}],"schema":"https://github.com/citation-style-language/schema/raw/master/csl-citation.json"}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Westpac Banking Corporation, ‘Westpac Releases Findings into Austrac Statement of Claim’ (4 June 2020) for Westpac’s acknowledgement of compliance failures.</w:t>
      </w:r>
      <w:r w:rsidRPr="004538FF">
        <w:rPr>
          <w:rFonts w:ascii="Times New Roman" w:hAnsi="Times New Roman" w:cs="Times New Roman"/>
        </w:rPr>
        <w:fldChar w:fldCharType="end"/>
      </w:r>
    </w:p>
  </w:footnote>
  <w:footnote w:id="28">
    <w:p w14:paraId="66770FD7" w14:textId="4165B64E" w:rsidR="004538FF" w:rsidRPr="004538FF" w:rsidRDefault="004538FF" w:rsidP="005B5B97">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Australian Small Business and Family Enterprise Ombudsman, Submission No 46.1 to Select Committee on Financial Technology and Regulatory Technology, Parliament of Australia, (26 June 2020) 4, 7, 10, 17.</w:t>
      </w:r>
    </w:p>
  </w:footnote>
  <w:footnote w:id="29">
    <w:p w14:paraId="1DA472A5" w14:textId="232568AD"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Yoshua Bengio, ‘Springtime for AI: The Rise of Deep Learning’ (June 2016) </w:t>
      </w:r>
      <w:r w:rsidRPr="004538FF">
        <w:rPr>
          <w:rFonts w:ascii="Times New Roman" w:hAnsi="Times New Roman" w:cs="Times New Roman"/>
          <w:i/>
          <w:iCs/>
        </w:rPr>
        <w:t>Scientific American</w:t>
      </w:r>
      <w:r w:rsidRPr="004538FF">
        <w:rPr>
          <w:rFonts w:ascii="Times New Roman" w:hAnsi="Times New Roman" w:cs="Times New Roman"/>
        </w:rPr>
        <w:t xml:space="preserve">; Montañez, Amanda, ‘Unveiling the Hidden Layers of Deep Learning’, </w:t>
      </w:r>
      <w:r w:rsidRPr="004538FF">
        <w:rPr>
          <w:rFonts w:ascii="Times New Roman" w:hAnsi="Times New Roman" w:cs="Times New Roman"/>
          <w:i/>
          <w:iCs/>
        </w:rPr>
        <w:t>Scientific American</w:t>
      </w:r>
      <w:r w:rsidRPr="004538FF">
        <w:rPr>
          <w:rFonts w:ascii="Times New Roman" w:hAnsi="Times New Roman" w:cs="Times New Roman"/>
        </w:rPr>
        <w:t xml:space="preserve"> (Web Article, 20 May 2016) &lt;https://blogs.scientificamerican.com/sa-visual/unveiling-the-hidden-layers-of-deep-learning/&gt;; Lina Zhou et al., ‘A Comparison of Classification Methods for Predicting Deception in Computer-Mediated Communication’ 20(4) </w:t>
      </w:r>
      <w:r w:rsidRPr="004538FF">
        <w:rPr>
          <w:rFonts w:ascii="Times New Roman" w:hAnsi="Times New Roman" w:cs="Times New Roman"/>
          <w:i/>
          <w:iCs/>
        </w:rPr>
        <w:t xml:space="preserve">Journal of Management Information </w:t>
      </w:r>
      <w:r w:rsidRPr="004538FF">
        <w:rPr>
          <w:rFonts w:ascii="Times New Roman" w:hAnsi="Times New Roman" w:cs="Times New Roman"/>
        </w:rPr>
        <w:t xml:space="preserve">Systems 139, 149;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{"citationID":"bsa36Ke1","properties":{"formattedCitation":"Han-Wei Liu, Ching-Fu Lin and Yu-Jie Chen, \\uc0\\u8216{}Beyond State v Loomis: Artificial Intelligence, Government Algorithmization and Accountability\\uc0\\u8217{} (2019) 27(2) {\\i{}International Journal of Law and Information Technology} 122, 135\\uc0\\u8211{}136 (\\uc0\\u8216{}Beyond State v Loomis\\uc0\\u8217{}).","plainCitation":"Han-Wei Liu, Ching-Fu Lin and Yu-Jie Chen, ‘Beyond State v Loomis: Artificial Intelligence, Government Algorithmization and Accountability’ (2019) 27(2) International Journal of Law and Information Technology 122, 135–136 (‘Beyond State v Loomis’).","noteIndex":30},"citationItems":[{"id":37,"uris":["http://zotero.org/users/6782581/items/BCGT7CRU"],"uri":["http://zotero.org/users/6782581/items/BCGT7CRU"],"itemData":{"id":37,"type":"article-journal","container-title":"International Journal of Law and Information Technology","DOI":"10.1093/ijlit/eaz001","ISSN":"0967-0769","issue":"2","language":"English","note":"publisher: Oxford University Press","page":"122-141","source":"research.monash.edu","title":"Beyond State v Loomis: artificial intelligence, government algorithmization and accountability","title-short":"Beyond State v Loomis","volume":"27","author":[{"family":"Liu","given":"Han-Wei"},{"family":"Lin","given":"Ching-Fu"},{"family":"Chen","given":"Yu-Jie"}],"issued":{"date-parts":[["2019",6]]}},"locator":"135-136"}],"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Han-Wei Liu, Ching-Fu Lin and Yu-Jie Chen, ‘Beyond State v Loomis: Artificial Intelligence, Government Algorithmization and Accountability’ (2019) 27(2) </w:t>
      </w:r>
      <w:r w:rsidRPr="004538FF">
        <w:rPr>
          <w:rFonts w:ascii="Times New Roman" w:hAnsi="Times New Roman" w:cs="Times New Roman"/>
          <w:i/>
          <w:iCs/>
          <w:szCs w:val="24"/>
        </w:rPr>
        <w:t>International Journal of Law and Information Technology</w:t>
      </w:r>
      <w:r w:rsidRPr="004538FF">
        <w:rPr>
          <w:rFonts w:ascii="Times New Roman" w:hAnsi="Times New Roman" w:cs="Times New Roman"/>
          <w:szCs w:val="24"/>
        </w:rPr>
        <w:t xml:space="preserve"> 122, 135–136 (‘Beyond State v Loomis’).</w:t>
      </w:r>
      <w:r w:rsidRPr="004538FF">
        <w:rPr>
          <w:rFonts w:ascii="Times New Roman" w:hAnsi="Times New Roman" w:cs="Times New Roman"/>
        </w:rPr>
        <w:fldChar w:fldCharType="end"/>
      </w:r>
    </w:p>
  </w:footnote>
  <w:footnote w:id="30">
    <w:p w14:paraId="0093AA1E" w14:textId="2AC07D08"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{"citationID":"ycmw5MCv","properties":{"formattedCitation":"Mohun and Roberts (n 1) 21.","plainCitation":"Mohun and Roberts (n 1) 21.","noteIndex":31},"citationItems":[{"id":19,"uris":["http://zotero.org/users/6782581/items/HWX5UKVU"],"uri":["http://zotero.org/users/6782581/items/HWX5UKVU"],"itemData":{"id":19,"type":"article","publisher":"Observatory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machines","author":[{"family":"Mohun","given":"James"},{"family":"Roberts","given":"Alex"}],"issued":{"date-parts":[["2020",5,27]]}},"locator":"21"}],"schema":"https://github.com/citation-style-language/schema/raw/master/csl-citation.json"}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Mohun and Roberts (n 1) 21.</w:t>
      </w:r>
      <w:r w:rsidRPr="004538FF">
        <w:rPr>
          <w:rFonts w:ascii="Times New Roman" w:hAnsi="Times New Roman" w:cs="Times New Roman"/>
        </w:rPr>
        <w:fldChar w:fldCharType="end"/>
      </w:r>
      <w:r w:rsidRPr="004538FF">
        <w:rPr>
          <w:rFonts w:ascii="Times New Roman" w:hAnsi="Times New Roman" w:cs="Times New Roman"/>
        </w:rPr>
        <w:t xml:space="preserve"> Though not a ‘Rules as Code’ solution, such concerns over proprietarily ‘opaque’ software being relied upon for legal decision-making were realised in </w:t>
      </w:r>
      <w:r w:rsidRPr="004538FF">
        <w:rPr>
          <w:rFonts w:ascii="Times New Roman" w:hAnsi="Times New Roman" w:cs="Times New Roman"/>
          <w:i/>
          <w:iCs/>
        </w:rPr>
        <w:t xml:space="preserve">Loomis v Wisconsin </w:t>
      </w:r>
      <w:r w:rsidRPr="004538FF">
        <w:rPr>
          <w:rFonts w:ascii="Times New Roman" w:hAnsi="Times New Roman" w:cs="Times New Roman"/>
        </w:rPr>
        <w:t>881 NW 2d 749 (Wis, 2016).</w:t>
      </w:r>
    </w:p>
  </w:footnote>
  <w:footnote w:id="31">
    <w:p w14:paraId="30933E9A" w14:textId="04588D84"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See, eg, </w:t>
      </w:r>
      <w:r w:rsidRPr="004538FF">
        <w:rPr>
          <w:rFonts w:ascii="Times New Roman" w:hAnsi="Times New Roman" w:cs="Times New Roman"/>
          <w:i/>
          <w:iCs/>
        </w:rPr>
        <w:t xml:space="preserve">Loomis v Wisconsin </w:t>
      </w:r>
      <w:r w:rsidRPr="004538FF">
        <w:rPr>
          <w:rFonts w:ascii="Times New Roman" w:hAnsi="Times New Roman" w:cs="Times New Roman"/>
        </w:rPr>
        <w:t>881 NW 2d 749 (Wis, 2016).</w:t>
      </w:r>
    </w:p>
  </w:footnote>
  <w:footnote w:id="32">
    <w:p w14:paraId="6EB1D80C" w14:textId="050316C8"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{"citationID":"HmsSCMtt","properties":{"formattedCitation":"Mohun and Roberts (n 1) 68\\uc0\\u8211{}69. See also Government Information Services (n 25); Open Fisca, \\uc0\\u8216{}OpenFisca\\uc0\\u8217{}, {\\i{}Open Fisca} (Wiki) &lt;https://openfisca.org/&gt;; Kompetenzzentrum \\uc0\\u214{}ffentliche IT [Competence Center Public IT], \\uc0\\u8216{}Recht Digital - Maschinenverst\\uc0\\u228{}ndlich Und Automatisierbar [Digital Law - Machine-Consumable and Automatable]\\uc0\\u8217{} &lt;https://www.oeffentliche-it.de/publikationen?doc=104099&amp;title=Recht+Digital+-+Maschinenverst%C3%A4ndlich+und+automatisierbar&gt;.","plainCitation":"Mohun and Roberts (n 1) 68–69. See also Government Information Services (n 25); Open Fisca, ‘OpenFisca’, Open Fisca (Wiki) &lt;https://openfisca.org/&gt;; Kompetenzzentrum Öffentliche IT [Competence Center Public IT], ‘Recht Digital - Maschinenverständlich Und Automatisierbar [Digital Law - Machine-Consumable and Automatable]’ &lt;https://www.oeffentliche-it.de/publikationen?doc=104099&amp;title=Recht+Digital+-+Maschinenverst%C3%A4ndlich+und+automatisierbar&gt;.","noteIndex":33},"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68-69","suffix":"."},{"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Services"}],"accessed":{"date-parts":[["2020",8,4]]},"issued":{"date-parts":[["2018",3]]}},"prefix":"See also "},{"id":136,"uris":["http://zotero.org/users/6782581/items/2M9VD42S"],"uri":["http://zotero.org/users/6782581/items/2M9VD42S"],"itemData":{"id":136,"type":"webpage","container-title":"Open Fisca","genre":"Wiki","title":"OpenFisca","URL":"https://openfisca.org/","author":[{"literal":"Open Fisca"}],"accessed":{"date-parts":[["2020",8,23]]}}},{"id":134,"uris":["http://zotero.org/users/6782581/items/K554JQ52"],"uri":["http://zotero.org/users/6782581/items/K554JQ52"],"itemData":{"id":134,"type":"article","abstract":"Eindeutige Begriffsdefinitionen, Standardisierung von Rechtsbegriffen, Visualisierung von Entscheidungsregeln und Vollzugsprozessen – das sind einige der Voraussetzungen, die bereits bei der Entstehung von Rechtsvorschriften berücksichtigt werden sollten, um die Rechtsanwendung digital möglich zu machen. Denn: Das von der Verwaltung zu vollziehende Recht ist häufig genug nicht „digitaltauglich“ – es beinhaltet also Hürden für durchgehend digitale Verwaltungsprozesse oder automatisierte Prüfungen. Der vorliegende Impuls zeigt auf, welche sozio-technischen Aspekte in der Entstehung des Rechts zu berücksichtigen sind und wie der Rechtsetzungsprozess adaptiert werden kann, um eine Grundlage für die (Teil-)Automatisierung der Rechtsanwendung zu legen. Dabei identifizieren wir die Maschinenverständlichkeit des Rechts als zentralen Hebel, der bereits in der Entwurfsphase von Gesetzen anzusetzen ist.","language":"en","note":"section: Science","title":"Recht Digital - Maschinenverständlich und automatisierbar [Digital Law - Machine-Consumable and Automatable]","URL":"https://www.oeffentliche-it.de/publikationen?doc=104099&amp;title=Recht+Digital+-+Maschinenverst%C3%A4ndlich+und+automatisierbar","author":[{"literal":"Kompetenzzentrum Öffentliche IT [Competence Center Public IT]"}],"accessed":{"date-parts":[["2020",8,23]]}}}],"schema":"https://github.com/citation-style-language/schema/raw/master/csl-citation.json"}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Mohun and Roberts (n 1) 68–69. See also Government Information Services (n 25); Open Fisca, ‘OpenFisca’, </w:t>
      </w:r>
      <w:r w:rsidRPr="004538FF">
        <w:rPr>
          <w:rFonts w:ascii="Times New Roman" w:hAnsi="Times New Roman" w:cs="Times New Roman"/>
          <w:i/>
          <w:iCs/>
          <w:szCs w:val="24"/>
        </w:rPr>
        <w:t>Open Fisca</w:t>
      </w:r>
      <w:r w:rsidRPr="004538FF">
        <w:rPr>
          <w:rFonts w:ascii="Times New Roman" w:hAnsi="Times New Roman" w:cs="Times New Roman"/>
          <w:szCs w:val="24"/>
        </w:rPr>
        <w:t xml:space="preserve"> (Wiki) &lt;https://openfisca.org/&gt;; Kompetenzzentrum Öffentliche IT [Competence Center Public IT], ‘Recht Digital - Maschinenverständlich Und Automatisierbar [Digital Law - Machine-Consumable and Automatable]’ &lt;https://www.oeffentliche-it.de/publikationen?doc=104099&amp;title=Recht+Digital+-+Maschinenverst%C3%A4ndlich+und+automatisierbar&gt;.</w:t>
      </w:r>
      <w:r w:rsidRPr="004538FF">
        <w:rPr>
          <w:rFonts w:ascii="Times New Roman" w:hAnsi="Times New Roman" w:cs="Times New Roman"/>
        </w:rPr>
        <w:fldChar w:fldCharType="end"/>
      </w:r>
    </w:p>
  </w:footnote>
  <w:footnote w:id="33">
    <w:p w14:paraId="08E9829C" w14:textId="5DC21A94"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{"citationID":"Ky8MYLeS","properties":{"formattedCitation":"Sonja Starr, \\uc0\\u8216{}Evidence-Based Sentencing and the Scientific Rationalization of Discrimination\\uc0\\u8217{} (2014) 66(4) {\\i{}Stanford Law Review} 803.","plainCitation":"Sonja Starr, ‘Evidence-Based Sentencing and the Scientific Rationalization of Discrimination’ (2014) 66(4) Stanford Law Review 803.","noteIndex":34},"citationItems":[{"id":34,"uris":["http://zotero.org/users/6782581/items/2ZVZMK7S"],"uri":["http://zotero.org/users/6782581/items/2ZVZMK7S"],"itemData":{"id":34,"type":"article-journal","container-title":"Stanford Law Review","issue":"4","page":"803","title":"Evidence-Based Sentencing and the Scientific Rationalization of Discrimination","volume":"66","author":[{"family":"Starr","given":"Sonja"}],"issued":{"date-parts":[["2014"]]}}}],"schema":"https://github.com/citation-style-language/schema/raw/master/csl-citation.json"}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 xml:space="preserve">Sonja Starr, ‘Evidence-Based Sentencing and the Scientific Rationalization of Discrimination’ (2014) 66(4) </w:t>
      </w:r>
      <w:r w:rsidRPr="004538FF">
        <w:rPr>
          <w:rFonts w:ascii="Times New Roman" w:hAnsi="Times New Roman" w:cs="Times New Roman"/>
          <w:i/>
          <w:iCs/>
        </w:rPr>
        <w:t>Stanford Law Review</w:t>
      </w:r>
      <w:r w:rsidRPr="004538FF">
        <w:rPr>
          <w:rFonts w:ascii="Times New Roman" w:hAnsi="Times New Roman" w:cs="Times New Roman"/>
        </w:rPr>
        <w:t xml:space="preserve"> 803.</w:t>
      </w:r>
      <w:r w:rsidRPr="004538FF">
        <w:rPr>
          <w:rFonts w:ascii="Times New Roman" w:hAnsi="Times New Roman" w:cs="Times New Roman"/>
        </w:rPr>
        <w:fldChar w:fldCharType="end"/>
      </w:r>
    </w:p>
  </w:footnote>
  <w:footnote w:id="34">
    <w:p w14:paraId="1574C1D7" w14:textId="3F6ADD02"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Liu, Han-Wie, Ching-Fu Lin and Yu-Jie Chen (n 17).</w:t>
      </w:r>
    </w:p>
  </w:footnote>
  <w:footnote w:id="35">
    <w:p w14:paraId="3B432EB6" w14:textId="05B34D4B"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Jeff Larson et al, ‘How We Analyzed the COMPAS Recidivism Algorithm’, ProPublica (online, 23 May 2016) &lt;https://www.propublica.org/article/how-we-analyzed-the-compas-recidivism-algorithm&gt;; ProPublica, </w:t>
      </w:r>
      <w:r w:rsidRPr="004538FF">
        <w:rPr>
          <w:rFonts w:ascii="Times New Roman" w:hAnsi="Times New Roman" w:cs="Times New Roman"/>
          <w:i/>
          <w:iCs/>
        </w:rPr>
        <w:t>COMPAS Recidivism Risk Score Data and Analysis</w:t>
      </w:r>
      <w:r w:rsidRPr="004538FF">
        <w:rPr>
          <w:rFonts w:ascii="Times New Roman" w:hAnsi="Times New Roman" w:cs="Times New Roman"/>
        </w:rPr>
        <w:t xml:space="preserve"> (Dataset, March 2020) &lt;https://propublica.org/datastore/dataset/compas-recidivism-risk-score-data-and-analysis&gt;; Julia Angwin and Jeff Larson, ‘ProPublica Responds to Company’s Critique of Machine Bias Story’, </w:t>
      </w:r>
      <w:r w:rsidRPr="004538FF">
        <w:rPr>
          <w:rFonts w:ascii="Times New Roman" w:hAnsi="Times New Roman" w:cs="Times New Roman"/>
          <w:i/>
          <w:iCs/>
        </w:rPr>
        <w:t>ProPublica</w:t>
      </w:r>
      <w:r w:rsidRPr="004538FF">
        <w:rPr>
          <w:rFonts w:ascii="Times New Roman" w:hAnsi="Times New Roman" w:cs="Times New Roman"/>
        </w:rPr>
        <w:t xml:space="preserve"> (online, 29 July 2016) &lt;https://www.propublica.org/article/propublica-responds-to-companys-critique-of-machine-bias-story&gt;. </w:t>
      </w:r>
    </w:p>
  </w:footnote>
  <w:footnote w:id="36">
    <w:p w14:paraId="2081A2F7" w14:textId="2A6B64FB"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{"citationID":"EJoC2k8c","properties":{"formattedCitation":"Starr (n 34) 836\\uc0\\u8211{}837.","plainCitation":"Starr (n 34) 836–837.","noteIndex":37},"citationItems":[{"id":34,"uris":["http://zotero.org/users/6782581/items/2ZVZMK7S"],"uri":["http://zotero.org/users/6782581/items/2ZVZMK7S"],"itemData":{"id":34,"type":"article-journal","container-title":"Stanford Law Review","issue":"4","page":"803","title":"Evidence-Based Sentencing and the Scientific Rationalization of Discrimination","volume":"66","author":[{"family":"Starr","given":"Sonja"}],"issued":{"date-parts":[["2014"]]}},"locator":"836-837"}],"schema":"https://github.com/citation-style-language/schema/raw/master/csl-citation.json"}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Starr (n 34) 836–837.</w:t>
      </w:r>
      <w:r w:rsidRPr="004538FF">
        <w:rPr>
          <w:rFonts w:ascii="Times New Roman" w:hAnsi="Times New Roman" w:cs="Times New Roman"/>
        </w:rPr>
        <w:fldChar w:fldCharType="end"/>
      </w:r>
    </w:p>
  </w:footnote>
  <w:footnote w:id="37">
    <w:p w14:paraId="45E11357" w14:textId="12B995B1"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Jeff Larson et al, (n 36); Angwin, Julia and Jeff Larson (n 36). </w:t>
      </w:r>
    </w:p>
  </w:footnote>
  <w:footnote w:id="38">
    <w:p w14:paraId="09F93F03" w14:textId="6BE46F84"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Northpointe, ‘Practitioner’s Guide to COMPAS Core’ (Guidance, Northpointe, 19 March 2015) 29. </w:t>
      </w:r>
    </w:p>
  </w:footnote>
  <w:footnote w:id="39">
    <w:p w14:paraId="02798E03" w14:textId="52B59A1D"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{"citationID":"g2b0CbVi","properties":{"formattedCitation":"Starr (n 34) 837\\uc0\\u8211{}838.","plainCitation":"Starr (n 34) 837–838.","noteIndex":40},"citationItems":[{"id":34,"uris":["http://zotero.org/users/6782581/items/2ZVZMK7S"],"uri":["http://zotero.org/users/6782581/items/2ZVZMK7S"],"itemData":{"id":34,"type":"article-journal","container-title":"Stanford Law Review","issue":"4","page":"803","title":"Evidence-Based Sentencing and the Scientific Rationalization of Discrimination","volume":"66","author":[{"family":"Starr","given":"Sonja"}],"issued":{"date-parts":[["2014"]]}},"locator":"837-838"}],"schema":"https://github.com/citation-style-language/schema/raw/master/csl-citation.json"}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Starr (n 34) 837–838.</w:t>
      </w:r>
      <w:r w:rsidRPr="004538FF">
        <w:rPr>
          <w:rFonts w:ascii="Times New Roman" w:hAnsi="Times New Roman" w:cs="Times New Roman"/>
        </w:rPr>
        <w:fldChar w:fldCharType="end"/>
      </w:r>
    </w:p>
  </w:footnote>
  <w:footnote w:id="40">
    <w:p w14:paraId="0EFDFE21" w14:textId="454F076A" w:rsidR="004538FF" w:rsidRPr="004538FF" w:rsidRDefault="004538FF" w:rsidP="00203194">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{"citationID":"0RlL0EnK","properties":{"formattedCitation":"Genesereth (n 18) 5.","plainCitation":"Genesereth (n 18) 5.","noteIndex":41},"citationItems":[{"id":26,"uris":["http://zotero.org/users/6782581/items/5C598D4E"],"uri":["http://zotero.org/users/6782581/items/5C598D4E"],"itemData":{"id":26,"type":"paper-conference","DOI":"10.1145/1165485.1165517","event-place":"Stanford,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5"}],"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Genesereth (n 18) 5.</w:t>
      </w:r>
      <w:r w:rsidRPr="004538FF">
        <w:rPr>
          <w:rFonts w:ascii="Times New Roman" w:hAnsi="Times New Roman" w:cs="Times New Roman"/>
        </w:rPr>
        <w:fldChar w:fldCharType="end"/>
      </w:r>
      <w:r w:rsidRPr="004538FF">
        <w:rPr>
          <w:rFonts w:ascii="Times New Roman" w:hAnsi="Times New Roman" w:cs="Times New Roman"/>
        </w:rPr>
        <w:t xml:space="preserve"> </w:t>
      </w:r>
    </w:p>
  </w:footnote>
  <w:footnote w:id="41">
    <w:p w14:paraId="3C6EEF4A" w14:textId="09CE36CB"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{"citationID":"iorUKKDm","properties":{"formattedCitation":"{\\i{}West\\uc0\\u8217{}s Encyclopedia of American Law} (online at 25 August 2020) \\uc0\\u8216{}formalism\\uc0\\u8217{}.","plainCitation":"West’s Encyclopedia of American Law (online at 25 August 2020) ‘formalism’.","noteIndex":42},"citationItems":[{"id":140,"uris":["http://zotero.org/users/6782581/items/9CP4Z6PX"],"uri":["http://zotero.org/users/6782581/items/9CP4Z6PX"],"itemData":{"id":140,"type":"entry-dictionary","container-title":"West's Encyclopedia of American Law","edition":"2nd","source":"The Free Dictionary","title":"formalism","URL":"https://legal-dictionary.thefreedictionary.com/formalism","accessed":{"date-parts":[["2020",8,25]]},"issued":{"date-parts":[["2008"]]}}}],"schema":"https://github.com/citation-style-language/schema/raw/master/csl-citation.json"}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i/>
          <w:iCs/>
        </w:rPr>
        <w:t>West’s Encyclopedia of American Law</w:t>
      </w:r>
      <w:r w:rsidRPr="004538FF">
        <w:rPr>
          <w:rFonts w:ascii="Times New Roman" w:hAnsi="Times New Roman" w:cs="Times New Roman"/>
        </w:rPr>
        <w:t xml:space="preserve"> (online at 25 August 2020) ‘formalism’.</w:t>
      </w:r>
      <w:r w:rsidRPr="004538FF">
        <w:rPr>
          <w:rFonts w:ascii="Times New Roman" w:hAnsi="Times New Roman" w:cs="Times New Roman"/>
        </w:rPr>
        <w:fldChar w:fldCharType="end"/>
      </w:r>
    </w:p>
  </w:footnote>
  <w:footnote w:id="42">
    <w:p w14:paraId="2B348362" w14:textId="66D8B2CB"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See, eg,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{"citationID":"Q4OKd7Yj","properties":{"formattedCitation":"Judge Richard A. Posner, \\uc0\\u8216{}Nine Theories of Judicial Behavior\\uc0\\u8217{} in {\\i{}How Judges Think} (Harvard University Press, 2008) 19, 42 &lt;https://www.jstor.org/stable/j.ctvjk2w91.4&gt;; Brian Z Tamanaha, \\uc0\\u8216{}INTRODUCTION\\uc0\\u8217{} in {\\i{}Beyond the Formalist-Realist Divide} (Princeton University Press, 2010) 1, 1\\uc0\\u8211{}6 &lt;https://www.jstor.org/stable/j.ctt7rm95.4&gt;; Brian Leiter, \\uc0\\u8216{}Positivism, Formalism, Realism\\uc0\\u8217{}, ed Anthony Sebok (1999) 99(4) {\\i{}Columbia Law Review} 1138, 1144\\uc0\\u8211{}1147.","plainCitation":"Judge Richard A. Posner, ‘Nine Theories of Judicial Behavior’ in How Judges Think (Harvard University Press, 2008) 19, 42 &lt;https://www.jstor.org/stable/j.ctvjk2w91.4&gt;; Brian Z Tamanaha, ‘INTRODUCTION’ in Beyond the Formalist-Realist Divide (Princeton University Press, 2010) 1, 1–6 &lt;https://www.jstor.org/stable/j.ctt7rm95.4&gt;; Brian Leiter, ‘Positivism, Formalism, Realism’, ed Anthony Sebok (1999) 99(4) Columbia Law Review 1138, 1144–1147.","noteIndex":43},"citationItems":[{"id":58,"uris":["http://zotero.org/users/6782581/items/4KSSRSZ7"],"uri":["http://zotero.org/users/6782581/items/4KSSRSZ7"],"itemData":{"id":58,"type":"chapter","abstract":"There are many positive (that is, descriptive as distinct from normative) theories of judicial behavior.¹ Their primary focus is, as one would expect, on explaining judges’ decisions. The theories are the attitudinal, the strategic, the sociological, the psychological, the economic, the organizational, the pragmatic, the phenomenological, and, of course, what I am calling the legalist theory. All the theories have merit and feed into the theory of decision making that I develop in this book. But all are overstated or incomplete. And missing from the welter of theories—the gap this book endeavors to fill, though in part simply by","archive":"JSTOR","container-title":"How Judges Think","ISBN":"978-0-674-02820-3","page":"19-56","publisher":"Harvard University Press","source":"JSTOR","title":"Nine Theories of Judicial Behavior","URL":"https://www.jstor.org/stable/j.ctvjk2w91.4","author":[{"literal":"Judge Richard A. Posner"}],"accessed":{"date-parts":[["2020",8,17]]},"issued":{"date-parts":[["2008"]]}},"locator":"42"},{"id":59,"uris":["http://zotero.org/users/6782581/items/C7EG46IR"],"uri":["http://zotero.org/users/6782581/items/C7EG46IR"],"itemData":{"id":59,"type":"chapter","abstract":"PERSPECTIVES ON JUDGING in the United States are dominated by a story about the formalists and the realists. From the 1870s through the 1920s—the heyday of legal formalism—lawyers and judges saw law as autonomous, comprehensive, logically ordered, and determinate and believed that judges engaged in pure mechanical deduction from this body of law to produce single correct outcomes. In the 1920s and 1930s, building upon the insights of Oliver Wendell Holmes, Roscoe Pound, and Benjamin Cardozo, the legal realists discredited legal formalism, demonstrating that the law is filled with gaps and contradictions, that the law is indeterminate, that","archive":"JSTOR","collection-title":"The Role of Politics in Judging","container-title":"Beyond the Formalist-Realist Divide","ISBN":"978-0-691-14280-7","note":"DOI: 10.2307/j.ctt7rm95.4","page":"1-10","publisher":"Princeton University Press","source":"JSTOR","title":"INTRODUCTION","URL":"https://www.jstor.org/stable/j.ctt7rm95.4","author":[{"family":"Tamanaha","given":"Brian Z."}],"accessed":{"date-parts":[["2020",8,17]]},"issued":{"date-parts":[["2010"]]}},"locator":"1-6"},{"id":60,"uris":["http://zotero.org/users/6782581/items/RRQP942X"],"uri":["http://zotero.org/users/6782581/items/RRQP942X"],"itemData":{"id":60,"type":"article-journal","abstract":"In \"Legal Positivism in American Jurisprudence,\" Anthony Sebok traces the historical and philosophical relationship between legal positivism and the dominant schools of American jurisprudence: Formalism, Realism, Legal Process, and Fundamental Rights. Sebok argues that formalism followed from the central tenets of Classical Positivism, and that both schools of thought were discredited--through misunderstandings--during the Realist period. Positivism's essential tenets were reasserted by Legal Process scholars, though soon thereafter misappropriated by politically conservative theorists. In the concluding chapters of the book, Sebok argues that the recent theory known as \"Soft\" Positivism or \"Incorporationism\" holds out the possibility of redeeming the liberal political credentials of positivism. In this Review Essay, Professor Leiter questions Sebok's jurisprudential analysis. In Part I, Leiter sets forth the central tenets of positivism, formalism, and realism. In Part II, he critiques each step in Sebok's jurisprudential argument. He shows that formalism has no conceptual connection with positivism, while realism is essentially predicated on a positivist conception of law. Moreover, Leiter finds that Legal Process has far greater affinities with Ronald Dworkin's jurisprudence than with positivism. Finally, Soft Positivism cannot redeem positivism's liberal credentials because positivism does not entail any political commitments in adjudication. Leiter concludes by questioning Sebok's acceptance of the correctness of Soft Positivism as a theory of law.","archive":"JSTOR","container-title":"Columbia Law Review","DOI":"10.2307/1123484","ISSN":"0010-1958","issue":"4","note":"publisher: Columbia Law Review Association, Inc.","page":"1138-1164","source":"JSTOR","title":"Positivism, Formalism, Realism","volume":"99","editor":[{"family":"Sebok","given":"Anthony"}],"author":[{"family":"Leiter","given":"Brian"}],"issued":{"date-parts":[["1999"]]}},"locator":"1144-1147"}],"schema":"https://github.com/citation-style-language/schema/raw/master/csl-citation.json"}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 xml:space="preserve">Judge Richard A. Posner, ‘Nine Theories of Judicial Behavior’ in </w:t>
      </w:r>
      <w:r w:rsidRPr="004538FF">
        <w:rPr>
          <w:rFonts w:ascii="Times New Roman" w:hAnsi="Times New Roman" w:cs="Times New Roman"/>
          <w:i/>
          <w:iCs/>
        </w:rPr>
        <w:t>How Judges Think</w:t>
      </w:r>
      <w:r w:rsidRPr="004538FF">
        <w:rPr>
          <w:rFonts w:ascii="Times New Roman" w:hAnsi="Times New Roman" w:cs="Times New Roman"/>
        </w:rPr>
        <w:t xml:space="preserve"> (Harvard University Press, 2008) 19, 42 &lt;https://www.jstor.org/stable/j.ctvjk2w91.4&gt;; Brian Z Tamanaha, ‘INTRODUCTION’ in </w:t>
      </w:r>
      <w:r w:rsidRPr="004538FF">
        <w:rPr>
          <w:rFonts w:ascii="Times New Roman" w:hAnsi="Times New Roman" w:cs="Times New Roman"/>
          <w:i/>
          <w:iCs/>
        </w:rPr>
        <w:t>Beyond the Formalist-Realist Divide</w:t>
      </w:r>
      <w:r w:rsidRPr="004538FF">
        <w:rPr>
          <w:rFonts w:ascii="Times New Roman" w:hAnsi="Times New Roman" w:cs="Times New Roman"/>
        </w:rPr>
        <w:t xml:space="preserve"> (Princeton University Press, 2010) 1, 1–6 &lt;https://www.jstor.org/stable/j.ctt7rm95.4&gt;; Brian Leiter, ‘Positivism, Formalism, Realism’, ed Anthony Sebok (1999) 99(4) </w:t>
      </w:r>
      <w:r w:rsidRPr="004538FF">
        <w:rPr>
          <w:rFonts w:ascii="Times New Roman" w:hAnsi="Times New Roman" w:cs="Times New Roman"/>
          <w:i/>
          <w:iCs/>
        </w:rPr>
        <w:t>Columbia Law Review</w:t>
      </w:r>
      <w:r w:rsidRPr="004538FF">
        <w:rPr>
          <w:rFonts w:ascii="Times New Roman" w:hAnsi="Times New Roman" w:cs="Times New Roman"/>
        </w:rPr>
        <w:t xml:space="preserve"> 1138, 1144–1147.</w:t>
      </w:r>
      <w:r w:rsidRPr="004538FF">
        <w:rPr>
          <w:rFonts w:ascii="Times New Roman" w:hAnsi="Times New Roman" w:cs="Times New Roman"/>
        </w:rPr>
        <w:fldChar w:fldCharType="end"/>
      </w:r>
    </w:p>
  </w:footnote>
  <w:footnote w:id="43">
    <w:p w14:paraId="508182B3" w14:textId="227D84D7"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{"citationID":"qUrvp459","properties":{"formattedCitation":"Joe McIntyre, \\uc0\\u8216{}CSIRO Wants Our Laws Turned into Computer Code. Here\\uc0\\u8217{}s Why That\\uc0\\u8217{}s a Bad Idea\\uc0\\u8217{}, {\\i{}The Conversation} (20 January 2020) &lt;http://theconversation.com/csiro-wants-our-laws-turned-into-computer-code-heres-why-thats-a-bad-idea-130131&gt;.","plainCitation":"Joe McIntyre, ‘CSIRO Wants Our Laws Turned into Computer Code. Here’s Why That’s a Bad Idea’, The Conversation (20 January 2020) &lt;http://theconversation.com/csiro-wants-our-laws-turned-into-computer-code-heres-why-thats-a-bad-idea-130131&gt;.","noteIndex":44},"citationItems":[{"id":20,"uris":["http://zotero.org/users/6782581/items/H3QTFEQN"],"uri":["http://zotero.org/users/6782581/items/H3QTFEQN"],"itemData":{"id":20,"type":"post-weblog","abstract":"Assuming machines could take the place of judges belies their role as the third arm of government and makers of law.","container-title":"The Conversation","language":"en","note":"source: theconversation.com","title":"CSIRO wants our laws turned into computer code. Here's why that's a bad idea","URL":"http://theconversation.com/csiro-wants-our-laws-turned-into-computer-code-heres-why-thats-a-bad-idea-130131","author":[{"family":"McIntyre","given":"Joe"}],"accessed":{"date-parts":[["2020",8,4]]},"issued":{"date-parts":[["2020",1,20]]}}}],"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 xml:space="preserve">Joe McIntyre, ‘CSIRO Wants Our Laws Turned into Computer Code. Here’s Why That’s a Bad Idea’, </w:t>
      </w:r>
      <w:r w:rsidRPr="004538FF">
        <w:rPr>
          <w:rFonts w:ascii="Times New Roman" w:hAnsi="Times New Roman" w:cs="Times New Roman"/>
          <w:i/>
          <w:iCs/>
        </w:rPr>
        <w:t>The Conversation</w:t>
      </w:r>
      <w:r w:rsidRPr="004538FF">
        <w:rPr>
          <w:rFonts w:ascii="Times New Roman" w:hAnsi="Times New Roman" w:cs="Times New Roman"/>
        </w:rPr>
        <w:t xml:space="preserve"> (20 January 2020) &lt;http://theconversation.com/csiro-wants-our-laws-turned-into-computer-code-heres-why-thats-a-bad-idea-130131&gt;.</w:t>
      </w:r>
      <w:r w:rsidRPr="004538FF">
        <w:rPr>
          <w:rFonts w:ascii="Times New Roman" w:hAnsi="Times New Roman" w:cs="Times New Roman"/>
        </w:rPr>
        <w:fldChar w:fldCharType="end"/>
      </w:r>
    </w:p>
  </w:footnote>
  <w:footnote w:id="44">
    <w:p w14:paraId="28CDDB10" w14:textId="77777777" w:rsidR="004538FF" w:rsidRPr="004538FF" w:rsidRDefault="004538FF" w:rsidP="00DE4404">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 xml:space="preserve">Code civil des français </w:t>
      </w:r>
      <w:r w:rsidRPr="004538FF">
        <w:rPr>
          <w:rFonts w:ascii="Times New Roman" w:hAnsi="Times New Roman" w:cs="Times New Roman"/>
        </w:rPr>
        <w:t>[Civil code of the French] (France).</w:t>
      </w:r>
    </w:p>
  </w:footnote>
  <w:footnote w:id="45">
    <w:p w14:paraId="1777F693" w14:textId="4D6D38AE"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Ibid art 5.</w:t>
      </w:r>
    </w:p>
  </w:footnote>
  <w:footnote w:id="46">
    <w:p w14:paraId="0AA30FC5" w14:textId="77EA8055"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{"citationID":"VR0V2ids","properties":{"formattedCitation":"Ben Green and Salom\\uc0\\u233{} Viljoen, \\uc0\\u8216{}Algorithmic Realism: Expanding the Boundaries of Algorithmic Thought\\uc0\\u8217{} in {\\i{}Proceedings of the 2020 Conference on Fairness, Accountability, and Transparency} (ACM, 2020) 19, 6 &lt;http://dl.acm.org/doi/10.1145/3351095.3372840&gt;.","plainCitation":"Ben Green and Salomé Viljoen, ‘Algorithmic Realism: Expanding the Boundaries of Algorithmic Thought’ in Proceedings of the 2020 Conference on Fairness, Accountability, and Transparency (ACM, 2020) 19, 6 &lt;http://dl.acm.org/doi/10.1145/3351095.3372840&gt;.","noteIndex":47},"citationItems":[{"id":30,"uris":["http://zotero.org/users/6782581/items/TN68RRBU"],"uri":["http://zotero.org/users/6782581/items/TN68RRBU"],"itemData":{"id":30,"type":"paper-conference","abstract":"Although computer scientists are eager to help address social problems, the eld faces a growing awareness that many well-intentioned applications of algorithms in social contexts have led to signi cant harm. We argue that addressing this gap between the eld’s desire to do good and the harmful impacts of many of its interventions requires looking to the epistemic and methodological underpinnings of algorithms. We diagnose the dominant mode of algorithmic reasoning as “algorithmic formalism” and describe how formalist orientations lead to harmful algorithmic interventions. Addressing these harms requires pursuing a new mode of algorithmic thinking that is attentive to the internal limits of algorithms and to the social concerns that fall beyond the bounds of algorithmic formalism. To understand what a methodological evolution beyond formalism looks like and what it may achieve, we turn to the twentieth century evolution in American legal thought from legal formalism to legal realism. Drawing on the lessons of legal realism, we propose a new mode of algorithmic thinking—“algorithmic realism”—that provides tools for computer scientists to account for the realities of social life and of algorithmic impacts. These realist approaches, although not foolproof, will better equip computer scientists to reduce algorithmic harms and to reason well about doing good.","container-title":"Proceedings of the 2020 Conference on Fairness, Accountability, and Transparency","DOI":"10.1145/3351095.3372840","event":"FAT* '20: Conference on Fairness, Accountability, and Transparency","event-place":"Barcelona Spain","ISBN":"978-1-4503-6936-7","language":"en","page":"19-31","publisher":"ACM","publisher-place":"Barcelona Spain","source":"DOI.org (Crossref)","title":"Algorithmic realism: expanding the boundaries of algorithmic thought","URL":"http://dl.acm.org/doi/10.1145/3351095.3372840","author":[{"family":"Green","given":"Ben"},{"family":"Viljoen","given":"Salomé"}],"accessed":{"date-parts":[["2020",8,10]]},"issued":{"date-parts":[["2020",1,27]]}},"locator":"6"}],"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Ben Green and Salomé Viljoen, ‘Algorithmic Realism: Expanding the Boundaries of Algorithmic Thought’ in </w:t>
      </w:r>
      <w:r w:rsidRPr="004538FF">
        <w:rPr>
          <w:rFonts w:ascii="Times New Roman" w:hAnsi="Times New Roman" w:cs="Times New Roman"/>
          <w:i/>
          <w:iCs/>
          <w:szCs w:val="24"/>
        </w:rPr>
        <w:t>Proceedings of the 2020 Conference on Fairness, Accountability, and Transparency</w:t>
      </w:r>
      <w:r w:rsidRPr="004538FF">
        <w:rPr>
          <w:rFonts w:ascii="Times New Roman" w:hAnsi="Times New Roman" w:cs="Times New Roman"/>
          <w:szCs w:val="24"/>
        </w:rPr>
        <w:t xml:space="preserve"> (ACM, 2020) 19, 6 &lt;http://dl.acm.org/doi/10.1145/3351095.3372840&gt;.</w:t>
      </w:r>
      <w:r w:rsidRPr="004538FF">
        <w:rPr>
          <w:rFonts w:ascii="Times New Roman" w:hAnsi="Times New Roman" w:cs="Times New Roman"/>
        </w:rPr>
        <w:fldChar w:fldCharType="end"/>
      </w:r>
    </w:p>
  </w:footnote>
  <w:footnote w:id="47">
    <w:p w14:paraId="36278AC5" w14:textId="271D93E5"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198 US 45 (1905).</w:t>
      </w:r>
    </w:p>
  </w:footnote>
  <w:footnote w:id="48">
    <w:p w14:paraId="173E3341" w14:textId="7041434C"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“Swearing in of Sir Own Dixon as Chief Justice” (1952) 85 CLR xi, xiv.</w:t>
      </w:r>
    </w:p>
  </w:footnote>
  <w:footnote w:id="49">
    <w:p w14:paraId="5C8BBAE8" w14:textId="45E53D03" w:rsidR="004538FF" w:rsidRPr="004538FF" w:rsidRDefault="004538FF" w:rsidP="00C42A23">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{"citationID":"QioO5I4J","properties":{"formattedCitation":"See, eg, {\\i{}Australian National Airways Pty Ltd v Commonwealth (No 1) (\\uc0\\u8216{}Airlines Nationalisation case\\uc0\\u8217{})} (1945) 71 CLR 29.","plainCitation":"See, eg, Australian National Airways Pty Ltd v Commonwealth (No 1) (‘Airlines Nationalisation case’) (1945) 71 CLR 29.","noteIndex":50},"citationItems":[{"id":68,"uris":["http://zotero.org/users/6782581/items/URMZBFEJ"],"uri":["http://zotero.org/users/6782581/items/URMZBFEJ"],"itemData":{"id":68,"type":"legal_case","container-title":"CLR","note":"jurisdiction: Commonwealth","page":"29","title":"Australian National Airways Pty Ltd v Commonwealth (No 1) (\"Airlines Nationalisation case\")","URL":"http://www6.austlii.edu.au/cgi-bin/viewdoc/au/cases/cth/HCA/1945/41.html","volume":"71","accessed":{"date-parts":[["2020",8,18]]},"issued":{"date-parts":[["1945",12,14]]}},"prefix":"See, eg, "}],"schema":"https://github.com/citation-style-language/schema/raw/master/csl-citation.json"}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 xml:space="preserve">See, eg, </w:t>
      </w:r>
      <w:r w:rsidRPr="004538FF">
        <w:rPr>
          <w:rFonts w:ascii="Times New Roman" w:hAnsi="Times New Roman" w:cs="Times New Roman"/>
          <w:i/>
          <w:iCs/>
        </w:rPr>
        <w:t>Australian National Airways Pty Ltd v Commonwealth (No 1) (‘Airlines Nationalisation case’)</w:t>
      </w:r>
      <w:r w:rsidRPr="004538FF">
        <w:rPr>
          <w:rFonts w:ascii="Times New Roman" w:hAnsi="Times New Roman" w:cs="Times New Roman"/>
        </w:rPr>
        <w:t xml:space="preserve"> (1945) 71 CLR 29.</w:t>
      </w:r>
      <w:r w:rsidRPr="004538FF">
        <w:rPr>
          <w:rFonts w:ascii="Times New Roman" w:hAnsi="Times New Roman" w:cs="Times New Roman"/>
        </w:rPr>
        <w:fldChar w:fldCharType="end"/>
      </w:r>
    </w:p>
  </w:footnote>
  <w:footnote w:id="50">
    <w:p w14:paraId="2565C099" w14:textId="171C7DDF"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See, eg, Dixon J, “Concerning Judicial Method” (1956) 29 ALJ 468, 472, where Dixon distinguishes between judicial development of the law through extension of accepted principles and the deliberate abandonment of a given principle.</w:t>
      </w:r>
    </w:p>
  </w:footnote>
  <w:footnote w:id="51">
    <w:p w14:paraId="2B24C9A3" w14:textId="6F656CA0"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{"citationID":"bJF880KA","properties":{"formattedCitation":"Justice Michael Kirby, \\uc0\\u8216{}\\uc0\\u8220{}Judicial Activism\\uc0\\u8221{}? A Riposte to the Counter-Reformation\\uc0\\u8217{} 11 {\\i{}Otago Law Review} 1, 3\\uc0\\u8211{}4.","plainCitation":"Justice Michael Kirby, ‘“Judicial Activism”? A Riposte to the Counter-Reformation’ 11 Otago Law Review 1, 3–4.","noteIndex":52},"citationItems":[{"id":65,"uris":["http://zotero.org/users/6782581/items/WN74FDZY"],"uri":["http://zotero.org/users/6782581/items/WN74FDZY"],"itemData":{"id":65,"type":"article-journal","container-title":"Otago Law Review","page":"1","title":"\"Judicial Activism\"? A Riposte to the Counter-Reformation","volume":"11","author":[{"literal":"Justice Michael Kirby"}]},"locator":"3-4"}],"schema":"https://github.com/citation-style-language/schema/raw/master/csl-citation.json"}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 xml:space="preserve">Justice Michael Kirby, ‘“Judicial Activism”? A Riposte to the Counter-Reformation’ 11 </w:t>
      </w:r>
      <w:r w:rsidRPr="004538FF">
        <w:rPr>
          <w:rFonts w:ascii="Times New Roman" w:hAnsi="Times New Roman" w:cs="Times New Roman"/>
          <w:i/>
          <w:iCs/>
        </w:rPr>
        <w:t>Otago Law Review</w:t>
      </w:r>
      <w:r w:rsidRPr="004538FF">
        <w:rPr>
          <w:rFonts w:ascii="Times New Roman" w:hAnsi="Times New Roman" w:cs="Times New Roman"/>
        </w:rPr>
        <w:t xml:space="preserve"> 1, 3–4.</w:t>
      </w:r>
      <w:r w:rsidRPr="004538FF">
        <w:rPr>
          <w:rFonts w:ascii="Times New Roman" w:hAnsi="Times New Roman" w:cs="Times New Roman"/>
        </w:rPr>
        <w:fldChar w:fldCharType="end"/>
      </w:r>
      <w:r w:rsidRPr="004538FF">
        <w:rPr>
          <w:rFonts w:ascii="Times New Roman" w:hAnsi="Times New Roman" w:cs="Times New Roman"/>
        </w:rPr>
        <w:t xml:space="preserve"> </w:t>
      </w:r>
    </w:p>
  </w:footnote>
  <w:footnote w:id="52">
    <w:p w14:paraId="292DA9D1" w14:textId="3ABE6137"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{"citationID":"tNvBMMOL","properties":{"formattedCitation":"Ibid 3.","plainCitation":"Ibid 3.","noteIndex":53},"citationItems":[{"id":65,"uris":["http://zotero.org/users/6782581/items/WN74FDZY"],"uri":["http://zotero.org/users/6782581/items/WN74FDZY"],"itemData":{"id":65,"type":"article-journal","container-title":"Otago Law Review","page":"1","title":"\"Judicial Activism\"? A Riposte to the Counter-Reformation","volume":"11","author":[{"literal":"Justice Michael Kirby"}]},"locator":"3"}],"schema":"https://github.com/citation-style-language/schema/raw/master/csl-citation.json"}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Ibid 3.</w:t>
      </w:r>
      <w:r w:rsidRPr="004538FF">
        <w:rPr>
          <w:rFonts w:ascii="Times New Roman" w:hAnsi="Times New Roman" w:cs="Times New Roman"/>
        </w:rPr>
        <w:fldChar w:fldCharType="end"/>
      </w:r>
      <w:r w:rsidRPr="004538FF">
        <w:rPr>
          <w:rFonts w:ascii="Times New Roman" w:hAnsi="Times New Roman" w:cs="Times New Roman"/>
        </w:rPr>
        <w:t xml:space="preserve"> See also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{"citationID":"PoFNpaVr","properties":{"formattedCitation":"Bryan Horrigan, \\uc0\\u8216{}Australian Legal Principles in Practice \\uc0\\u8211{} Taking Reasoning and Research Seriously\\uc0\\u8217{} (1993) 9 {\\i{}Queensland University of Technology Law Journal} 159, 162.","plainCitation":"Bryan Horrigan, ‘Australian Legal Principles in Practice – Taking Reasoning and Research Seriously’ (1993) 9 Queensland University of Technology Law Journal 159, 162.","noteIndex":53},"citationItems":[{"id":62,"uris":["http://zotero.org/users/6782581/items/9CV58W3X"],"uri":["http://zotero.org/users/6782581/items/9CV58W3X"],"itemData":{"id":62,"type":"article-journal","abstract":"The best lawyers are fully skilled lawyers. Fully skilled lawyers unify legal theory and legal practice, by integrating four key components of legal education -jurisprudence, substantive law (or \"black letter\" law), client-based work, and legal methodology (ie legal reasoning and research). In other words, lawyers cannot fully analyse law without enhanced skills in legal methodology, and they cannot fully appreciate important legal developments without appreciating their jurisprudential implications, their place within the body of Australian law, and their practical implications. Applied jurisprudence supplies the conceptual framework for the unification of legal theory and legal practice. Topical developmentsin legal areas as varied as High Court reasoning, pre-receivership contracts, and native title illuminate the value of this over-arching enterprise of applied jurisprudence and the need for fully skilled lawyers.","container-title":"Queensland University of Technology Law Journal","DOI":"10.5204/qutlr.v9i0.376","ISSN":"2201-7275, 2205-0507","language":"en","page":"159-182","source":"DOI.org (Crossref)","title":"Australian Legal Principles in Practice – Taking Reasoning and Research Seriously","volume":"9","author":[{"family":"Horrigan","given":"Bryan"}],"issued":{"date-parts":[["1993",10,30]]}},"locator":"162"}],"schema":"https://github.com/citation-style-language/schema/raw/master/csl-citation.json"}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 xml:space="preserve">Bryan Horrigan, ‘Australian Legal Principles in Practice – Taking Reasoning and Research Seriously’ (1993) 9 </w:t>
      </w:r>
      <w:r w:rsidRPr="004538FF">
        <w:rPr>
          <w:rFonts w:ascii="Times New Roman" w:hAnsi="Times New Roman" w:cs="Times New Roman"/>
          <w:i/>
          <w:iCs/>
        </w:rPr>
        <w:t>Queensland University of Technology Law Journal</w:t>
      </w:r>
      <w:r w:rsidRPr="004538FF">
        <w:rPr>
          <w:rFonts w:ascii="Times New Roman" w:hAnsi="Times New Roman" w:cs="Times New Roman"/>
        </w:rPr>
        <w:t xml:space="preserve"> 159, 162.</w:t>
      </w:r>
      <w:r w:rsidRPr="004538FF">
        <w:rPr>
          <w:rFonts w:ascii="Times New Roman" w:hAnsi="Times New Roman" w:cs="Times New Roman"/>
        </w:rPr>
        <w:fldChar w:fldCharType="end"/>
      </w:r>
    </w:p>
  </w:footnote>
  <w:footnote w:id="53">
    <w:p w14:paraId="427A6A10" w14:textId="20ED2B9D"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{"citationID":"X01PCjbv","properties":{"formattedCitation":"Justice Michael Kirby (n 52) 4\\uc0\\u8211{}8, 13\\uc0\\u8211{}16.","plainCitation":"Justice Michael Kirby (n 52) 4–8, 13–16.","noteIndex":54},"citationItems":[{"id":65,"uris":["http://zotero.org/users/6782581/items/WN74FDZY"],"uri":["http://zotero.org/users/6782581/items/WN74FDZY"],"itemData":{"id":65,"type":"article-journal","container-title":"Otago Law Review","page":"1","title":"\"Judicial Activism\"? A Riposte to the Counter-Reformation","volume":"11","author":[{"literal":"Justice Michael Kirby"}]},"locator":"4-8, 13-16"}],"schema":"https://github.com/citation-style-language/schema/raw/master/csl-citation.json"}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Justice Michael Kirby (n 52) 4–8, 13–16.</w:t>
      </w:r>
      <w:r w:rsidRPr="004538FF">
        <w:rPr>
          <w:rFonts w:ascii="Times New Roman" w:hAnsi="Times New Roman" w:cs="Times New Roman"/>
        </w:rPr>
        <w:fldChar w:fldCharType="end"/>
      </w:r>
    </w:p>
  </w:footnote>
  <w:footnote w:id="54">
    <w:p w14:paraId="1BCD1500" w14:textId="43F4DE88"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szCs w:val="24"/>
        </w:rPr>
        <w:t>Project Blue Sky v Australian Broadcasting Authority</w:t>
      </w:r>
      <w:r w:rsidRPr="004538FF">
        <w:rPr>
          <w:rFonts w:ascii="Times New Roman" w:hAnsi="Times New Roman" w:cs="Times New Roman"/>
          <w:szCs w:val="24"/>
        </w:rPr>
        <w:t xml:space="preserve"> (1998) 194 CLR 355, 384; </w:t>
      </w:r>
      <w:r w:rsidRPr="004538FF">
        <w:rPr>
          <w:rFonts w:ascii="Times New Roman" w:hAnsi="Times New Roman" w:cs="Times New Roman"/>
          <w:i/>
          <w:iCs/>
          <w:szCs w:val="24"/>
        </w:rPr>
        <w:t>CIC Insurance Ltd v Bankstown Football Club Ltd</w:t>
      </w:r>
      <w:r w:rsidRPr="004538FF">
        <w:rPr>
          <w:rFonts w:ascii="Times New Roman" w:hAnsi="Times New Roman" w:cs="Times New Roman"/>
          <w:szCs w:val="24"/>
        </w:rPr>
        <w:t xml:space="preserve"> (1997) 187 CLR 384, 408. See also </w:t>
      </w:r>
      <w:r w:rsidRPr="004538FF">
        <w:rPr>
          <w:rFonts w:ascii="Times New Roman" w:hAnsi="Times New Roman" w:cs="Times New Roman"/>
          <w:i/>
          <w:iCs/>
          <w:szCs w:val="24"/>
        </w:rPr>
        <w:t>Parrett v Secretary, Department of Family &amp; Community Services</w:t>
      </w:r>
      <w:r w:rsidRPr="004538FF">
        <w:rPr>
          <w:rFonts w:ascii="Times New Roman" w:hAnsi="Times New Roman" w:cs="Times New Roman"/>
          <w:szCs w:val="24"/>
        </w:rPr>
        <w:t xml:space="preserve"> (2002) 124 FCR 299 [25]; </w:t>
      </w:r>
      <w:r w:rsidRPr="004538FF">
        <w:rPr>
          <w:rFonts w:ascii="Times New Roman" w:hAnsi="Times New Roman" w:cs="Times New Roman"/>
          <w:i/>
          <w:iCs/>
          <w:szCs w:val="24"/>
        </w:rPr>
        <w:t>K &amp; S Lake City Freighters Pty Ltd v Gordon &amp; Gotch Ltd</w:t>
      </w:r>
      <w:r w:rsidRPr="004538FF">
        <w:rPr>
          <w:rFonts w:ascii="Times New Roman" w:hAnsi="Times New Roman" w:cs="Times New Roman"/>
          <w:szCs w:val="24"/>
        </w:rPr>
        <w:t xml:space="preserve"> (1985) 157 CLR 309, 315;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{"citationID":"j0Kv25kM","properties":{"formattedCitation":"Lisa Crawford et al, {\\i{}Public Law and Statutory Interpretation: Principles and Practice} (Federation Press, 2017) 228\\uc0\\u8211{}256 (\\uc0\\u8216{}{\\i{}Public Law and Statutory Interpretation}\\uc0\\u8217{}); Michelle Sanson, {\\i{}Statutory Interpretation} (Oxford University Press, 2016) 62\\uc0\\u8211{}67 &lt;http://ebookcentral.proquest.com/lib/qut/detail.action?docID=5676439&gt;.","plainCitation":"Lisa Crawford et al, Public Law and Statutory Interpretation: Principles and Practice (Federation Press, 2017) 228–256 (‘Public Law and Statutory Interpretation’); Michelle Sanson, Statutory Interpretation (Oxford University Press, 2016) 62–67 &lt;http://ebookcentral.proquest.com/lib/qut/detail.action?docID=5676439&gt;.","noteIndex":55},"citationItems":[{"id":325,"uris":["http://zotero.org/users/6782581/items/VSCWJLYJ"],"uri":["http://zotero.org/users/6782581/items/VSCWJLYJ"],"itemData":{"id":325,"type":"book","ISBN":"978-1-76002-152-8","language":"English","publisher":"Federation Press","source":"Amazon","title":"Public Law and Statutory Interpretation: Principles and Practice","title-short":"Public Law and Statutory Interpretation","author":[{"family":"Crawford","given":"Lisa"},{"family":"Boughey","given":"Janina"},{"family":"Castan","given":"Melissa"},{"family":"O'Sullivan","given":"Maria"}],"issued":{"date-parts":[["2017",10,30]]}},"locator":"228-256"},{"id":486,"uris":["http://zotero.org/users/6782581/items/M2X6GXP5"],"uri":["http://zotero.org/users/6782581/items/M2X6GXP5"],"itemData":{"id":486,"type":"book","event-place":"Melbourne, AUSTRALIA","ISBN":"978-0-19-030458-4","publisher":"Oxford University Press","publisher-place":"Melbourne, AUSTRALIA","source":"ProQuest Ebook Central","title":"Statutory Interpretation","URL":"http://ebookcentral.proquest.com/lib/qut/detail.action?docID=5676439","author":[{"family":"Sanson","given":"Michelle"}],"accessed":{"date-parts":[["2020",10,20]]},"issued":{"date-parts":[["2016"]]}},"locator":"62-67"}],"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Lisa Crawford et al, </w:t>
      </w:r>
      <w:r w:rsidRPr="004538FF">
        <w:rPr>
          <w:rFonts w:ascii="Times New Roman" w:hAnsi="Times New Roman" w:cs="Times New Roman"/>
          <w:i/>
          <w:iCs/>
          <w:szCs w:val="24"/>
        </w:rPr>
        <w:t>Public Law and Statutory Interpretation: Principles and Practice</w:t>
      </w:r>
      <w:r w:rsidRPr="004538FF">
        <w:rPr>
          <w:rFonts w:ascii="Times New Roman" w:hAnsi="Times New Roman" w:cs="Times New Roman"/>
          <w:szCs w:val="24"/>
        </w:rPr>
        <w:t xml:space="preserve"> (Federation Press, 2017) 228–256 (‘</w:t>
      </w:r>
      <w:r w:rsidRPr="004538FF">
        <w:rPr>
          <w:rFonts w:ascii="Times New Roman" w:hAnsi="Times New Roman" w:cs="Times New Roman"/>
          <w:i/>
          <w:iCs/>
          <w:szCs w:val="24"/>
        </w:rPr>
        <w:t>Public Law and Statutory Interpretation</w:t>
      </w:r>
      <w:r w:rsidRPr="004538FF">
        <w:rPr>
          <w:rFonts w:ascii="Times New Roman" w:hAnsi="Times New Roman" w:cs="Times New Roman"/>
          <w:szCs w:val="24"/>
        </w:rPr>
        <w:t xml:space="preserve">’); Michelle Sanson, </w:t>
      </w:r>
      <w:r w:rsidRPr="004538FF">
        <w:rPr>
          <w:rFonts w:ascii="Times New Roman" w:hAnsi="Times New Roman" w:cs="Times New Roman"/>
          <w:i/>
          <w:iCs/>
          <w:szCs w:val="24"/>
        </w:rPr>
        <w:t>Statutory Interpretation</w:t>
      </w:r>
      <w:r w:rsidRPr="004538FF">
        <w:rPr>
          <w:rFonts w:ascii="Times New Roman" w:hAnsi="Times New Roman" w:cs="Times New Roman"/>
          <w:szCs w:val="24"/>
        </w:rPr>
        <w:t xml:space="preserve"> (Oxford University Press, 2016) 62–67 &lt;http://ebookcentral.proquest.com/lib/qut/detail.action?docID=5676439&gt;.</w:t>
      </w:r>
      <w:r w:rsidRPr="004538FF">
        <w:rPr>
          <w:rFonts w:ascii="Times New Roman" w:hAnsi="Times New Roman" w:cs="Times New Roman"/>
        </w:rPr>
        <w:fldChar w:fldCharType="end"/>
      </w:r>
      <w:r w:rsidRPr="004538FF">
        <w:rPr>
          <w:rFonts w:ascii="Times New Roman" w:hAnsi="Times New Roman" w:cs="Times New Roman"/>
        </w:rPr>
        <w:t xml:space="preserve"> </w:t>
      </w:r>
    </w:p>
  </w:footnote>
  <w:footnote w:id="55">
    <w:p w14:paraId="66380A17" w14:textId="3C214735" w:rsidR="004538FF" w:rsidRPr="004538FF" w:rsidRDefault="004538FF" w:rsidP="00EB72A2">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{"citationID":"g9p4s1Qf","properties":{"formattedCitation":"Justice Michael Kirby (n 52) 13.","plainCitation":"Justice Michael Kirby (n 52) 13.","noteIndex":56},"citationItems":[{"id":65,"uris":["http://zotero.org/users/6782581/items/WN74FDZY"],"uri":["http://zotero.org/users/6782581/items/WN74FDZY"],"itemData":{"id":65,"type":"article-journal","container-title":"Otago Law Review","page":"1","title":"\"Judicial Activism\"? A Riposte to the Counter-Reformation","volume":"11","author":[{"literal":"Justice Michael Kirby"}]},"locator":"13"}],"schema":"https://github.com/citation-style-language/schema/raw/master/csl-citation.json"}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Justice Michael Kirby (n 52) 13.</w:t>
      </w:r>
      <w:r w:rsidRPr="004538FF">
        <w:rPr>
          <w:rFonts w:ascii="Times New Roman" w:hAnsi="Times New Roman" w:cs="Times New Roman"/>
        </w:rPr>
        <w:fldChar w:fldCharType="end"/>
      </w:r>
      <w:r w:rsidRPr="004538FF">
        <w:rPr>
          <w:rFonts w:ascii="Times New Roman" w:hAnsi="Times New Roman" w:cs="Times New Roman"/>
        </w:rPr>
        <w:t xml:space="preserve"> </w:t>
      </w:r>
    </w:p>
  </w:footnote>
  <w:footnote w:id="56">
    <w:p w14:paraId="34915125" w14:textId="2F5C9A20"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{"citationID":"UvfxKdtN","properties":{"formattedCitation":"See, eg, Marcin Matczak, \\uc0\\u8216{}Why Judicial Formalism Is Incompatible with the Rule of Law\\uc0\\u8217{} [2016] {\\i{}SSRN Electronic Journal}.","plainCitation":"See, eg, Marcin Matczak, ‘Why Judicial Formalism Is Incompatible with the Rule of Law’ [2016] SSRN Electronic Journal.","noteIndex":57},"citationItems":[{"id":43,"uris":["http://zotero.org/users/6782581/items/QH39DL47"],"uri":["http://zotero.org/users/6782581/items/QH39DL47"],"itemData":{"id":43,"type":"article-journal","container-title":"SSRN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Law","author":[{"family":"Matczak","given":"Marcin"}],"issued":{"date-parts":[["2016",8,29]]}},"prefix":"See, eg, "}],"schema":"https://github.com/citation-style-language/schema/raw/master/csl-citation.json"}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 xml:space="preserve">See, eg, Marcin Matczak, ‘Why Judicial Formalism Is Incompatible with the Rule of Law’ [2016] </w:t>
      </w:r>
      <w:r w:rsidRPr="004538FF">
        <w:rPr>
          <w:rFonts w:ascii="Times New Roman" w:hAnsi="Times New Roman" w:cs="Times New Roman"/>
          <w:i/>
          <w:iCs/>
        </w:rPr>
        <w:t>SSRN Electronic Journal</w:t>
      </w:r>
      <w:r w:rsidRPr="004538FF">
        <w:rPr>
          <w:rFonts w:ascii="Times New Roman" w:hAnsi="Times New Roman" w:cs="Times New Roman"/>
        </w:rPr>
        <w:t>.</w:t>
      </w:r>
      <w:r w:rsidRPr="004538FF">
        <w:rPr>
          <w:rFonts w:ascii="Times New Roman" w:hAnsi="Times New Roman" w:cs="Times New Roman"/>
        </w:rPr>
        <w:fldChar w:fldCharType="end"/>
      </w:r>
    </w:p>
  </w:footnote>
  <w:footnote w:id="57">
    <w:p w14:paraId="2C2FA636" w14:textId="57ABACB6"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{"citationID":"pDhpd9DU","properties":{"formattedCitation":"Ibid 21\\uc0\\u8211{}25.","plainCitation":"Ibid 21–25.","noteIndex":58},"citationItems":[{"id":43,"uris":["http://zotero.org/users/6782581/items/QH39DL47"],"uri":["http://zotero.org/users/6782581/items/QH39DL47"],"itemData":{"id":43,"type":"article-journal","container-title":"SSRN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Law","author":[{"family":"Matczak","given":"Marcin"}],"issued":{"date-parts":[["2016",8,29]]}},"locator":"21-25"}],"schema":"https://github.com/citation-style-language/schema/raw/master/csl-citation.json"}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Ibid 21–25.</w:t>
      </w:r>
      <w:r w:rsidRPr="004538FF">
        <w:rPr>
          <w:rFonts w:ascii="Times New Roman" w:hAnsi="Times New Roman" w:cs="Times New Roman"/>
        </w:rPr>
        <w:fldChar w:fldCharType="end"/>
      </w:r>
    </w:p>
  </w:footnote>
  <w:footnote w:id="58">
    <w:p w14:paraId="733888BF" w14:textId="508790D4"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{"citationID":"aT3CpCeT","properties":{"formattedCitation":"The notion of \\uc0\\u8216{}predictability\\uc0\\u8217{} as a facet of the rule of law has been affirmed throughout history. See, eg, John Locke, {\\i{}Two Treatises} (Awnsham Churchill, 1689) \\uc0\\u167{}137 &lt;https://oll.libertyfund.org/pages/john-locke-two-treatises-1689&gt;; Friedrich Hayek, {\\i{}Rules and Order}, vol 1 (University of Chicago Press, 1973) 118. See also Jeremy Waldron, \\uc0\\u8216{}The Rule of Law\\uc0\\u8217{} in Edward N Zalta (ed), {\\i{}The Stanford Encyclopedia of Philosophy} (Metaphysics Research Lab, Stanford University, 2020) &lt;https://plato.stanford.edu/archives/sum2020/entries/rule-of-law/&gt;.","plainCitation":"The notion of ‘predictability’ as a facet of the rule of law has been affirmed throughout history. See, eg, John Locke, Two Treatises (Awnsham Churchill, 1689) §137 &lt;https://oll.libertyfund.org/pages/john-locke-two-treatises-1689&gt;; Friedrich Hayek, Rules and Order, vol 1 (University of Chicago Press, 1973) 118. See also Jeremy Waldron, ‘The Rule of Law’ in Edward N Zalta (ed), The Stanford Encyclopedia of Philosophy (Metaphysics Research Lab, Stanford University, 2020) &lt;https://plato.stanford.edu/archives/sum2020/entries/rule-of-law/&gt;.","noteIndex":59},"citationItems":[{"id":129,"uris":["http://zotero.org/users/6782581/items/GURDQVS4"],"uri":["http://zotero.org/users/6782581/items/GURDQVS4"],"itemData":{"id":129,"type":"book","event-place":"England","publisher":"Awnsham Churchill","publisher-place":"England","title":"Two Treatises","URL":"https://oll.libertyfund.org/pages/john-locke-two-treatises-1689","author":[{"family":"Locke","given":"John"}],"accessed":{"date-parts":[["2020",8,23]]},"issued":{"date-parts":[["1689"]]}},"locator":"§137","label":"section","prefix":"The notion of 'predictability' as a facet of the rule of law has been affirmed throughout history. See, eg, "},{"id":132,"uris":["http://zotero.org/users/6782581/items/S43KLWRU"],"uri":["http://zotero.org/users/6782581/items/S43KLWRU"],"itemData":{"id":132,"type":"book","collection-title":"Law, Legislation and Liberty","number-of-volumes":"3","publisher":"University of Chicago Press","title":"Rules and Order","volume":"1","author":[{"family":"Hayek","given":"Friedrich"}],"issued":{"date-parts":[["1973"]]}},"locator":"118","suffix":"."},{"id":131,"uris":["http://zotero.org/users/6782581/items/Y4DGM8YZ"],"uri":["http://zotero.org/users/6782581/items/Y4DGM8YZ"],"itemData":{"id":131,"type":"chapter","abstract":"The phrase “the Rule of Law” has to be distinguished fromthe phrase “a rule of law”. The latter phrase is used todesignate some particular legal rule like the rule againstperpetuities or the rule that says we have to file our taxes by a certain date. Those arerules of law, but the Rule of Law is one of the ideals of ourpolitical morality and it refers to the ascendancy of law as such andof the institutions of the legal system in a system of governance., The Rule of Law comprises a number of principles of a formal andprocedural character, addressing the way in which a community isgoverned. The formal principles concern the generality, clarity,publicity, stability, and prospectivity of the norms that govern asociety. The procedural principles concern the processes by whichthese norms are administered, and the institutions—like courtsand an independent judiciary that their administration requires. Onsome accounts, the Rule of Law also comprises certain substantiveideals like a presumption of liberty and respect for private propertyrights. But these are much more controversial (see section 1 below). And indeed as we shall see there is a great deal ofcontroversy about what the Rule of Law requires.","container-title":"The Stanford Encyclopedia of Philosophy","publisher":"Metaphysics Research Lab, Stanford University","source":"Stanford Encyclopedia of Philosophy","title":"The Rule of Law","URL":"https://plato.stanford.edu/archives/sum2020/entries/rule-of-law/","author":[{"family":"Waldron","given":"Jeremy"}],"editor":[{"family":"Zalta","given":"Edward N."}],"accessed":{"date-parts":[["2020",8,23]]},"issued":{"date-parts":[["2020"]]}},"prefix":"See also"}],"schema":"https://github.com/citation-style-language/schema/raw/master/csl-citation.json"}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 xml:space="preserve">The notion of ‘predictability’ as a facet of the rule of law has been affirmed throughout history. See, eg, John Locke, </w:t>
      </w:r>
      <w:r w:rsidRPr="004538FF">
        <w:rPr>
          <w:rFonts w:ascii="Times New Roman" w:hAnsi="Times New Roman" w:cs="Times New Roman"/>
          <w:i/>
          <w:iCs/>
        </w:rPr>
        <w:t>Two Treatises</w:t>
      </w:r>
      <w:r w:rsidRPr="004538FF">
        <w:rPr>
          <w:rFonts w:ascii="Times New Roman" w:hAnsi="Times New Roman" w:cs="Times New Roman"/>
        </w:rPr>
        <w:t xml:space="preserve"> (Awnsham Churchill, 1689) §137 &lt;https://oll.libertyfund.org/pages/john-locke-two-treatises-1689&gt;; Friedrich Hayek, </w:t>
      </w:r>
      <w:r w:rsidRPr="004538FF">
        <w:rPr>
          <w:rFonts w:ascii="Times New Roman" w:hAnsi="Times New Roman" w:cs="Times New Roman"/>
          <w:i/>
          <w:iCs/>
        </w:rPr>
        <w:t>Rules and Order</w:t>
      </w:r>
      <w:r w:rsidRPr="004538FF">
        <w:rPr>
          <w:rFonts w:ascii="Times New Roman" w:hAnsi="Times New Roman" w:cs="Times New Roman"/>
        </w:rPr>
        <w:t xml:space="preserve">, vol 1 (University of Chicago Press, 1973) 118. See also Jeremy Waldron, ‘The Rule of Law’ in Edward N Zalta (ed), </w:t>
      </w:r>
      <w:r w:rsidRPr="004538FF">
        <w:rPr>
          <w:rFonts w:ascii="Times New Roman" w:hAnsi="Times New Roman" w:cs="Times New Roman"/>
          <w:i/>
          <w:iCs/>
        </w:rPr>
        <w:t>The Stanford Encyclopedia of Philosophy</w:t>
      </w:r>
      <w:r w:rsidRPr="004538FF">
        <w:rPr>
          <w:rFonts w:ascii="Times New Roman" w:hAnsi="Times New Roman" w:cs="Times New Roman"/>
        </w:rPr>
        <w:t xml:space="preserve"> (Metaphysics Research Lab, Stanford University, 2020) &lt;https://plato.stanford.edu/archives/sum2020/entries/rule-of-law/&gt;.</w:t>
      </w:r>
      <w:r w:rsidRPr="004538FF">
        <w:rPr>
          <w:rFonts w:ascii="Times New Roman" w:hAnsi="Times New Roman" w:cs="Times New Roman"/>
        </w:rPr>
        <w:fldChar w:fldCharType="end"/>
      </w:r>
    </w:p>
  </w:footnote>
  <w:footnote w:id="59">
    <w:p w14:paraId="3BBEE8DD" w14:textId="68A872F1"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{"citationID":"KwVsAC5O","properties":{"formattedCitation":"{\\i{}Smith v United States} (1993) 508 U.S. 223.","plainCitation":"Smith v United States (1993) 508 U.S. 223.","dontUpdate":true,"noteIndex":60},"citationItems":[{"id":127,"uris":["http://zotero.org/users/6782581/items/Y59582P8"],"uri":["http://zotero.org/users/6782581/items/Y59582P8"],"itemData":{"id":127,"type":"legal_case","authority":"United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i/>
          <w:iCs/>
        </w:rPr>
        <w:t>Smith v United States</w:t>
      </w:r>
      <w:r w:rsidRPr="004538FF">
        <w:rPr>
          <w:rFonts w:ascii="Times New Roman" w:hAnsi="Times New Roman" w:cs="Times New Roman"/>
        </w:rPr>
        <w:t xml:space="preserve"> 508 US 223</w:t>
      </w:r>
      <w:r w:rsidRPr="004538FF">
        <w:rPr>
          <w:rFonts w:ascii="Times New Roman" w:hAnsi="Times New Roman" w:cs="Times New Roman"/>
        </w:rPr>
        <w:fldChar w:fldCharType="end"/>
      </w:r>
      <w:r w:rsidRPr="004538FF">
        <w:rPr>
          <w:rFonts w:ascii="Times New Roman" w:hAnsi="Times New Roman" w:cs="Times New Roman"/>
        </w:rPr>
        <w:t xml:space="preserve"> (1993).</w:t>
      </w:r>
    </w:p>
  </w:footnote>
  <w:footnote w:id="60">
    <w:p w14:paraId="55DD4FD5" w14:textId="56395C53"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{"citationID":"CMQ47QuU","properties":{"formattedCitation":"Ibid 242\\uc0\\u8211{}247.","plainCitation":"Ibid 242–247.","noteIndex":61},"citationItems":[{"id":127,"uris":["http://zotero.org/users/6782581/items/Y59582P8"],"uri":["http://zotero.org/users/6782581/items/Y59582P8"],"itemData":{"id":127,"type":"legal_case","authority":"United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locator":"242-247"}],"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Ibid 242–247.</w:t>
      </w:r>
      <w:r w:rsidRPr="004538FF">
        <w:rPr>
          <w:rFonts w:ascii="Times New Roman" w:hAnsi="Times New Roman" w:cs="Times New Roman"/>
        </w:rPr>
        <w:fldChar w:fldCharType="end"/>
      </w:r>
    </w:p>
  </w:footnote>
  <w:footnote w:id="61">
    <w:p w14:paraId="7105C5BD" w14:textId="6D12A204"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149 US 304 (1893).</w:t>
      </w:r>
    </w:p>
  </w:footnote>
  <w:footnote w:id="62">
    <w:p w14:paraId="487A95D4" w14:textId="4769B705" w:rsidR="004538FF" w:rsidRPr="004538FF" w:rsidRDefault="004538FF" w:rsidP="00BF788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Ibid 306-307.</w:t>
      </w:r>
    </w:p>
  </w:footnote>
  <w:footnote w:id="63">
    <w:p w14:paraId="51560392" w14:textId="78CEA173"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{"citationID":"5DIQZbNe","properties":{"formattedCitation":"Matczak (n 57) 22\\uc0\\u8211{}24.","plainCitation":"Matczak (n 57) 22–24.","noteIndex":64},"citationItems":[{"id":43,"uris":["http://zotero.org/users/6782581/items/QH39DL47"],"uri":["http://zotero.org/users/6782581/items/QH39DL47"],"itemData":{"id":43,"type":"article-journal","container-title":"SSRN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Law","author":[{"family":"Matczak","given":"Marcin"}],"issued":{"date-parts":[["2016",8,29]]}},"locator":"22-24"}],"schema":"https://github.com/citation-style-language/schema/raw/master/csl-citation.json"}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Matczak (n 57) 22–24.</w:t>
      </w:r>
      <w:r w:rsidRPr="004538FF">
        <w:rPr>
          <w:rFonts w:ascii="Times New Roman" w:hAnsi="Times New Roman" w:cs="Times New Roman"/>
        </w:rPr>
        <w:fldChar w:fldCharType="end"/>
      </w:r>
    </w:p>
  </w:footnote>
  <w:footnote w:id="64">
    <w:p w14:paraId="2BD8D38F" w14:textId="2C041B04"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{"citationID":"oFf1uipG","properties":{"formattedCitation":"Wolfram (n 8) 156\\uc0\\u8211{}159.","plainCitation":"Wolfram (n 8) 156–159.","noteIndex":65},"citationItems":[{"id":104,"uris":["http://zotero.org/users/6782581/items/28QHAVCI"],"uri":["http://zotero.org/users/6782581/items/28QHAVCI"],"itemData":{"id":104,"type":"chapter","container-title":"Ethics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Constitution","author":[{"family":"Wolfram","given":"Stephen"}],"issued":{"date-parts":[["2020"]]}},"locator":"156-159"}],"schema":"https://github.com/citation-style-language/schema/raw/master/csl-citation.json"}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Wolfram (n 8) 156–159.</w:t>
      </w:r>
      <w:r w:rsidRPr="004538FF">
        <w:rPr>
          <w:rFonts w:ascii="Times New Roman" w:hAnsi="Times New Roman" w:cs="Times New Roman"/>
        </w:rPr>
        <w:fldChar w:fldCharType="end"/>
      </w:r>
    </w:p>
  </w:footnote>
  <w:footnote w:id="65">
    <w:p w14:paraId="700536ED" w14:textId="32384D7B"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{"citationID":"o5vFSbME","properties":{"formattedCitation":"McIntyre (n 44).","plainCitation":"McIntyre (n 44).","noteIndex":66},"citationItems":[{"id":20,"uris":["http://zotero.org/users/6782581/items/H3QTFEQN"],"uri":["http://zotero.org/users/6782581/items/H3QTFEQN"],"itemData":{"id":20,"type":"post-weblog","abstract":"Assuming machines could take the place of judges belies their role as the third arm of government and makers of law.","container-title":"The Conversation","language":"en","note":"source: theconversation.com","title":"CSIRO wants our laws turned into computer code. Here's why that's a bad idea","URL":"http://theconversation.com/csiro-wants-our-laws-turned-into-computer-code-heres-why-thats-a-bad-idea-130131","author":[{"family":"McIntyre","given":"Joe"}],"accessed":{"date-parts":[["2020",8,4]]},"issued":{"date-parts":[["2020",1,20]]}}}],"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McIntyre (n 44).</w:t>
      </w:r>
      <w:r w:rsidRPr="004538FF">
        <w:rPr>
          <w:rFonts w:ascii="Times New Roman" w:hAnsi="Times New Roman" w:cs="Times New Roman"/>
        </w:rPr>
        <w:fldChar w:fldCharType="end"/>
      </w:r>
    </w:p>
  </w:footnote>
  <w:footnote w:id="66">
    <w:p w14:paraId="62BEF72D" w14:textId="1DA61286" w:rsidR="004538FF" w:rsidRPr="004538FF" w:rsidRDefault="004538FF" w:rsidP="0012598D">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{"citationID":"L6lbNTxw","properties":{"formattedCitation":"Mohun and Roberts (n 1) 26.","plainCitation":"Mohun and Roberts (n 1) 26.","noteIndex":67},"citationItems":[{"id":19,"uris":["http://zotero.org/users/6782581/items/HWX5UKVU"],"uri":["http://zotero.org/users/6782581/items/HWX5UKVU"],"itemData":{"id":19,"type":"article","publisher":"Observatory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machines","author":[{"family":"Mohun","given":"James"},{"family":"Roberts","given":"Alex"}],"issued":{"date-parts":[["2020",5,27]]}},"locator":"26"}],"schema":"https://github.com/citation-style-language/schema/raw/master/csl-citation.json"}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Mohun and Roberts (n 1) 26.</w:t>
      </w:r>
      <w:r w:rsidRPr="004538FF">
        <w:rPr>
          <w:rFonts w:ascii="Times New Roman" w:hAnsi="Times New Roman" w:cs="Times New Roman"/>
        </w:rPr>
        <w:fldChar w:fldCharType="end"/>
      </w:r>
    </w:p>
  </w:footnote>
  <w:footnote w:id="67">
    <w:p w14:paraId="5D9032C5" w14:textId="341210D1" w:rsidR="004538FF" w:rsidRPr="004538FF" w:rsidRDefault="004538FF" w:rsidP="00F33EAE">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{"citationID":"ts8bDwBz","properties":{"formattedCitation":"Mohun and Roberts (n 1).","plainCitation":"Mohun and Roberts (n 1).","noteIndex":68},"citationItems":[{"id":19,"uris":["http://zotero.org/users/6782581/items/HWX5UKVU"],"uri":["http://zotero.org/users/6782581/items/HWX5UKVU"],"itemData":{"id":19,"type":"article","publisher":"Observatory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Mohun and Roberts (n 1).</w:t>
      </w:r>
      <w:r w:rsidRPr="004538FF">
        <w:rPr>
          <w:rFonts w:ascii="Times New Roman" w:hAnsi="Times New Roman" w:cs="Times New Roman"/>
        </w:rPr>
        <w:fldChar w:fldCharType="end"/>
      </w:r>
      <w:r w:rsidRPr="004538FF">
        <w:rPr>
          <w:rFonts w:ascii="Times New Roman" w:hAnsi="Times New Roman" w:cs="Times New Roman"/>
        </w:rPr>
        <w:t xml:space="preserve"> 42-45.</w:t>
      </w:r>
    </w:p>
  </w:footnote>
  <w:footnote w:id="68">
    <w:p w14:paraId="3D66F1A0" w14:textId="5CAB362C" w:rsidR="004538FF" w:rsidRPr="004538FF" w:rsidRDefault="004538FF" w:rsidP="00037D61">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{"citationID":"kN8NIHCS","properties":{"formattedCitation":"Ibid 26, 104; \\uc0\\u8216{}Rules as Code \\uc0\\u8211{} Test, Learn, Repeat\\uc0\\u8217{}, {\\i{}Digital.NSW} &lt;https://www.digital.nsw.gov.au/article/rules-code-test-learn-repeat&gt;; Lyria Bennett Moses, {\\i{}Not a Single Singularity} (SSRN Scholarly Paper No ID 3646943, Social Science Research Network, 2020) 11\\uc0\\u8211{}12 &lt;https://papers.ssrn.com/abstract=3646943&gt;; Frank Pasquale, \\uc0\\u8216{}A Rule of Persons, Not Machines: The Limits of Legal Automation\\uc0\\u8217{} [2018] {\\i{}Faculty Scholarship} 3 &lt;https://digitalcommons.law.umaryland.edu/fac_pubs/1612&gt; (\\uc0\\u8216{}A Rule of Persons, Not Machines\\uc0\\u8217{}).","plainCitation":"Ibid 26, 104; ‘Rules as Code – Test, Learn, Repeat’, Digital.NSW &lt;https://www.digital.nsw.gov.au/article/rules-code-test-learn-repeat&gt;; Lyria Bennett Moses, Not a Single Singularity (SSRN Scholarly Paper No ID 3646943, Social Science Research Network, 2020) 11–12 &lt;https://papers.ssrn.com/abstract=3646943&gt;; Frank Pasquale, ‘A Rule of Persons, Not Machines: The Limits of Legal Automation’ [2018] Faculty Scholarship 3 &lt;https://digitalcommons.law.umaryland.edu/fac_pubs/1612&gt; (‘A Rule of Persons, Not Machines’).","noteIndex":69},"citationItems":[{"id":19,"uris":["http://zotero.org/users/6782581/items/HWX5UKVU"],"uri":["http://zotero.org/users/6782581/items/HWX5UKVU"],"itemData":{"id":19,"type":"article","publisher":"Observatory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machines","author":[{"family":"Mohun","given":"James"},{"family":"Roberts","given":"Alex"}],"issued":{"date-parts":[["2020",5,27]]}},"locator":"26, 104"},{"id":183,"uris":["http://zotero.org/users/6782581/items/AJJSPRTY"],"uri":["http://zotero.org/users/6782581/items/AJJSPRTY"],"itemData":{"id":183,"type":"webpage","abstract":"Since our last post about the Rules as Code project in January, the move towards making machine-consumable legislation and policy has picked up speed in Australia and around the world. We’ve been connecting with other Australian jurisdictions and our international colleagues to see what we can learn from each other. We’ve also been experimenting.","container-title":"Digital.NSW","language":"en","title":"Rules as Code – Test, Learn, Repeat","URL":"https://www.digital.nsw.gov.au/article/rules-code-test-learn-repeat","accessed":{"date-parts":[["2020",8,28]]}}},{"id":617,"uris":["http://zotero.org/users/6782581/items/2ZAXNYMF"],"uri":["http://zotero.org/users/6782581/items/2ZAXNYMF"],"itemData":{"id":617,"type":"report","abstract":"This chapter does not purport to answer the question ‘is law computable?’. Instead, it outlines a means of visualising changes in the computability of aspects of law over time. Rather than visualising improvements in machine intelligence along a single scale towards a single singularity, it describes an evolving solid, expanding around a three-dimensional grid. Changing how we draw the future of AI in law opens up three distinct questions that can be asked at a particular point in time: (1) what is available and to what extent do existing applications replace humans in performing legal tasks and administering law; (2) what are the affordances and limitations of current AI techniques with potential application to law; and (3) in what circumstances should non-human systems be deployed to perform legal tasks or administer the law? These are, respectively, questions in the realms of is, can and ought or, alternatively, availability, capability and legitimacy.","event-place":"Rochester, NY","genre":"SSRN Scholarly Paper","language":"en","number":"ID 3646943","publisher":"Social Science Research Network","publisher-place":"Rochester, NY","source":"papers.ssrn.com","title":"Not a Single Singularity","URL":"https://papers.ssrn.com/abstract=3646943","author":[{"family":"Bennett Moses","given":"Lyria"}],"accessed":{"date-parts":[["2020",10,29]]},"issued":{"date-parts":[["2020"]]}},"locator":"11-12"},{"id":618,"uris":["http://zotero.org/users/6782581/items/Z3KAT9N2"],"uri":["http://zotero.org/users/6782581/items/Z3KAT9N2"],"itemData":{"id":618,"type":"article-journal","container-title":"Faculty Scholarship","title":"A Rule of Persons, Not Machines: The Limits of Legal Automation","title-short":"A Rule of Persons, Not Machines","URL":"https://digitalcommons.law.umaryland.edu/fac_pubs/1612","author":[{"family":"Pasquale","given":"Frank"}],"issued":{"date-parts":[["2018",1,1]]}},"locator":"3"}],"schema":"https://github.com/citation-style-language/schema/raw/master/csl-citation.json"}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Ibid 26, 104; ‘Rules as Code – Test, Learn, Repeat’, </w:t>
      </w:r>
      <w:r w:rsidRPr="004538FF">
        <w:rPr>
          <w:rFonts w:ascii="Times New Roman" w:hAnsi="Times New Roman" w:cs="Times New Roman"/>
          <w:i/>
          <w:iCs/>
          <w:szCs w:val="24"/>
        </w:rPr>
        <w:t>Digital.NSW</w:t>
      </w:r>
      <w:r w:rsidRPr="004538FF">
        <w:rPr>
          <w:rFonts w:ascii="Times New Roman" w:hAnsi="Times New Roman" w:cs="Times New Roman"/>
          <w:szCs w:val="24"/>
        </w:rPr>
        <w:t xml:space="preserve"> &lt;https://www.digital.nsw.gov.au/article/rules-code-test-learn-repeat&gt;; Lyria Bennett Moses, </w:t>
      </w:r>
      <w:r w:rsidRPr="004538FF">
        <w:rPr>
          <w:rFonts w:ascii="Times New Roman" w:hAnsi="Times New Roman" w:cs="Times New Roman"/>
          <w:i/>
          <w:iCs/>
          <w:szCs w:val="24"/>
        </w:rPr>
        <w:t>Not a Single Singularity</w:t>
      </w:r>
      <w:r w:rsidRPr="004538FF">
        <w:rPr>
          <w:rFonts w:ascii="Times New Roman" w:hAnsi="Times New Roman" w:cs="Times New Roman"/>
          <w:szCs w:val="24"/>
        </w:rPr>
        <w:t xml:space="preserve"> (SSRN Scholarly Paper No ID 3646943, Social Science Research Network, 2020) 11–12 &lt;https://papers.ssrn.com/abstract=3646943&gt;; </w:t>
      </w:r>
      <w:bookmarkStart w:id="4" w:name="_Hlk54945773"/>
      <w:r w:rsidRPr="004538FF">
        <w:rPr>
          <w:rFonts w:ascii="Times New Roman" w:hAnsi="Times New Roman" w:cs="Times New Roman"/>
          <w:szCs w:val="24"/>
        </w:rPr>
        <w:t xml:space="preserve">Frank Pasquale, ‘A Rule of Persons, Not Machines: The Limits of Legal Automation’ [2018] </w:t>
      </w:r>
      <w:r w:rsidRPr="004538FF">
        <w:rPr>
          <w:rFonts w:ascii="Times New Roman" w:hAnsi="Times New Roman" w:cs="Times New Roman"/>
          <w:i/>
          <w:iCs/>
          <w:szCs w:val="24"/>
        </w:rPr>
        <w:t>Faculty Scholarship</w:t>
      </w:r>
      <w:r w:rsidRPr="004538FF">
        <w:rPr>
          <w:rFonts w:ascii="Times New Roman" w:hAnsi="Times New Roman" w:cs="Times New Roman"/>
          <w:szCs w:val="24"/>
        </w:rPr>
        <w:t xml:space="preserve"> 3 &lt;https://digitalcommons.law.umaryland.edu/fac_pubs/1612&gt; </w:t>
      </w:r>
      <w:bookmarkEnd w:id="4"/>
      <w:r w:rsidRPr="004538FF">
        <w:rPr>
          <w:rFonts w:ascii="Times New Roman" w:hAnsi="Times New Roman" w:cs="Times New Roman"/>
          <w:szCs w:val="24"/>
        </w:rPr>
        <w:t>(‘A Rule of Persons, Not Machines’).</w:t>
      </w:r>
      <w:r w:rsidRPr="004538FF">
        <w:rPr>
          <w:rFonts w:ascii="Times New Roman" w:hAnsi="Times New Roman" w:cs="Times New Roman"/>
        </w:rPr>
        <w:fldChar w:fldCharType="end"/>
      </w:r>
      <w:r w:rsidRPr="004538FF">
        <w:rPr>
          <w:rFonts w:ascii="Times New Roman" w:hAnsi="Times New Roman" w:cs="Times New Roman"/>
        </w:rPr>
        <w:t xml:space="preserve"> </w:t>
      </w:r>
    </w:p>
  </w:footnote>
  <w:footnote w:id="69">
    <w:p w14:paraId="2FBFC270" w14:textId="2316959A"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See, eg, </w:t>
      </w:r>
      <w:r w:rsidRPr="004538FF">
        <w:rPr>
          <w:rFonts w:ascii="Times New Roman" w:hAnsi="Times New Roman" w:cs="Times New Roman"/>
          <w:i/>
          <w:iCs/>
        </w:rPr>
        <w:t xml:space="preserve">National Consumer Credit Protection Act 2009 </w:t>
      </w:r>
      <w:r w:rsidRPr="004538FF">
        <w:rPr>
          <w:rFonts w:ascii="Times New Roman" w:hAnsi="Times New Roman" w:cs="Times New Roman"/>
        </w:rPr>
        <w:t xml:space="preserve">(Cth) ss 117-119, 130-131, 140-142, 153-154; </w:t>
      </w:r>
      <w:r w:rsidRPr="004538FF">
        <w:rPr>
          <w:rFonts w:ascii="Times New Roman" w:hAnsi="Times New Roman" w:cs="Times New Roman"/>
          <w:i/>
          <w:iCs/>
        </w:rPr>
        <w:t xml:space="preserve">National Consumer Credit Protection Regulations 2010 </w:t>
      </w:r>
      <w:r w:rsidRPr="004538FF">
        <w:rPr>
          <w:rFonts w:ascii="Times New Roman" w:hAnsi="Times New Roman" w:cs="Times New Roman"/>
        </w:rPr>
        <w:t xml:space="preserve">(Cth) regs 28HA, 28JA.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{"citationID":"wfidHIzL","properties":{"formattedCitation":"See also Australian Securities &amp; Investments Commission, Regulatory Guide 209: Credit Licensing: Responsible Lending Conduct.","plainCitation":"See also Australian Securities &amp; Investments Commission, Regulatory Guide 209: Credit Licensing: Responsible Lending Conduct.","noteIndex":70},"citationItems":[{"id":10,"uris":["http://zotero.org/users/6782581/items/8ZHWRN36"],"uri":["http://zotero.org/users/6782581/items/8ZHWRN36"],"itemData":{"id":10,"type":"bill","title":"Regulatory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Commission"}],"accessed":{"date-parts":[["2020",8,4]]}},"prefix":"See also "}],"schema":"https://github.com/citation-style-language/schema/raw/master/csl-citation.json"}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See also Australian Securities &amp; Investments Commission, Regulatory Guide 209: Credit Licensing: Responsible Lending Conduct.</w:t>
      </w:r>
      <w:r w:rsidRPr="004538FF">
        <w:rPr>
          <w:rFonts w:ascii="Times New Roman" w:hAnsi="Times New Roman" w:cs="Times New Roman"/>
        </w:rPr>
        <w:fldChar w:fldCharType="end"/>
      </w:r>
    </w:p>
  </w:footnote>
  <w:footnote w:id="70">
    <w:p w14:paraId="2D7EF9F8" w14:textId="79FEA967"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{"citationID":"AKDUWvt6","properties":{"formattedCitation":"Schizas et al (n 26) 12, 18, 25, 34.","plainCitation":"Schizas et al (n 26) 12, 18, 25, 34.","noteIndex":71},"citationItems":[{"id":106,"uris":["http://zotero.org/users/6782581/items/XK24E2GT"],"uri":["http://zotero.org/users/6782581/items/XK24E2GT"],"itemData":{"id":106,"type":"report","abstract":"The first global benchmark study of the RegTech sector by the Cambridge Centre for Alternative Finance, conducted with the support of EY Japan, is based on a survey of 111 firms as well as regulators and industry experts. We estimate that the global RegTech industry generated $5 billion in revenue in 2018, and had raised $9.7 billion in external funding as of early 2019. The financial services sector dominates demand for RegTech services but most vendors now target non-financial sectors, and this share is set to grow.The RegTech market can be broken down into five distinct segments: 1. Profiling and due diligence 2. Dynamic compliance 3. Reporting and dashboards 4. Risk analytics 5. Market monitoring.The sector underwent a period of rapid growth between 2014 and 2018, but is now growing mostly through incumbent expansion rather than market entry. Long sales cycles, complex IT planning within client institutions, difficulties in establishing trust and high levels of competition have left some vendors struggling to gain traction. A handful of larger vendors thus dominate most funding and commercial activity.","event-place":"Rochester, NY","genre":"SSRN Scholarly Paper","language":"en","note":"DOI: 10.2139/ssrn.3560811","number":"ID 3560811","publisher":"Social Science Research Network","publisher-place":"Rochester, NY","source":"papers.ssrn.com","title":"The Global RegTech Industry Benchmark Report","URL":"https://papers.ssrn.com/abstract=3560811","author":[{"family":"Schizas","given":"Emmanuel"},{"family":"McKain","given":"Grigory"},{"family":"Zhang","given":"Bryan Zheng"},{"family":"Garvey","given":"Kieran"},{"family":"Ganbold","given":"Altantsetseg"},{"family":"Hussain","given":"Hatim"},{"family":"Kumar","given":"Pankajesh"},{"family":"Huang","given":"Eva"},{"family":"Wang","given":"Shaoxin"},{"family":"Yerolemou","given":"Nikos"}],"accessed":{"date-parts":[["2020",8,21]]},"issued":{"date-parts":[["2019",6,30]]}},"locator":"12, 18, 25, 34"}],"schema":"https://github.com/citation-style-language/schema/raw/master/csl-citation.json"}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Schizas et al (n 26) 12, 18, 25, 34.</w:t>
      </w:r>
      <w:r w:rsidRPr="004538FF">
        <w:rPr>
          <w:rFonts w:ascii="Times New Roman" w:hAnsi="Times New Roman" w:cs="Times New Roman"/>
        </w:rPr>
        <w:fldChar w:fldCharType="end"/>
      </w:r>
    </w:p>
  </w:footnote>
  <w:footnote w:id="71">
    <w:p w14:paraId="3919AA09" w14:textId="00E278A2"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{"citationID":"d9w6dmEg","properties":{"formattedCitation":"See, eg, Green and Viljoen (n 47) for an investigation into the evolution of computer science with analogy to the US legal system\\uc0\\u8217{}s growth from formalism to realism.","plainCitation":"See, eg, Green and Viljoen (n 47) for an investigation into the evolution of computer science with analogy to the US legal system’s growth from formalism to realism.","noteIndex":72},"citationItems":[{"id":30,"uris":["http://zotero.org/users/6782581/items/TN68RRBU"],"uri":["http://zotero.org/users/6782581/items/TN68RRBU"],"itemData":{"id":30,"type":"paper-conference","abstract":"Although computer scientists are eager to help address social problems, the eld faces a growing awareness that many well-intentioned applications of algorithms in social contexts have led to signi cant harm. We argue that addressing this gap between the eld’s desire to do good and the harmful impacts of many of its interventions requires looking to the epistemic and methodological underpinnings of algorithms. We diagnose the dominant mode of algorithmic reasoning as “algorithmic formalism” and describe how formalist orientations lead to harmful algorithmic interventions. Addressing these harms requires pursuing a new mode of algorithmic thinking that is attentive to the internal limits of algorithms and to the social concerns that fall beyond the bounds of algorithmic formalism. To understand what a methodological evolution beyond formalism looks like and what it may achieve, we turn to the twentieth century evolution in American legal thought from legal formalism to legal realism. Drawing on the lessons of legal realism, we propose a new mode of algorithmic thinking—“algorithmic realism”—that provides tools for computer scientists to account for the realities of social life and of algorithmic impacts. These realist approaches, although not foolproof, will better equip computer scientists to reduce algorithmic harms and to reason well about doing good.","container-title":"Proceedings of the 2020 Conference on Fairness, Accountability, and Transparency","DOI":"10.1145/3351095.3372840","event":"FAT* '20: Conference on Fairness, Accountability, and Transparency","event-place":"Barcelona Spain","ISBN":"978-1-4503-6936-7","language":"en","page":"19-31","publisher":"ACM","publisher-place":"Barcelona Spain","source":"DOI.org (Crossref)","title":"Algorithmic realism: expanding the boundaries of algorithmic thought","URL":"http://dl.acm.org/doi/10.1145/3351095.3372840","author":[{"family":"Green","given":"Ben"},{"family":"Viljoen","given":"Salomé"}],"accessed":{"date-parts":[["2020",8,10]]},"issued":{"date-parts":[["2020",1,27]]}},"prefix":"See, eg, ","suffix":"for an investigation into the evolution of computer science with analogy to the US legal system's growth from formalism to realism."}],"schema":"https://github.com/citation-style-language/schema/raw/master/csl-citation.json"}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See, eg, Green and Viljoen (n 47) for an investigation into the evolution of computer science with analogy to the US legal system’s growth from formalism to realism.</w:t>
      </w:r>
      <w:r w:rsidRPr="004538FF">
        <w:rPr>
          <w:rFonts w:ascii="Times New Roman" w:hAnsi="Times New Roman" w:cs="Times New Roman"/>
        </w:rPr>
        <w:fldChar w:fldCharType="end"/>
      </w:r>
      <w:r w:rsidRPr="004538FF">
        <w:rPr>
          <w:rFonts w:ascii="Times New Roman" w:hAnsi="Times New Roman" w:cs="Times New Roman"/>
        </w:rPr>
        <w:t xml:space="preserve"> </w:t>
      </w:r>
    </w:p>
  </w:footnote>
  <w:footnote w:id="72">
    <w:p w14:paraId="3FF82062" w14:textId="77777777" w:rsidR="004538FF" w:rsidRPr="004538FF" w:rsidRDefault="004538FF" w:rsidP="00E67332">
      <w:pPr>
        <w:pStyle w:val="FootnoteText"/>
        <w:rPr>
          <w:rFonts w:ascii="Times New Roman" w:hAnsi="Times New Roman" w:cs="Times New Roman"/>
          <w:i/>
          <w:iCs/>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Commonwealth of Australia Constitution</w:t>
      </w:r>
    </w:p>
  </w:footnote>
  <w:footnote w:id="73">
    <w:p w14:paraId="2CFF15F6" w14:textId="77777777" w:rsidR="004538FF" w:rsidRPr="004538FF" w:rsidRDefault="004538FF" w:rsidP="00E67332">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 xml:space="preserve">Commonwealth of Australia Constitution </w:t>
      </w:r>
      <w:r w:rsidRPr="004538FF">
        <w:rPr>
          <w:rFonts w:ascii="Times New Roman" w:hAnsi="Times New Roman" w:cs="Times New Roman"/>
        </w:rPr>
        <w:t>s 71.</w:t>
      </w:r>
    </w:p>
  </w:footnote>
  <w:footnote w:id="74">
    <w:p w14:paraId="4F31B437" w14:textId="31F32E53"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{"citationID":"oguKgwj9","properties":{"formattedCitation":"AR Blackshield, {\\i{}Australian Constitutional Law and Theory: Commentary and Materials} (Federation Press, 5th ed. abridged., 2010) 8\\uc0\\u8211{}12 (\\uc0\\u8216{}{\\i{}Australian Constitutional Law and Theory}\\uc0\\u8217{}).","plainCitation":"AR Blackshield, Australian Constitutional Law and Theory: Commentary and Materials (Federation Press, 5th ed. abridged., 2010) 8–12 (‘Australian Constitutional Law and Theory’).","noteIndex":75},"citationItems":[{"id":185,"uris":["http://zotero.org/users/6782581/items/Y878L84C"],"uri":["http://zotero.org/users/6782581/items/Y878L84C"],"itemData":{"id":185,"type":"book","call-number":"342.9402","edition":"5th ed. abridged.","event-place":"Annandale, N.S.W.","ISBN":"978-1-86287-774-0","language":"eng","publisher":"Federation Press","publisher-place":"Annandale, N.S.W.","source":"search.sl.nsw.gov.au","title":"Australian constitutional law and theory: commentary and materials","title-short":"Australian constitutional law and theory","author":[{"family":"Blackshield","given":"A. R."}],"issued":{"date-parts":[["2010"]]}},"locator":"8-12"}],"schema":"https://github.com/citation-style-language/schema/raw/master/csl-citation.json"}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 xml:space="preserve">AR Blackshield, </w:t>
      </w:r>
      <w:r w:rsidRPr="004538FF">
        <w:rPr>
          <w:rFonts w:ascii="Times New Roman" w:hAnsi="Times New Roman" w:cs="Times New Roman"/>
          <w:i/>
          <w:iCs/>
        </w:rPr>
        <w:t>Australian Constitutional Law and Theory: Commentary and Materials</w:t>
      </w:r>
      <w:r w:rsidRPr="004538FF">
        <w:rPr>
          <w:rFonts w:ascii="Times New Roman" w:hAnsi="Times New Roman" w:cs="Times New Roman"/>
        </w:rPr>
        <w:t xml:space="preserve"> (Federation Press, 5th ed. abridged., 2010) 8–12 (‘</w:t>
      </w:r>
      <w:r w:rsidRPr="004538FF">
        <w:rPr>
          <w:rFonts w:ascii="Times New Roman" w:hAnsi="Times New Roman" w:cs="Times New Roman"/>
          <w:i/>
          <w:iCs/>
        </w:rPr>
        <w:t>Australian Constitutional Law and Theory</w:t>
      </w:r>
      <w:r w:rsidRPr="004538FF">
        <w:rPr>
          <w:rFonts w:ascii="Times New Roman" w:hAnsi="Times New Roman" w:cs="Times New Roman"/>
        </w:rPr>
        <w:t>’).</w:t>
      </w:r>
      <w:r w:rsidRPr="004538FF">
        <w:rPr>
          <w:rFonts w:ascii="Times New Roman" w:hAnsi="Times New Roman" w:cs="Times New Roman"/>
        </w:rPr>
        <w:fldChar w:fldCharType="end"/>
      </w:r>
    </w:p>
  </w:footnote>
  <w:footnote w:id="75">
    <w:p w14:paraId="2C8FF807" w14:textId="0E66F3CC" w:rsidR="004538FF" w:rsidRPr="004538FF" w:rsidRDefault="004538FF" w:rsidP="00E67332">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{"citationID":"VFzyswwF","properties":{"formattedCitation":"{\\i{}New South Wales v Commonwealth} (1915) 20 CLR 54. See also {\\i{}Waterside Workers\\uc0\\u8217{} Federation of Australia v J W Alexander Ltd} (1918) 25 CLR 434; {\\i{}R v Kirby; Ex parte Boilermakers\\uc0\\u8217{} Society of Australia} (1956) 94 CLR 254.","plainCitation":"New South Wales v Commonwealth (1915) 20 CLR 54. See also Waterside Workers’ Federation of Australia v J W Alexander Ltd (1918) 25 CLR 434; R v Kirby; Ex parte Boilermakers’ Society of Australia (1956) 94 CLR 254.","noteIndex":76},"citationItems":[{"id":96,"uris":["http://zotero.org/users/6782581/items/HEERHKGI"],"uri":["http://zotero.org/users/6782581/items/HEERHKGI"],"itemData":{"id":96,"type":"legal_case","container-title":"CLR","page":"54","title":"New South Wales v Commonwealth","URL":"http://www8.austlii.edu.au/cgi-bin/viewdoc/au/cases/cth/HCA/1915/17.html","volume":"20","accessed":{"date-parts":[["2020",8,20]]},"issued":{"date-parts":[["1915"]]}},"suffix":"."},{"id":99,"uris":["http://zotero.org/users/6782581/items/WEP7RL7U"],"uri":["http://zotero.org/users/6782581/items/WEP7RL7U"],"itemData":{"id":99,"type":"legal_case","container-title":"CLR","page":"434","title":"Waterside Workers' Federation of Australia v J W Alexander Ltd","URL":"http://www8.austlii.edu.au/cgi-bin/viewdoc/au/cases/cth/HCA/1918/56.html","volume":"25","accessed":{"date-parts":[["2020",8,20]]},"issued":{"date-parts":[["1918"]]}},"prefix":"See also"},{"id":98,"uris":["http://zotero.org/users/6782581/items/ZGZDVB7S"],"uri":["http://zotero.org/users/6782581/items/ZGZDVB7S"],"itemData":{"id":98,"type":"legal_case","authority":"High Court of Australia","container-title":"CLR","page":"254","title":"R v Kirby; Ex parte Boilermakers' Society of Australia","URL":"http://www8.austlii.edu.au/cgi-bin/viewdoc/au/cases/cth/HCA/1956/10.html","volume":"94","accessed":{"date-parts":[["2020",8,20]]},"issued":{"date-parts":[["1956"]]}}}],"schema":"https://github.com/citation-style-language/schema/raw/master/csl-citation.json"}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i/>
          <w:iCs/>
        </w:rPr>
        <w:t>New South Wales v Commonwealth</w:t>
      </w:r>
      <w:r w:rsidRPr="004538FF">
        <w:rPr>
          <w:rFonts w:ascii="Times New Roman" w:hAnsi="Times New Roman" w:cs="Times New Roman"/>
        </w:rPr>
        <w:t xml:space="preserve"> (1915) 20 CLR 54. See also </w:t>
      </w:r>
      <w:r w:rsidRPr="004538FF">
        <w:rPr>
          <w:rFonts w:ascii="Times New Roman" w:hAnsi="Times New Roman" w:cs="Times New Roman"/>
          <w:i/>
          <w:iCs/>
        </w:rPr>
        <w:t>Waterside Workers’ Federation of Australia v J W Alexander Ltd</w:t>
      </w:r>
      <w:r w:rsidRPr="004538FF">
        <w:rPr>
          <w:rFonts w:ascii="Times New Roman" w:hAnsi="Times New Roman" w:cs="Times New Roman"/>
        </w:rPr>
        <w:t xml:space="preserve"> (1918) 25 CLR 434; </w:t>
      </w:r>
      <w:r w:rsidRPr="004538FF">
        <w:rPr>
          <w:rFonts w:ascii="Times New Roman" w:hAnsi="Times New Roman" w:cs="Times New Roman"/>
          <w:i/>
          <w:iCs/>
        </w:rPr>
        <w:t>R v Kirby; Ex parte Boilermakers’ Society of Australia</w:t>
      </w:r>
      <w:r w:rsidRPr="004538FF">
        <w:rPr>
          <w:rFonts w:ascii="Times New Roman" w:hAnsi="Times New Roman" w:cs="Times New Roman"/>
        </w:rPr>
        <w:t xml:space="preserve"> (1956) 94 CLR 254.</w:t>
      </w:r>
      <w:r w:rsidRPr="004538FF">
        <w:rPr>
          <w:rFonts w:ascii="Times New Roman" w:hAnsi="Times New Roman" w:cs="Times New Roman"/>
        </w:rPr>
        <w:fldChar w:fldCharType="end"/>
      </w:r>
    </w:p>
  </w:footnote>
  <w:footnote w:id="76">
    <w:p w14:paraId="5C46680B" w14:textId="169B1D17"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See, eg, the majority’s finding of invalidity regarding s54R of the </w:t>
      </w:r>
      <w:r w:rsidRPr="004538FF">
        <w:rPr>
          <w:rFonts w:ascii="Times New Roman" w:hAnsi="Times New Roman" w:cs="Times New Roman"/>
          <w:i/>
          <w:iCs/>
        </w:rPr>
        <w:t>Migration Act 1958</w:t>
      </w:r>
      <w:r w:rsidRPr="004538FF">
        <w:rPr>
          <w:rFonts w:ascii="Times New Roman" w:hAnsi="Times New Roman" w:cs="Times New Roman"/>
        </w:rPr>
        <w:t xml:space="preserve"> (Cth) in </w:t>
      </w:r>
      <w:r w:rsidRPr="004538FF">
        <w:rPr>
          <w:rFonts w:ascii="Times New Roman" w:hAnsi="Times New Roman" w:cs="Times New Roman"/>
          <w:i/>
          <w:iCs/>
        </w:rPr>
        <w:t xml:space="preserve">Chu Kheng Lim v Minister for Immigration </w:t>
      </w:r>
      <w:r w:rsidRPr="004538FF">
        <w:rPr>
          <w:rFonts w:ascii="Times New Roman" w:hAnsi="Times New Roman" w:cs="Times New Roman"/>
        </w:rPr>
        <w:t>(1992) 176 CLR 1.</w:t>
      </w:r>
    </w:p>
  </w:footnote>
  <w:footnote w:id="77">
    <w:p w14:paraId="6F7BC3BB" w14:textId="41B8C98F"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Here, the term ‘programmer’ is used to refer not just to the literal programmers, but the entire team of people involved in the design, development, and deployment of the application.</w:t>
      </w:r>
    </w:p>
  </w:footnote>
  <w:footnote w:id="78">
    <w:p w14:paraId="2A2ADE17" w14:textId="6326D5D0" w:rsidR="004538FF" w:rsidRPr="004538FF" w:rsidRDefault="004538FF" w:rsidP="00E67332">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{"citationID":"1hVkngGa","properties":{"formattedCitation":"Mohun and Roberts (n 1) 70.","plainCitation":"Mohun and Roberts (n 1) 70.","noteIndex":79},"citationItems":[{"id":19,"uris":["http://zotero.org/users/6782581/items/HWX5UKVU"],"uri":["http://zotero.org/users/6782581/items/HWX5UKVU"],"itemData":{"id":19,"type":"article","publisher":"Observatory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machines","author":[{"family":"Mohun","given":"James"},{"family":"Roberts","given":"Alex"}],"issued":{"date-parts":[["2020",5,27]]}},"locator":"70"}],"schema":"https://github.com/citation-style-language/schema/raw/master/csl-citation.json"}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Mohun and Roberts (n 1) 70.</w:t>
      </w:r>
      <w:r w:rsidRPr="004538FF">
        <w:rPr>
          <w:rFonts w:ascii="Times New Roman" w:hAnsi="Times New Roman" w:cs="Times New Roman"/>
        </w:rPr>
        <w:fldChar w:fldCharType="end"/>
      </w:r>
    </w:p>
  </w:footnote>
  <w:footnote w:id="79">
    <w:p w14:paraId="4996DF03" w14:textId="0C1D4869" w:rsidR="004538FF" w:rsidRPr="004538FF" w:rsidRDefault="004538FF" w:rsidP="00E67332">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{"citationID":"3hUUXDwE","properties":{"formattedCitation":"New Zealand Law Foundation, \\uc0\\u8216{}Projects Funded | The Law Foundation\\uc0\\u8217{} &lt;https://www.lawfoundation.org.nz/?page_id=6882&gt;.","plainCitation":"New Zealand Law Foundation, ‘Projects Funded | The Law Foundation’ &lt;https://www.lawfoundation.org.nz/?page_id=6882&gt;.","noteIndex":80},"citationItems":[{"id":102,"uris":["http://zotero.org/users/6782581/items/5FQH59UH"],"uri":["http://zotero.org/users/6782581/items/5FQH59UH"],"itemData":{"id":102,"type":"webpage","language":"en-US","title":"Projects Funded | The Law Foundation","URL":"https://www.lawfoundation.org.nz/?page_id=6882","author":[{"literal":"New Zealand Law Foundation"}],"accessed":{"date-parts":[["2020",8,20]]}}}],"schema":"https://github.com/citation-style-language/schema/raw/master/csl-citation.json"}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New Zealand Law Foundation, ‘Projects Funded | The Law Foundation’ &lt;https://www.lawfoundation.org.nz/?page_id=6882&gt;.</w:t>
      </w:r>
      <w:r w:rsidRPr="004538FF">
        <w:rPr>
          <w:rFonts w:ascii="Times New Roman" w:hAnsi="Times New Roman" w:cs="Times New Roman"/>
        </w:rPr>
        <w:fldChar w:fldCharType="end"/>
      </w:r>
    </w:p>
  </w:footnote>
  <w:footnote w:id="80">
    <w:p w14:paraId="3BF65AF2" w14:textId="7506E04E" w:rsidR="004538FF" w:rsidRPr="004538FF" w:rsidRDefault="004538FF" w:rsidP="00E67332">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1DLqm0eU","properties":{"formattedCitation":"Ibid.","plainCitation":"Ibid.","noteIndex":81},"citationItems":[{"id":102,"uris":["http://zotero.org/users/6782581/items/5FQH59UH"],"uri":["http://zotero.org/users/6782581/items/5FQH59UH"],"itemData":{"id":102,"type":"webpage","language":"en-US","title":"Projects Funded | The Law Foundation","URL":"https://www.lawfoundation.org.nz/?page_id=6882","author":[{"literal":"New Zealand Law Foundation"}],"accessed":{"date-parts":[["2020",8,20]]}}}],"schema":"https://github.com/citation-style-language/schema/raw/master/csl-citation.json"}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Ibid.</w:t>
      </w:r>
      <w:r w:rsidRPr="004538FF">
        <w:rPr>
          <w:rFonts w:ascii="Times New Roman" w:hAnsi="Times New Roman" w:cs="Times New Roman"/>
        </w:rPr>
        <w:fldChar w:fldCharType="end"/>
      </w:r>
    </w:p>
  </w:footnote>
  <w:footnote w:id="81">
    <w:p w14:paraId="35A2F15E" w14:textId="4C210963"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{"citationID":"CC6Y8vlW","properties":{"formattedCitation":"Janet Ainsworth, \\uc0\\u8216{}Lost in Translation? Linguistic Diversity and the Elusive Quest for Plain Meaning in the Law\\uc0\\u8217{} in {\\i{}The Ashgate Handbook of Legal Translation} (Routledge, 2016) 43, 43 &lt;http://www.taylorfrancis.com/books/e/9781315612706&gt;.","plainCitation":"Janet Ainsworth, ‘Lost in Translation? Linguistic Diversity and the Elusive Quest for Plain Meaning in the Law’ in The Ashgate Handbook of Legal Translation (Routledge, 2016) 43, 43 &lt;http://www.taylorfrancis.com/books/e/9781315612706&gt;.","noteIndex":82},"citationItems":[{"id":118,"uris":["http://zotero.org/users/6782581/items/Q6MGRA76"],"uri":["http://zotero.org/users/6782581/items/Q6MGRA76"],"itemData":{"id":118,"type":"chapter","abstract":"This volume investigates advances in the field of legal translation both from a theoretical and practical perspective, with professional and academic insights","container-title":"The Ashgate Handbook of Legal Translation","ISBN":"978-1-315-61270-6","language":"en","note":"DOI: 10.4324/9781315612706","page":"43-55","publisher":"Routledge","source":"www-taylorfrancis-com.ezp01.library.qut.edu.au","title":"Lost in Translation? Linguistic Diversity and the Elusive Quest for Plain Meaning in the Law","URL":"http://www.taylorfrancis.com/books/e/9781315612706","author":[{"family":"Ainsworth","given":"Janet"}],"accessed":{"date-parts":[["2020",8,22]]},"issued":{"date-parts":[["2016",4,1]]}},"locator":"43"}],"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Janet Ainsworth, ‘Lost in Translation? Linguistic Diversity and the Elusive Quest for Plain Meaning in the Law’ in </w:t>
      </w:r>
      <w:r w:rsidRPr="004538FF">
        <w:rPr>
          <w:rFonts w:ascii="Times New Roman" w:hAnsi="Times New Roman" w:cs="Times New Roman"/>
          <w:i/>
          <w:iCs/>
          <w:szCs w:val="24"/>
        </w:rPr>
        <w:t>The Ashgate Handbook of Legal Translation</w:t>
      </w:r>
      <w:r w:rsidRPr="004538FF">
        <w:rPr>
          <w:rFonts w:ascii="Times New Roman" w:hAnsi="Times New Roman" w:cs="Times New Roman"/>
          <w:szCs w:val="24"/>
        </w:rPr>
        <w:t xml:space="preserve"> (Routledge, 2016) 43, 43 &lt;http://www.taylorfrancis.com/books/e/9781315612706&gt;.</w:t>
      </w:r>
      <w:r w:rsidRPr="004538FF">
        <w:rPr>
          <w:rFonts w:ascii="Times New Roman" w:hAnsi="Times New Roman" w:cs="Times New Roman"/>
        </w:rPr>
        <w:fldChar w:fldCharType="end"/>
      </w:r>
    </w:p>
  </w:footnote>
  <w:footnote w:id="82">
    <w:p w14:paraId="5C754AE5" w14:textId="4A8FED95"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See, eg, </w:t>
      </w:r>
      <w:r w:rsidRPr="004538FF">
        <w:rPr>
          <w:rFonts w:ascii="Times New Roman" w:hAnsi="Times New Roman" w:cs="Times New Roman"/>
          <w:i/>
          <w:iCs/>
        </w:rPr>
        <w:t xml:space="preserve">Free Motion Fitness Inc v Cybex International Inc, </w:t>
      </w:r>
      <w:r w:rsidRPr="004538FF">
        <w:rPr>
          <w:rFonts w:ascii="Times New Roman" w:hAnsi="Times New Roman" w:cs="Times New Roman"/>
        </w:rPr>
        <w:t xml:space="preserve">423 F 3d 1343 (Fed Cir, 2005) and </w:t>
      </w:r>
      <w:r w:rsidRPr="004538FF">
        <w:rPr>
          <w:rFonts w:ascii="Times New Roman" w:eastAsia="Microsoft JhengHei" w:hAnsi="Times New Roman" w:cs="Times New Roman"/>
        </w:rPr>
        <w:t>自由位移整装公司与常州市英才金属制品有限公司、上海健达健身器材有限公司其他发明权与发现权纠纷申请再审民事裁定书</w:t>
      </w:r>
      <w:r w:rsidRPr="004538FF">
        <w:rPr>
          <w:rFonts w:ascii="Times New Roman" w:eastAsia="Microsoft JhengHei" w:hAnsi="Times New Roman" w:cs="Times New Roman"/>
        </w:rPr>
        <w:t xml:space="preserve"> [Free Displacement Co. Ltd. v Changzhou Yingcai Metal Products Co. Ltd., Shanghai Jianda Fitness Equipment Co. Ltd. – Invention Rights and Discovery Rights Dispute Civil Retrial] [2014], </w:t>
      </w:r>
      <w:r w:rsidRPr="004538FF">
        <w:rPr>
          <w:rFonts w:ascii="Times New Roman" w:eastAsia="Microsoft JhengHei" w:hAnsi="Times New Roman" w:cs="Times New Roman"/>
        </w:rPr>
        <w:t>最高人民法院</w:t>
      </w:r>
      <w:r w:rsidRPr="004538FF">
        <w:rPr>
          <w:rFonts w:ascii="Times New Roman" w:eastAsia="Microsoft JhengHei" w:hAnsi="Times New Roman" w:cs="Times New Roman"/>
        </w:rPr>
        <w:t xml:space="preserve"> [Supreme People’s Court, People’s Republic of China], Civil Retrial No. 497, 4 January 2015. Here, two cases stemming from the same facts were decided differently in the US and China respectively due to differing translations of a patent from English to Mandarin; one using a technical meaning, and the other using the broader day-to-day use. Cf the two valid approaches to </w:t>
      </w:r>
      <w:r w:rsidRPr="004538FF">
        <w:rPr>
          <w:rFonts w:ascii="Times New Roman" w:eastAsia="Microsoft JhengHei" w:hAnsi="Times New Roman" w:cs="Times New Roman"/>
          <w:i/>
          <w:iCs/>
        </w:rPr>
        <w:t>Nix</w:t>
      </w:r>
      <w:r w:rsidRPr="004538FF">
        <w:rPr>
          <w:rFonts w:ascii="Times New Roman" w:eastAsia="Microsoft JhengHei" w:hAnsi="Times New Roman" w:cs="Times New Roman"/>
        </w:rPr>
        <w:t xml:space="preserve"> seen in Figure 1.</w:t>
      </w:r>
    </w:p>
  </w:footnote>
  <w:footnote w:id="83">
    <w:p w14:paraId="63A637FE" w14:textId="04138205"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{"citationID":"qxtpQaTZ","properties":{"formattedCitation":"Ainsworth (n 82).","plainCitation":"Ainsworth (n 82).","noteIndex":84},"citationItems":[{"id":118,"uris":["http://zotero.org/users/6782581/items/Q6MGRA76"],"uri":["http://zotero.org/users/6782581/items/Q6MGRA76"],"itemData":{"id":118,"type":"chapter","abstract":"This volume investigates advances in the field of legal translation both from a theoretical and practical perspective, with professional and academic insights","container-title":"The Ashgate Handbook of Legal Translation","ISBN":"978-1-315-61270-6","language":"en","note":"DOI: 10.4324/9781315612706","page":"43-55","publisher":"Routledge","source":"www-taylorfrancis-com.ezp01.library.qut.edu.au","title":"Lost in Translation? Linguistic Diversity and the Elusive Quest for Plain Meaning in the Law","URL":"http://www.taylorfrancis.com/books/e/9781315612706","author":[{"family":"Ainsworth","given":"Janet"}],"accessed":{"date-parts":[["2020",8,22]]},"issued":{"date-parts":[["2016",4,1]]}}}],"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Ainsworth (n 82).</w:t>
      </w:r>
      <w:r w:rsidRPr="004538FF">
        <w:rPr>
          <w:rFonts w:ascii="Times New Roman" w:hAnsi="Times New Roman" w:cs="Times New Roman"/>
        </w:rPr>
        <w:fldChar w:fldCharType="end"/>
      </w:r>
    </w:p>
  </w:footnote>
  <w:footnote w:id="84">
    <w:p w14:paraId="1451795E" w14:textId="6CF52180"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See, eg, </w:t>
      </w:r>
      <w:r w:rsidRPr="004538FF">
        <w:rPr>
          <w:rFonts w:ascii="Times New Roman" w:hAnsi="Times New Roman" w:cs="Times New Roman"/>
          <w:i/>
          <w:iCs/>
        </w:rPr>
        <w:t xml:space="preserve">Schulte v Deutsche Bausparkasse Badenia </w:t>
      </w:r>
      <w:r w:rsidRPr="004538FF">
        <w:rPr>
          <w:rFonts w:ascii="Times New Roman" w:hAnsi="Times New Roman" w:cs="Times New Roman"/>
        </w:rPr>
        <w:t xml:space="preserve">(C-350/03) [2005] ECR I-9215; </w:t>
      </w:r>
      <w:r w:rsidRPr="004538FF">
        <w:rPr>
          <w:rFonts w:ascii="Times New Roman" w:hAnsi="Times New Roman" w:cs="Times New Roman"/>
          <w:i/>
          <w:iCs/>
        </w:rPr>
        <w:t>Roudolff</w:t>
      </w:r>
      <w:r w:rsidRPr="004538FF">
        <w:rPr>
          <w:rFonts w:ascii="Times New Roman" w:hAnsi="Times New Roman" w:cs="Times New Roman"/>
        </w:rPr>
        <w:t xml:space="preserve"> </w:t>
      </w:r>
      <w:r w:rsidRPr="004538FF">
        <w:rPr>
          <w:rFonts w:ascii="Times New Roman" w:hAnsi="Times New Roman" w:cs="Times New Roman"/>
          <w:i/>
          <w:iCs/>
        </w:rPr>
        <w:t xml:space="preserve"> </w:t>
      </w:r>
      <w:r w:rsidRPr="004538FF">
        <w:rPr>
          <w:rFonts w:ascii="Times New Roman" w:hAnsi="Times New Roman" w:cs="Times New Roman"/>
        </w:rPr>
        <w:t xml:space="preserve">(C-803/79 ) [1980] ECR 2015; </w:t>
      </w:r>
      <w:r w:rsidRPr="004538FF">
        <w:rPr>
          <w:rFonts w:ascii="Times New Roman" w:hAnsi="Times New Roman" w:cs="Times New Roman"/>
          <w:i/>
          <w:iCs/>
        </w:rPr>
        <w:t xml:space="preserve">Commission of the European Union v United Kingdom of Great Britain and Northern </w:t>
      </w:r>
      <w:r w:rsidRPr="004538FF">
        <w:rPr>
          <w:rFonts w:ascii="Times New Roman" w:hAnsi="Times New Roman" w:cs="Times New Roman"/>
        </w:rPr>
        <w:t xml:space="preserve">(C-416/85) [1988] ECR 3127; </w:t>
      </w:r>
      <w:r w:rsidRPr="004538FF">
        <w:rPr>
          <w:rFonts w:ascii="Times New Roman" w:hAnsi="Times New Roman" w:cs="Times New Roman"/>
          <w:i/>
          <w:iCs/>
        </w:rPr>
        <w:t xml:space="preserve">Elefanten Schuh GmbH v Pierre Jacqmain </w:t>
      </w:r>
      <w:r w:rsidRPr="004538FF">
        <w:rPr>
          <w:rFonts w:ascii="Times New Roman" w:hAnsi="Times New Roman" w:cs="Times New Roman"/>
        </w:rPr>
        <w:t>(C-150/80) [1981] ECR 1671.</w:t>
      </w:r>
    </w:p>
  </w:footnote>
  <w:footnote w:id="85">
    <w:p w14:paraId="07388560" w14:textId="10B240B1"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{"citationID":"DofsvLOH","properties":{"formattedCitation":"Ainsworth (n 82) 48\\uc0\\u8211{}50; See also Ian McLeod, \\uc0\\u8216{}Literal and Purposive Techniques of Legislative Interpretation:  Some European Community and English Common Law Perspective\\uc0\\u8217{} (2004) 29(3) {\\i{}Brooklyn Journal of International Law} 1119, 1125\\uc0\\u8211{}1132.","plainCitation":"Ainsworth (n 82) 48–50; See also Ian McLeod, ‘Literal and Purposive Techniques of Legislative Interpretation:  Some European Community and English Common Law Perspective’ (2004) 29(3) Brooklyn Journal of International Law 1119, 1125–1132.","noteIndex":86},"citationItems":[{"id":118,"uris":["http://zotero.org/users/6782581/items/Q6MGRA76"],"uri":["http://zotero.org/users/6782581/items/Q6MGRA76"],"itemData":{"id":118,"type":"chapter","abstract":"This volume investigates advances in the field of legal translation both from a theoretical and practical perspective, with professional and academic insights","container-title":"The Ashgate Handbook of Legal Translation","ISBN":"978-1-315-61270-6","language":"en","note":"DOI: 10.4324/9781315612706","page":"43-55","publisher":"Routledge","source":"www-taylorfrancis-com.ezp01.library.qut.edu.au","title":"Lost in Translation? Linguistic Diversity and the Elusive Quest for Plain Meaning in the Law","URL":"http://www.taylorfrancis.com/books/e/9781315612706","author":[{"family":"Ainsworth","given":"Janet"}],"accessed":{"date-parts":[["2020",8,22]]},"issued":{"date-parts":[["2016",4,1]]}},"locator":"48-50"},{"id":186,"uris":["http://zotero.org/users/6782581/items/PSEUFCZH"],"uri":["http://zotero.org/users/6782581/items/PSEUFCZH"],"itemData":{"id":186,"type":"article-journal","container-title":"Brooklyn Journal of International Law","issue":"3","language":"en","page":"1119","source":"Zotero","title":"Literal and Purposive Techniques of Legislative Interpretation:  Some European Community and English Common Law Perspective","volume":"29","author":[{"family":"McLeod","given":"Ian"}],"issued":{"date-parts":[["2004"]]}},"locator":"1125-1132","prefix":"See also "}],"schema":"https://github.com/citation-style-language/schema/raw/master/csl-citation.json"}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Ainsworth (n 82) 48–50; See also Ian McLeod, ‘Literal and Purposive Techniques of Legislative Interpretation:  Some European Community and English Common Law Perspective’ (2004) 29(3) </w:t>
      </w:r>
      <w:r w:rsidRPr="004538FF">
        <w:rPr>
          <w:rFonts w:ascii="Times New Roman" w:hAnsi="Times New Roman" w:cs="Times New Roman"/>
          <w:i/>
          <w:iCs/>
          <w:szCs w:val="24"/>
        </w:rPr>
        <w:t>Brooklyn Journal of International Law</w:t>
      </w:r>
      <w:r w:rsidRPr="004538FF">
        <w:rPr>
          <w:rFonts w:ascii="Times New Roman" w:hAnsi="Times New Roman" w:cs="Times New Roman"/>
          <w:szCs w:val="24"/>
        </w:rPr>
        <w:t xml:space="preserve"> 1119, 1125–1132.</w:t>
      </w:r>
      <w:r w:rsidRPr="004538FF">
        <w:rPr>
          <w:rFonts w:ascii="Times New Roman" w:hAnsi="Times New Roman" w:cs="Times New Roman"/>
        </w:rPr>
        <w:fldChar w:fldCharType="end"/>
      </w:r>
      <w:r w:rsidRPr="004538FF">
        <w:rPr>
          <w:rFonts w:ascii="Times New Roman" w:hAnsi="Times New Roman" w:cs="Times New Roman"/>
        </w:rPr>
        <w:t xml:space="preserve"> </w:t>
      </w:r>
    </w:p>
  </w:footnote>
  <w:footnote w:id="86">
    <w:p w14:paraId="5C849C6E" w14:textId="72CEEDCE" w:rsidR="004538FF" w:rsidRPr="004538FF" w:rsidRDefault="004538FF">
      <w:pPr>
        <w:pStyle w:val="FootnoteText"/>
        <w:rPr>
          <w:rFonts w:ascii="Times New Roman" w:hAnsi="Times New Roman" w:cs="Times New Roman"/>
          <w:i/>
          <w:iCs/>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Treaty on the Functioning of the European Union</w:t>
      </w:r>
      <w:r w:rsidRPr="004538FF">
        <w:rPr>
          <w:rFonts w:ascii="Times New Roman" w:hAnsi="Times New Roman" w:cs="Times New Roman"/>
        </w:rPr>
        <w:t>, opened for signature 7 February 1992, [2009] OJ C 115/199 (entered into force 1 November 1993) (‘</w:t>
      </w:r>
      <w:r w:rsidRPr="004538FF">
        <w:rPr>
          <w:rFonts w:ascii="Times New Roman" w:hAnsi="Times New Roman" w:cs="Times New Roman"/>
          <w:i/>
          <w:iCs/>
        </w:rPr>
        <w:t>FEU</w:t>
      </w:r>
      <w:r w:rsidRPr="004538FF">
        <w:rPr>
          <w:rFonts w:ascii="Times New Roman" w:hAnsi="Times New Roman" w:cs="Times New Roman"/>
        </w:rPr>
        <w:t>’)</w:t>
      </w:r>
      <w:r w:rsidRPr="004538FF">
        <w:rPr>
          <w:rFonts w:ascii="Times New Roman" w:hAnsi="Times New Roman" w:cs="Times New Roman"/>
          <w:i/>
          <w:iCs/>
        </w:rPr>
        <w:t xml:space="preserve"> </w:t>
      </w:r>
      <w:r w:rsidRPr="004538FF">
        <w:rPr>
          <w:rFonts w:ascii="Times New Roman" w:hAnsi="Times New Roman" w:cs="Times New Roman"/>
        </w:rPr>
        <w:t xml:space="preserve">art 267. Cf </w:t>
      </w:r>
      <w:r w:rsidRPr="004538FF">
        <w:rPr>
          <w:rFonts w:ascii="Times New Roman" w:hAnsi="Times New Roman" w:cs="Times New Roman"/>
          <w:i/>
          <w:iCs/>
        </w:rPr>
        <w:t xml:space="preserve">Commonwealth of Australia Constitution </w:t>
      </w:r>
      <w:r w:rsidRPr="004538FF">
        <w:rPr>
          <w:rFonts w:ascii="Times New Roman" w:hAnsi="Times New Roman" w:cs="Times New Roman"/>
        </w:rPr>
        <w:t>s 71.</w:t>
      </w:r>
    </w:p>
  </w:footnote>
  <w:footnote w:id="87">
    <w:p w14:paraId="13C762DC" w14:textId="140A9980"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Treaty on European Union</w:t>
      </w:r>
      <w:r w:rsidRPr="004538FF">
        <w:rPr>
          <w:rFonts w:ascii="Times New Roman" w:hAnsi="Times New Roman" w:cs="Times New Roman"/>
        </w:rPr>
        <w:t>, opened for signature 7 February 1992, [2009] OJ C 115/13 (entered into force 1 November 1993) (‘</w:t>
      </w:r>
      <w:r w:rsidRPr="004538FF">
        <w:rPr>
          <w:rFonts w:ascii="Times New Roman" w:hAnsi="Times New Roman" w:cs="Times New Roman"/>
          <w:i/>
          <w:iCs/>
        </w:rPr>
        <w:t>EU</w:t>
      </w:r>
      <w:r w:rsidRPr="004538FF">
        <w:rPr>
          <w:rFonts w:ascii="Times New Roman" w:hAnsi="Times New Roman" w:cs="Times New Roman"/>
        </w:rPr>
        <w:t xml:space="preserve">’) art 255 TEU; </w:t>
      </w:r>
      <w:r w:rsidRPr="004538FF">
        <w:rPr>
          <w:rFonts w:ascii="Times New Roman" w:hAnsi="Times New Roman" w:cs="Times New Roman"/>
          <w:i/>
          <w:iCs/>
        </w:rPr>
        <w:t xml:space="preserve">Regulation (EEC) No 1 determining the languages to be used by the European Economic Community </w:t>
      </w:r>
      <w:r w:rsidRPr="004538FF">
        <w:rPr>
          <w:rFonts w:ascii="Times New Roman" w:hAnsi="Times New Roman" w:cs="Times New Roman"/>
        </w:rPr>
        <w:t>(1958) OJ 17 arts 4, 5.</w:t>
      </w:r>
    </w:p>
  </w:footnote>
  <w:footnote w:id="88">
    <w:p w14:paraId="442E7143" w14:textId="62F1E4FF"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{"citationID":"QcSx5NYS","properties":{"formattedCitation":"Directorate-General for Communication, \\uc0\\u8216{}Translation\\uc0\\u8217{}, {\\i{}European Commission} &lt;https://ec.europa.eu/info/departments/translation_en&gt;.","plainCitation":"Directorate-General for Communication, ‘Translation’, European Commission &lt;https://ec.europa.eu/info/departments/translation_en&gt;.","noteIndex":89},"citationItems":[{"id":188,"uris":["http://zotero.org/users/6782581/items/Y26GIURV"],"uri":["http://zotero.org/users/6782581/items/Y26GIURV"],"itemData":{"id":188,"type":"webpage","abstract":"Directorate-General for Translation translates texts for the European Commission into and out of the EU's official languages.","container-title":"European Commission","language":"en","title":"Translation","URL":"https://ec.europa.eu/info/departments/translation_en","author":[{"literal":"Directorate-General for Communication"}],"accessed":{"date-parts":[["2020",8,28]]}}}],"schema":"https://github.com/citation-style-language/schema/raw/master/csl-citation.json"}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Directorate-General for Communication, ‘Translation’, </w:t>
      </w:r>
      <w:r w:rsidRPr="004538FF">
        <w:rPr>
          <w:rFonts w:ascii="Times New Roman" w:hAnsi="Times New Roman" w:cs="Times New Roman"/>
          <w:i/>
          <w:iCs/>
          <w:szCs w:val="24"/>
        </w:rPr>
        <w:t>European Commission</w:t>
      </w:r>
      <w:r w:rsidRPr="004538FF">
        <w:rPr>
          <w:rFonts w:ascii="Times New Roman" w:hAnsi="Times New Roman" w:cs="Times New Roman"/>
          <w:szCs w:val="24"/>
        </w:rPr>
        <w:t xml:space="preserve"> &lt;https://ec.europa.eu/info/departments/translation_en&gt;.</w:t>
      </w:r>
      <w:r w:rsidRPr="004538FF">
        <w:rPr>
          <w:rFonts w:ascii="Times New Roman" w:hAnsi="Times New Roman" w:cs="Times New Roman"/>
        </w:rPr>
        <w:fldChar w:fldCharType="end"/>
      </w:r>
    </w:p>
  </w:footnote>
  <w:footnote w:id="89">
    <w:p w14:paraId="76296879" w14:textId="3268AC4E"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Skatteministeriet v Aktieselskabet Forsikrinsselskabet Codan</w:t>
      </w:r>
      <w:r w:rsidRPr="004538FF">
        <w:rPr>
          <w:rFonts w:ascii="Times New Roman" w:hAnsi="Times New Roman" w:cs="Times New Roman"/>
        </w:rPr>
        <w:t xml:space="preserve"> (C-236/97) [1998] ECR I-8679.</w:t>
      </w:r>
    </w:p>
  </w:footnote>
  <w:footnote w:id="90">
    <w:p w14:paraId="693E2342" w14:textId="3D270788" w:rsidR="004538FF" w:rsidRPr="004538FF" w:rsidRDefault="004538FF" w:rsidP="006C0C34">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{"citationID":"FDYY4KbC","properties":{"formattedCitation":"Genesereth (n 18).","plainCitation":"Genesereth (n 18).","noteIndex":91},"citationItems":[{"id":26,"uris":["http://zotero.org/users/6782581/items/5C598D4E"],"uri":["http://zotero.org/users/6782581/items/5C598D4E"],"itemData":{"id":26,"type":"paper-conference","DOI":"10.1145/1165485.1165517","event-place":"Stanford,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Genesereth (n 18).</w:t>
      </w:r>
      <w:r w:rsidRPr="004538FF">
        <w:rPr>
          <w:rFonts w:ascii="Times New Roman" w:hAnsi="Times New Roman" w:cs="Times New Roman"/>
        </w:rPr>
        <w:fldChar w:fldCharType="end"/>
      </w:r>
    </w:p>
  </w:footnote>
  <w:footnote w:id="91">
    <w:p w14:paraId="0FDB8455" w14:textId="07CDB760" w:rsidR="004538FF" w:rsidRPr="004538FF" w:rsidRDefault="004538FF" w:rsidP="006C0C34">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{"citationID":"NadAfLzd","properties":{"formattedCitation":"Sergot et al (n 11).","plainCitation":"Sergot et al (n 11).","noteIndex":92},"citationItems":[{"id":46,"uris":["http://zotero.org/users/6782581/items/WIX843XU"],"uri":["http://zotero.org/users/6782581/items/WIX843XU"],"itemData":{"id":46,"type":"article-journal","container-title":"Communications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Sergot et al (n 11).</w:t>
      </w:r>
      <w:r w:rsidRPr="004538FF">
        <w:rPr>
          <w:rFonts w:ascii="Times New Roman" w:hAnsi="Times New Roman" w:cs="Times New Roman"/>
        </w:rPr>
        <w:fldChar w:fldCharType="end"/>
      </w:r>
    </w:p>
  </w:footnote>
  <w:footnote w:id="92">
    <w:p w14:paraId="7370584A" w14:textId="56C32E6A" w:rsidR="004538FF" w:rsidRPr="004538FF" w:rsidRDefault="004538FF" w:rsidP="006C0C34">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{"citationID":"OTxIO5nz","properties":{"formattedCitation":"See, eg, Government Information Services (n 25) 21\\uc0\\u8211{}24; Open Fisca (n 25).","plainCitation":"See, eg, Government Information Services (n 25) 21–24; Open Fisca (n 25).","noteIndex":93},"citationItems":[{"id":1,"uris":["http://zotero.org/users/6782581/items/CE9X6PPW"],"uri":["http://zotero.org/users/6782581/items/CE9X6PPW"],"itemData":{"id":1,"type":"report","genre":"Discovery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Services"}],"accessed":{"date-parts":[["2020",8,4]]},"issued":{"date-parts":[["2018",3]]}},"locator":"21-24","prefix":"See, eg, "},{"id":121,"uris":["http://zotero.org/users/6782581/items/66GJK3XE"],"uri":["http://zotero.org/users/6782581/items/66GJK3XE"],"itemData":{"id":121,"type":"webpage","container-title":"Open Fisca","genre":"Wiki","title":"From law to code — OpenFisca documentation","URL":"https://openfisca.org/doc/coding-the-legislation/index.html","author":[{"literal":"Open Fisca"}],"accessed":{"date-parts":[["2020",8,23]]}}}],"schema":"https://github.com/citation-style-language/schema/raw/master/csl-citation.json"}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See, eg, Government Information Services (n 25) 21–24; Open Fisca (n 25).</w:t>
      </w:r>
      <w:r w:rsidRPr="004538FF">
        <w:rPr>
          <w:rFonts w:ascii="Times New Roman" w:hAnsi="Times New Roman" w:cs="Times New Roman"/>
        </w:rPr>
        <w:fldChar w:fldCharType="end"/>
      </w:r>
    </w:p>
  </w:footnote>
  <w:footnote w:id="93">
    <w:p w14:paraId="37F7FD8D" w14:textId="60B4841C" w:rsidR="004538FF" w:rsidRPr="004538FF" w:rsidRDefault="004538FF" w:rsidP="006C0C34">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{"citationID":"1NpkK0KZ","properties":{"formattedCitation":"Green and Viljoen (n 47).","plainCitation":"Green and Viljoen (n 47).","noteIndex":94},"citationItems":[{"id":30,"uris":["http://zotero.org/users/6782581/items/TN68RRBU"],"uri":["http://zotero.org/users/6782581/items/TN68RRBU"],"itemData":{"id":30,"type":"paper-conference","abstract":"Although computer scientists are eager to help address social problems, the eld faces a growing awareness that many well-intentioned applications of algorithms in social contexts have led to signi cant harm. We argue that addressing this gap between the eld’s desire to do good and the harmful impacts of many of its interventions requires looking to the epistemic and methodological underpinnings of algorithms. We diagnose the dominant mode of algorithmic reasoning as “algorithmic formalism” and describe how formalist orientations lead to harmful algorithmic interventions. Addressing these harms requires pursuing a new mode of algorithmic thinking that is attentive to the internal limits of algorithms and to the social concerns that fall beyond the bounds of algorithmic formalism. To understand what a methodological evolution beyond formalism looks like and what it may achieve, we turn to the twentieth century evolution in American legal thought from legal formalism to legal realism. Drawing on the lessons of legal realism, we propose a new mode of algorithmic thinking—“algorithmic realism”—that provides tools for computer scientists to account for the realities of social life and of algorithmic impacts. These realist approaches, although not foolproof, will better equip computer scientists to reduce algorithmic harms and to reason well about doing good.","container-title":"Proceedings of the 2020 Conference on Fairness, Accountability, and Transparency","DOI":"10.1145/3351095.3372840","event":"FAT* '20: Conference on Fairness, Accountability, and Transparency","event-place":"Barcelona Spain","ISBN":"978-1-4503-6936-7","language":"en","page":"19-31","publisher":"ACM","publisher-place":"Barcelona Spain","source":"DOI.org (Crossref)","title":"Algorithmic realism: expanding the boundaries of algorithmic thought","URL":"http://dl.acm.org/doi/10.1145/3351095.3372840","author":[{"family":"Green","given":"Ben"},{"family":"Viljoen","given":"Salomé"}],"accessed":{"date-parts":[["2020",8,10]]},"issued":{"date-parts":[["2020",1,27]]}}}],"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Green and Viljoen (n 47).</w:t>
      </w:r>
      <w:r w:rsidRPr="004538FF">
        <w:rPr>
          <w:rFonts w:ascii="Times New Roman" w:hAnsi="Times New Roman" w:cs="Times New Roman"/>
        </w:rPr>
        <w:fldChar w:fldCharType="end"/>
      </w:r>
    </w:p>
  </w:footnote>
  <w:footnote w:id="94">
    <w:p w14:paraId="3FC6EF00" w14:textId="7AD4F934" w:rsidR="004538FF" w:rsidRPr="004538FF" w:rsidRDefault="004538FF" w:rsidP="006C0C34">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{"citationID":"j0ZD21XY","properties":{"formattedCitation":"Matczak (n 57) 29\\uc0\\u8211{}34.","plainCitation":"Matczak (n 57) 29–34.","noteIndex":95},"citationItems":[{"id":43,"uris":["http://zotero.org/users/6782581/items/QH39DL47"],"uri":["http://zotero.org/users/6782581/items/QH39DL47"],"itemData":{"id":43,"type":"article-journal","container-title":"SSRN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Law","author":[{"family":"Matczak","given":"Marcin"}],"issued":{"date-parts":[["2016",8,29]]}},"locator":"29-34"}],"schema":"https://github.com/citation-style-language/schema/raw/master/csl-citation.json"}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Matczak (n 57) 29–34.</w:t>
      </w:r>
      <w:r w:rsidRPr="004538FF">
        <w:rPr>
          <w:rFonts w:ascii="Times New Roman" w:hAnsi="Times New Roman" w:cs="Times New Roman"/>
        </w:rPr>
        <w:fldChar w:fldCharType="end"/>
      </w:r>
    </w:p>
  </w:footnote>
  <w:footnote w:id="95">
    <w:p w14:paraId="4DCBB89A" w14:textId="772835D3" w:rsidR="004538FF" w:rsidRPr="004538FF" w:rsidRDefault="004538FF" w:rsidP="006C0C34">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{"citationID":"jFuN9nOJ","properties":{"formattedCitation":"Wolfram (n 8) 156\\uc0\\u8211{}159.","plainCitation":"Wolfram (n 8) 156–159.","noteIndex":96},"citationItems":[{"id":104,"uris":["http://zotero.org/users/6782581/items/28QHAVCI"],"uri":["http://zotero.org/users/6782581/items/28QHAVCI"],"itemData":{"id":104,"type":"chapter","container-title":"Ethics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Constitution","author":[{"family":"Wolfram","given":"Stephen"}],"issued":{"date-parts":[["2020"]]}},"locator":"156-159"}],"schema":"https://github.com/citation-style-language/schema/raw/master/csl-citation.json"}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Wolfram (n 8) 156–159.</w:t>
      </w:r>
      <w:r w:rsidRPr="004538FF">
        <w:rPr>
          <w:rFonts w:ascii="Times New Roman" w:hAnsi="Times New Roman" w:cs="Times New Roman"/>
        </w:rPr>
        <w:fldChar w:fldCharType="end"/>
      </w:r>
    </w:p>
  </w:footnote>
  <w:footnote w:id="96">
    <w:p w14:paraId="1B75D17A" w14:textId="3F18BC2C" w:rsidR="004538FF" w:rsidRPr="004538FF" w:rsidRDefault="004538FF" w:rsidP="006C0C34">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{"citationID":"norNkN6Z","properties":{"formattedCitation":"Matczak (n 57) 21\\uc0\\u8211{}29.","plainCitation":"Matczak (n 57) 21–29.","noteIndex":97},"citationItems":[{"id":43,"uris":["http://zotero.org/users/6782581/items/QH39DL47"],"uri":["http://zotero.org/users/6782581/items/QH39DL47"],"itemData":{"id":43,"type":"article-journal","container-title":"SSRN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Law","author":[{"family":"Matczak","given":"Marcin"}],"issued":{"date-parts":[["2016",8,29]]}},"locator":"21-29"}],"schema":"https://github.com/citation-style-language/schema/raw/master/csl-citation.json"}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Matczak (n 57) 21–29.</w:t>
      </w:r>
      <w:r w:rsidRPr="004538FF">
        <w:rPr>
          <w:rFonts w:ascii="Times New Roman" w:hAnsi="Times New Roman" w:cs="Times New Roman"/>
        </w:rPr>
        <w:fldChar w:fldCharType="end"/>
      </w:r>
    </w:p>
  </w:footnote>
  <w:footnote w:id="97">
    <w:p w14:paraId="3F7AD2DF" w14:textId="220CA81B"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See, eg, Perram J, </w:t>
      </w:r>
      <w:r w:rsidRPr="004538FF">
        <w:rPr>
          <w:rFonts w:ascii="Times New Roman" w:hAnsi="Times New Roman" w:cs="Times New Roman"/>
          <w:i/>
          <w:iCs/>
        </w:rPr>
        <w:t xml:space="preserve">Australian Securities and Investments Commission v Westpac Banking Corporation (Liability Trial) </w:t>
      </w:r>
      <w:r w:rsidRPr="004538FF">
        <w:rPr>
          <w:rFonts w:ascii="Times New Roman" w:hAnsi="Times New Roman" w:cs="Times New Roman"/>
        </w:rPr>
        <w:t xml:space="preserve">[2019] FCA 1244 [68]-[70] informing what matters are ‘mandatory’ in determining if a credit product is unsuitable for the purposes of </w:t>
      </w:r>
      <w:r w:rsidRPr="004538FF">
        <w:rPr>
          <w:rFonts w:ascii="Times New Roman" w:hAnsi="Times New Roman" w:cs="Times New Roman"/>
          <w:i/>
          <w:iCs/>
        </w:rPr>
        <w:t>National Consumer Credit Protection Act 2009</w:t>
      </w:r>
      <w:r w:rsidRPr="004538FF">
        <w:rPr>
          <w:rFonts w:ascii="Times New Roman" w:hAnsi="Times New Roman" w:cs="Times New Roman"/>
        </w:rPr>
        <w:t xml:space="preserve"> (Cth) ss 118(2), 119(2), 131(2), 141(2), 142(2), 154(2). </w:t>
      </w:r>
    </w:p>
  </w:footnote>
  <w:footnote w:id="98">
    <w:p w14:paraId="5ACDE2F8" w14:textId="39754220"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See, eg, Davies J, </w:t>
      </w:r>
      <w:r w:rsidRPr="004538FF">
        <w:rPr>
          <w:rFonts w:ascii="Times New Roman" w:hAnsi="Times New Roman" w:cs="Times New Roman"/>
          <w:i/>
          <w:iCs/>
        </w:rPr>
        <w:t xml:space="preserve">Australian Securities and Investments Commission v The Cash Store Pty Ltd (in liquidation) </w:t>
      </w:r>
      <w:r w:rsidRPr="004538FF">
        <w:rPr>
          <w:rFonts w:ascii="Times New Roman" w:hAnsi="Times New Roman" w:cs="Times New Roman"/>
        </w:rPr>
        <w:t xml:space="preserve">[2014] FCA 926 [23] &amp; Greenwood J, </w:t>
      </w:r>
      <w:r w:rsidRPr="004538FF">
        <w:rPr>
          <w:rFonts w:ascii="Times New Roman" w:hAnsi="Times New Roman" w:cs="Times New Roman"/>
          <w:i/>
          <w:iCs/>
        </w:rPr>
        <w:t xml:space="preserve">Australian Securities and Investment Commission v Channic Pty Ltd (No 4) </w:t>
      </w:r>
      <w:r w:rsidRPr="004538FF">
        <w:rPr>
          <w:rFonts w:ascii="Times New Roman" w:hAnsi="Times New Roman" w:cs="Times New Roman"/>
        </w:rPr>
        <w:t>[2016] FCA 1174</w:t>
      </w:r>
      <w:r w:rsidRPr="004538FF">
        <w:rPr>
          <w:rFonts w:ascii="Times New Roman" w:hAnsi="Times New Roman" w:cs="Times New Roman"/>
          <w:i/>
          <w:iCs/>
        </w:rPr>
        <w:t xml:space="preserve"> </w:t>
      </w:r>
      <w:r w:rsidRPr="004538FF">
        <w:rPr>
          <w:rFonts w:ascii="Times New Roman" w:hAnsi="Times New Roman" w:cs="Times New Roman"/>
        </w:rPr>
        <w:t xml:space="preserve">[1773] deterring from the dictionary definition of ‘likely’ in the context of responsible lending obligations; Cf the USSC’s referral to the dictionary definition of ‘use’ in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{"citationID":"THXO6gc4","properties":{"formattedCitation":"{\\i{}Smith v United States} (n 60) 229 which has been criticised as a strict formalist decision; Matczak (n 57) 25\\uc0\\u8211{}28.","plainCitation":"Smith v United States (n 60) 229 which has been criticised as a strict formalist decision; Matczak (n 57) 25–28.","noteIndex":99},"citationItems":[{"id":127,"uris":["http://zotero.org/users/6782581/items/Y59582P8"],"uri":["http://zotero.org/users/6782581/items/Y59582P8"],"itemData":{"id":127,"type":"legal_case","authority":"United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States","URL":"https://www.law.cornell.edu/supct/html/91-8674.ZD.html","volume":"508","author":[{"family":"Scalia","given":""}],"accessed":{"date-parts":[["2020",8,23]]},"issued":{"date-parts":[["1993",6,1]]}},"locator":"229","suffix":"which has been criticised as a strict formalist decision"},{"id":43,"uris":["http://zotero.org/users/6782581/items/QH39DL47"],"uri":["http://zotero.org/users/6782581/items/QH39DL47"],"itemData":{"id":43,"type":"article-journal","container-title":"SSRN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Law","author":[{"family":"Matczak","given":"Marcin"}],"issued":{"date-parts":[["2016",8,29]]}},"locator":"25-28"}],"schema":"https://github.com/citation-style-language/schema/raw/master/csl-citation.json"}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i/>
          <w:iCs/>
          <w:szCs w:val="24"/>
        </w:rPr>
        <w:t>Smith v United States</w:t>
      </w:r>
      <w:r w:rsidRPr="004538FF">
        <w:rPr>
          <w:rFonts w:ascii="Times New Roman" w:hAnsi="Times New Roman" w:cs="Times New Roman"/>
          <w:szCs w:val="24"/>
        </w:rPr>
        <w:t xml:space="preserve"> (n 60) 229 which has been criticised as a strict formalist decision; Matczak (n 57) 25–28.</w:t>
      </w:r>
      <w:r w:rsidRPr="004538FF">
        <w:rPr>
          <w:rFonts w:ascii="Times New Roman" w:hAnsi="Times New Roman" w:cs="Times New Roman"/>
        </w:rPr>
        <w:fldChar w:fldCharType="end"/>
      </w:r>
      <w:r w:rsidRPr="004538FF">
        <w:rPr>
          <w:rFonts w:ascii="Times New Roman" w:hAnsi="Times New Roman" w:cs="Times New Roman"/>
        </w:rPr>
        <w:t xml:space="preserve"> See also Perram J, </w:t>
      </w:r>
      <w:r w:rsidRPr="004538FF">
        <w:rPr>
          <w:rFonts w:ascii="Times New Roman" w:hAnsi="Times New Roman" w:cs="Times New Roman"/>
          <w:i/>
          <w:iCs/>
        </w:rPr>
        <w:t xml:space="preserve">Australian Securities and Investments Commission v Westpac Banking Corporation (Liability Trial) </w:t>
      </w:r>
      <w:r w:rsidRPr="004538FF">
        <w:rPr>
          <w:rFonts w:ascii="Times New Roman" w:hAnsi="Times New Roman" w:cs="Times New Roman"/>
        </w:rPr>
        <w:t xml:space="preserve">[2019] FCA 1244 [68] determining that the consumer’s financial situation must be viewed ‘overall’ as opposed to by any ‘particular integer’. </w:t>
      </w:r>
    </w:p>
  </w:footnote>
  <w:footnote w:id="99">
    <w:p w14:paraId="1CD30593" w14:textId="2A3B2019" w:rsidR="004538FF" w:rsidRPr="004538FF" w:rsidRDefault="004538FF" w:rsidP="001D223E">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{"citationID":"HcuLUoHL","properties":{"formattedCitation":"Cf the unambiguous and deterministic legal questions addressed in Government Information Services (n 25) 21\\uc0\\u8211{}24.","plainCitation":"Cf the unambiguous and deterministic legal questions addressed in Government Information Services (n 25) 21–24.","noteIndex":100},"citationItems":[{"id":1,"uris":["http://zotero.org/users/6782581/items/CE9X6PPW"],"uri":["http://zotero.org/users/6782581/items/CE9X6PPW"],"itemData":{"id":1,"type":"report","genre":"Discovery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Services"}],"accessed":{"date-parts":[["2020",8,4]]},"issued":{"date-parts":[["2018",3]]}},"locator":"21-24","prefix":"Cf the unambiguous and deterministic legal questions addressed in"}],"schema":"https://github.com/citation-style-language/schema/raw/master/csl-citation.json"}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Cf the unambiguous and deterministic legal questions addressed in Government Information Services (n 25) 21–24.</w:t>
      </w:r>
      <w:r w:rsidRPr="004538FF">
        <w:rPr>
          <w:rFonts w:ascii="Times New Roman" w:hAnsi="Times New Roman" w:cs="Times New Roman"/>
        </w:rPr>
        <w:fldChar w:fldCharType="end"/>
      </w:r>
    </w:p>
  </w:footnote>
  <w:footnote w:id="100">
    <w:p w14:paraId="668995FE" w14:textId="2C7D9746" w:rsidR="004538FF" w:rsidRPr="004538FF" w:rsidRDefault="004538FF" w:rsidP="001D223E">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{"citationID":"7XvkUZPm","properties":{"formattedCitation":"\\uc0\\u8216{}Regulatory Guide 209: Credit Licensing: Responsible Lending Conduct\\uc0\\u8217{} (n 70).","plainCitation":"‘Regulatory Guide 209: Credit Licensing: Responsible Lending Conduct’ (n 70).","noteIndex":101},"citationItems":[{"id":10,"uris":["http://zotero.org/users/6782581/items/8ZHWRN36"],"uri":["http://zotero.org/users/6782581/items/8ZHWRN36"],"itemData":{"id":10,"type":"bill","title":"Regulatory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‘Regulatory Guide 209: Credit Licensing: Responsible Lending Conduct’ (n 70).</w:t>
      </w:r>
      <w:r w:rsidRPr="004538FF">
        <w:rPr>
          <w:rFonts w:ascii="Times New Roman" w:hAnsi="Times New Roman" w:cs="Times New Roman"/>
        </w:rPr>
        <w:fldChar w:fldCharType="end"/>
      </w:r>
    </w:p>
  </w:footnote>
  <w:footnote w:id="101">
    <w:p w14:paraId="3CBC167C" w14:textId="412B76D0"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{"citationID":"JXCJK7zZ","properties":{"formattedCitation":"Ibid r 81-83.","plainCitation":"Ibid r 81-83.","noteIndex":102},"citationItems":[{"id":10,"uris":["http://zotero.org/users/6782581/items/8ZHWRN36"],"uri":["http://zotero.org/users/6782581/items/8ZHWRN36"],"itemData":{"id":10,"type":"bill","title":"Regulatory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Commission"}],"accessed":{"date-parts":[["2020",8,4]]}},"locator":"r 81-83"}],"schema":"https://github.com/citation-style-language/schema/raw/master/csl-citation.json"}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Ibid r 81-83.</w:t>
      </w:r>
      <w:r w:rsidRPr="004538FF">
        <w:rPr>
          <w:rFonts w:ascii="Times New Roman" w:hAnsi="Times New Roman" w:cs="Times New Roman"/>
        </w:rPr>
        <w:fldChar w:fldCharType="end"/>
      </w:r>
    </w:p>
  </w:footnote>
  <w:footnote w:id="102">
    <w:p w14:paraId="474C16F3" w14:textId="3F8C97EA" w:rsidR="004538FF" w:rsidRPr="004538FF" w:rsidRDefault="004538FF" w:rsidP="001D223E">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{"citationID":"JcOATITy","properties":{"formattedCitation":"Ibid r 23(d).","plainCitation":"Ibid r 23(d).","noteIndex":103},"citationItems":[{"id":10,"uris":["http://zotero.org/users/6782581/items/8ZHWRN36"],"uri":["http://zotero.org/users/6782581/items/8ZHWRN36"],"itemData":{"id":10,"type":"bill","title":"Regulatory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Commission"}],"accessed":{"date-parts":[["2020",8,4]]}},"locator":"r 23(d)","label":"section"}],"schema":"https://github.com/citation-style-language/schema/raw/master/csl-citation.json"}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Ibid r 23(d).</w:t>
      </w:r>
      <w:r w:rsidRPr="004538FF">
        <w:rPr>
          <w:rFonts w:ascii="Times New Roman" w:hAnsi="Times New Roman" w:cs="Times New Roman"/>
        </w:rPr>
        <w:fldChar w:fldCharType="end"/>
      </w:r>
      <w:r w:rsidRPr="004538FF">
        <w:rPr>
          <w:rFonts w:ascii="Times New Roman" w:hAnsi="Times New Roman" w:cs="Times New Roman"/>
        </w:rPr>
        <w:t xml:space="preserve"> </w:t>
      </w:r>
    </w:p>
  </w:footnote>
  <w:footnote w:id="103">
    <w:p w14:paraId="00D6A14B" w14:textId="26D307CF"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{"citationID":"vx7kjZIA","properties":{"formattedCitation":"Toby Donaldson, \\uc0\\u8216{}Python as a First Programming Language for Everyone\\uc0\\u8217{} (2003) &lt;http://www.cs.ubc.ca/wccce/Program03/papers/Toby.html&gt;; Vambola Leping et al, \\uc0\\u8216{}Python Prevails\\uc0\\u8217{} in {\\i{}Proceedings of the International Conference on Computer Systems and Technologies and Workshop for PhD Students in Computing} (Association for Computing Machinery, 2009) 1, 2 &lt;https://doi.org/10.1145/1731740.1731833&gt;.","plainCitation":"Toby Donaldson, ‘Python as a First Programming Language for Everyone’ (2003) &lt;http://www.cs.ubc.ca/wccce/Program03/papers/Toby.html&gt;; Vambola Leping et al, ‘Python Prevails’ in Proceedings of the International Conference on Computer Systems and Technologies and Workshop for PhD Students in Computing (Association for Computing Machinery, 2009) 1, 2 &lt;https://doi.org/10.1145/1731740.1731833&gt;.","noteIndex":104},"citationItems":[{"id":123,"uris":["http://zotero.org/users/6782581/items/QRAJFZYE"],"uri":["http://zotero.org/users/6782581/items/QRAJFZYE"],"itemData":{"id":123,"type":"paper-conference","event":"Western Canadian Conference on Computing Education","event-place":"North Island College, British Columbia","publisher-place":"North Island College, British Columbia","title":"Python as a First Programming Language for Everyone","URL":"http://www.cs.ubc.ca/wccce/Program03/papers/Toby.html","author":[{"family":"Donaldson","given":"Toby"}],"accessed":{"date-parts":[["2020",8,23]]},"issued":{"date-parts":[["2003",5]]}}},{"id":124,"uris":["http://zotero.org/users/6782581/items/HN4YFCMT"],"uri":["http://zotero.org/users/6782581/items/HN4YFCMT"],"itemData":{"id":124,"type":"paper-conference","abstract":"In this article we describe why we changed the language of our introductory programming course for first year math and computer science students from Java to Python. We explain why we chose Python over the other languages, how we built up the course and how we ran it as an experiment with a small group (about 25% of students). The experiment itself lead us to decide to use Python with all the students starting the next, 2009/2010 study year.","collection-title":"CompSysTech '09","container-title":"Proceedings of the International Conference on Computer Systems and Technologies and Workshop for PhD Students in Computing","DOI":"10.1145/1731740.1731833","event-place":"New York, NY, USA","ISBN":"978-1-60558-986-2","page":"1–5","publisher":"Association for Computing Machinery","publisher-place":"New York, NY, USA","source":"ACM Digital Library","title":"Python prevails","URL":"https://doi.org/10.1145/1731740.1731833","author":[{"family":"Leping","given":"Vambola"},{"family":"Lepp","given":"Marina"},{"family":"Niitsoo","given":"Margus"},{"family":"Tõnisson","given":"Eno"},{"family":"Vene","given":"Varmo"},{"family":"Villems","given":"Anne"}],"accessed":{"date-parts":[["2020",8,22]]},"issued":{"date-parts":[["2009",6,18]]}},"locator":"2"}],"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 xml:space="preserve">Toby Donaldson, ‘Python as a First Programming Language for Everyone’ (2003) &lt;http://www.cs.ubc.ca/wccce/Program03/papers/Toby.html&gt;; Vambola Leping et al, ‘Python Prevails’ in </w:t>
      </w:r>
      <w:r w:rsidRPr="004538FF">
        <w:rPr>
          <w:rFonts w:ascii="Times New Roman" w:hAnsi="Times New Roman" w:cs="Times New Roman"/>
          <w:i/>
          <w:iCs/>
        </w:rPr>
        <w:t>Proceedings of the International Conference on Computer Systems and Technologies and Workshop for PhD Students in Computing</w:t>
      </w:r>
      <w:r w:rsidRPr="004538FF">
        <w:rPr>
          <w:rFonts w:ascii="Times New Roman" w:hAnsi="Times New Roman" w:cs="Times New Roman"/>
        </w:rPr>
        <w:t xml:space="preserve"> (Association for Computing Machinery, 2009) 1, 2 &lt;https://doi.org/10.1145/1731740.1731833&gt;.</w:t>
      </w:r>
      <w:r w:rsidRPr="004538FF">
        <w:rPr>
          <w:rFonts w:ascii="Times New Roman" w:hAnsi="Times New Roman" w:cs="Times New Roman"/>
        </w:rPr>
        <w:fldChar w:fldCharType="end"/>
      </w:r>
    </w:p>
  </w:footnote>
  <w:footnote w:id="104">
    <w:p w14:paraId="41611C47" w14:textId="15AEFE01"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{"citationID":"7fWcfQV2","properties":{"formattedCitation":"Jenna Burrell, \\uc0\\u8216{}How the Machine \\uc0\\u8220{}Thinks\\uc0\\u8221{}: Understanding Opacity in Machine Learning Algorithms\\uc0\\u8217{} (2016) 3(1) {\\i{}Big Data &amp; Society} 1, 4.","plainCitation":"Jenna Burrell, ‘How the Machine “Thinks”: Understanding Opacity in Machine Learning Algorithms’ (2016) 3(1) Big Data &amp; Society 1, 4.","noteIndex":105},"citationItems":[{"id":320,"uris":["http://zotero.org/users/6782581/items/3FYPA6CG"],"uri":["http://zotero.org/users/6782581/items/3FYPA6CG"],"itemData":{"id":320,"type":"article-journal","abstract":"This article considers the issue of opacity as a problem for socially consequential mechanisms of classification and ranking, such as spam filters, credit card fraud detection, search engines, news trends, market segmentation and advertising, insurance or loan qualification, and credit scoring. These mechanisms of classification all frequently rely on computational algorithms, and in many cases on machine learning algorithms to do this work. In this article, I draw a distinction between three forms of opacity: (1) opacity as intentional corporate or state secrecy, (2) opacity as technical illiteracy, and (3) an opacity that arises from the characteristics of machine learning algorithms and the scale required to apply them usefully. The analysis in this article gets inside the algorithms themselves. I cite existing literatures in computer science, known industry practices (as they are publicly presented), and do some testing and manipulation of code as a form of lightweight code audit. I argue that recognizing the distinct forms of opacity that may be coming into play in a given application is a key to determining which of a variety of technical and non-technical solutions could help to prevent harm.","container-title":"Big Data &amp; Society","DOI":"10.1177/2053951715622512","ISSN":"2053-9517","issue":"1","journalAbbreviation":"Big Data &amp; Society","note":"publisher: SAGE Publications Ltd","page":"1","source":"SAGE Journals","title":"How the machine ‘thinks’: Understanding opacity in machine learning algorithms","volume":"3","author":[{"family":"Burrell","given":"Jenna"}],"issued":{"date-parts":[["2016",6,1]]}},"locator":"4"}],"schema":"https://github.com/citation-style-language/schema/raw/master/csl-citation.json"}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Jenna Burrell, ‘How the Machine “Thinks”: Understanding Opacity in Machine Learning Algorithms’ (2016) 3(1) </w:t>
      </w:r>
      <w:r w:rsidRPr="004538FF">
        <w:rPr>
          <w:rFonts w:ascii="Times New Roman" w:hAnsi="Times New Roman" w:cs="Times New Roman"/>
          <w:i/>
          <w:iCs/>
          <w:szCs w:val="24"/>
        </w:rPr>
        <w:t>Big Data &amp; Society</w:t>
      </w:r>
      <w:r w:rsidRPr="004538FF">
        <w:rPr>
          <w:rFonts w:ascii="Times New Roman" w:hAnsi="Times New Roman" w:cs="Times New Roman"/>
          <w:szCs w:val="24"/>
        </w:rPr>
        <w:t xml:space="preserve"> 1, 4.</w:t>
      </w:r>
      <w:r w:rsidRPr="004538FF">
        <w:rPr>
          <w:rFonts w:ascii="Times New Roman" w:hAnsi="Times New Roman" w:cs="Times New Roman"/>
        </w:rPr>
        <w:fldChar w:fldCharType="end"/>
      </w:r>
    </w:p>
  </w:footnote>
  <w:footnote w:id="105">
    <w:p w14:paraId="38B532FB" w14:textId="31A8CD2C" w:rsidR="004538FF" w:rsidRPr="004538FF" w:rsidRDefault="004538FF" w:rsidP="00711C1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{"citationID":"0GsJRIsn","properties":{"formattedCitation":"Australasian Legal Information Institute, \\uc0\\u8216{}DataLex Consultation: ElectKB\\uc0\\u8217{}, {\\i{}DataLex} &lt;http://beta.datalex.org/app/consultation?rulebase=http%3A%2F%2Faustlii.community%2Ffoswiki%2FDataLex%2FElectKB&gt;.","plainCitation":"Australasian Legal Information Institute, ‘DataLex Consultation: ElectKB’, DataLex &lt;http://beta.datalex.org/app/consultation?rulebase=http%3A%2F%2Faustlii.community%2Ffoswiki%2FDataLex%2FElectKB&gt;.","noteIndex":106},"citationItems":[{"id":312,"uris":["http://zotero.org/users/6782581/items/497U4952"],"uri":["http://zotero.org/users/6782581/items/497U4952"],"itemData":{"id":312,"type":"webpage","container-title":"DataLex","title":"DataLex Consultation: ElectKB","URL":"http://beta.datalex.org/app/consultation?rulebase=http%3A%2F%2Faustlii.community%2Ffoswiki%2FDataLex%2FElectKB","author":[{"literal":"Australasian Legal Information Institute"}],"accessed":{"date-parts":[["2020",9,22]]}}}],"schema":"https://github.com/citation-style-language/schema/raw/master/csl-citation.json"}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Australasian Legal Information Institute, ‘DataLex Consultation: ElectKB’, </w:t>
      </w:r>
      <w:r w:rsidRPr="004538FF">
        <w:rPr>
          <w:rFonts w:ascii="Times New Roman" w:hAnsi="Times New Roman" w:cs="Times New Roman"/>
          <w:i/>
          <w:iCs/>
          <w:szCs w:val="24"/>
        </w:rPr>
        <w:t>DataLex</w:t>
      </w:r>
      <w:r w:rsidRPr="004538FF">
        <w:rPr>
          <w:rFonts w:ascii="Times New Roman" w:hAnsi="Times New Roman" w:cs="Times New Roman"/>
          <w:szCs w:val="24"/>
        </w:rPr>
        <w:t xml:space="preserve"> &lt;http://beta.datalex.org/app/consultation?rulebase=http%3A%2F%2Faustlii.community%2Ffoswiki%2FDataLex%2FElectKB&gt;.</w:t>
      </w:r>
      <w:r w:rsidRPr="004538FF">
        <w:rPr>
          <w:rFonts w:ascii="Times New Roman" w:hAnsi="Times New Roman" w:cs="Times New Roman"/>
        </w:rPr>
        <w:fldChar w:fldCharType="end"/>
      </w:r>
    </w:p>
  </w:footnote>
  <w:footnote w:id="106">
    <w:p w14:paraId="20DE4578" w14:textId="0DBF3851"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{"citationID":"CBuzceoe","properties":{"formattedCitation":"Andrew Mowbray, Philip Chung and Graham Greenleaf, {\\i{}Utilising AI in the Legal Assistance Sector \\uc0\\u8211{} Testing a Role for Legal Information Institutes} (SSRN Scholarly Paper No ID 3379441, Social Science Research Network, 29 April 2019) 3\\uc0\\u8211{}4 &lt;https://papers.ssrn.com/abstract=3379441&gt;.","plainCitation":"Andrew Mowbray, Philip Chung and Graham Greenleaf, Utilising AI in the Legal Assistance Sector – Testing a Role for Legal Information Institutes (SSRN Scholarly Paper No ID 3379441, Social Science Research Network, 29 April 2019) 3–4 &lt;https://papers.ssrn.com/abstract=3379441&gt;.","noteIndex":107},"citationItems":[{"id":368,"uris":["http://zotero.org/users/6782581/items/MGBMZC7I"],"uri":["http://zotero.org/users/6782581/items/MGBMZC7I"],"itemData":{"id":368,"type":"report","abstract":"The use of artificial intelligence (AI) in law has again become of great interest to lawyers and government. Legal Information Institutes (LIIs) have played a significant role in the provision of legal information via the web. The concept of ‘free access to law’ is not static, and its principles now require a LII response to the renewed prominence of AI, possibly to include improving and expanding free access to legal advice.This paper proposes, and proposes to test, one approach that LIIs might take in the use of AI (specifically, ‘decision support’ or ‘intelligent assistance’ (IA) technologies), an approach that leverages the very large legal information assets that some LIIs have built over the past two decades. This approach focuses on how LIIs can assist providers of free legal advice (the ‘legal assistance sector’) to serve their clients. We consider the constraints that the requirement of ‘free’ imposes (on both the legal assistance sector and on LIIs), including on what types of free legal advice systems are sustainable, and what roles LIIs may realistically play in the development of such a ‘commons of free legal advice’. We suggest guidelines for development of suchsystems. The AI-related services and tools that the Australasian Legal Information Institute (AustLII) is providing (the ‘DataLex’ platform) are outlined.","event-place":"Rochester, NY","genre":"SSRN Scholarly Paper","language":"en","note":"DOI: 10.2139/ssrn.3379441","number":"ID 3379441","publisher":"Social Science Research Network","publisher-place":"Rochester, NY","source":"papers.ssrn.com","title":"Utilising AI in the Legal Assistance Sector – Testing a Role for Legal Information Institutes","URL":"https://papers.ssrn.com/abstract=3379441","author":[{"family":"Mowbray","given":"Andrew"},{"family":"Chung","given":"Philip"},{"family":"Greenleaf","given":"Graham"}],"accessed":{"date-parts":[["2020",10,10]]},"issued":{"date-parts":[["2019",4,29]]}},"locator":"3-4"}],"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Andrew Mowbray, Philip Chung and Graham Greenleaf, </w:t>
      </w:r>
      <w:r w:rsidRPr="004538FF">
        <w:rPr>
          <w:rFonts w:ascii="Times New Roman" w:hAnsi="Times New Roman" w:cs="Times New Roman"/>
          <w:i/>
          <w:iCs/>
          <w:szCs w:val="24"/>
        </w:rPr>
        <w:t>Utilising AI in the Legal Assistance Sector – Testing a Role for Legal Information Institutes</w:t>
      </w:r>
      <w:r w:rsidRPr="004538FF">
        <w:rPr>
          <w:rFonts w:ascii="Times New Roman" w:hAnsi="Times New Roman" w:cs="Times New Roman"/>
          <w:szCs w:val="24"/>
        </w:rPr>
        <w:t xml:space="preserve"> (SSRN Scholarly Paper No ID 3379441, Social Science Research Network, 29 April 2019) 3–4 &lt;https://papers.ssrn.com/abstract=3379441&gt;.</w:t>
      </w:r>
      <w:r w:rsidRPr="004538FF">
        <w:rPr>
          <w:rFonts w:ascii="Times New Roman" w:hAnsi="Times New Roman" w:cs="Times New Roman"/>
        </w:rPr>
        <w:fldChar w:fldCharType="end"/>
      </w:r>
    </w:p>
  </w:footnote>
  <w:footnote w:id="107">
    <w:p w14:paraId="1A718E71" w14:textId="1DE23AC4" w:rsidR="004538FF" w:rsidRPr="004538FF" w:rsidRDefault="004538FF" w:rsidP="00711C1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{"citationID":"Sk8kTmMT","properties":{"formattedCitation":"Sergot et al (n 11) 379\\uc0\\u8211{}380.","plainCitation":"Sergot et al (n 11) 379–380.","noteIndex":108},"citationItems":[{"id":46,"uris":["http://zotero.org/users/6782581/items/WIX843XU"],"uri":["http://zotero.org/users/6782581/items/WIX843XU"],"itemData":{"id":46,"type":"article-journal","container-title":"Communications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locator":"379-380"}],"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Sergot et al (n 11) 379–380.</w:t>
      </w:r>
      <w:r w:rsidRPr="004538FF">
        <w:rPr>
          <w:rFonts w:ascii="Times New Roman" w:hAnsi="Times New Roman" w:cs="Times New Roman"/>
        </w:rPr>
        <w:fldChar w:fldCharType="end"/>
      </w:r>
    </w:p>
  </w:footnote>
  <w:footnote w:id="108">
    <w:p w14:paraId="216D00AB" w14:textId="76320F51"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{"citationID":"DOOyIrPq","properties":{"formattedCitation":"Grant Jenks, {\\i{}Tribool: Three-Valued Logic Data Type.} (online at 29 September 2020) &lt;http://www.grantjenks.com/docs/tribool/&gt; (\\uc0\\u8216{}{\\i{}Tribool}\\uc0\\u8217{}).","plainCitation":"Grant Jenks, Tribool: Three-Valued Logic Data Type. (online at 29 September 2020) &lt;http://www.grantjenks.com/docs/tribool/&gt; (‘Tribool’).","noteIndex":109},"citationItems":[{"id":327,"uris":["http://zotero.org/users/6782581/items/Q8WUQHUE"],"uri":["http://zotero.org/users/6782581/items/Q8WUQHUE"],"itemData":{"id":327,"type":"book","genre":"Python","source":"PyPI","title":"tribool: Three-valued logic data type.","title-short":"tribool","URL":"http://www.grantjenks.com/docs/tribool/","version":"0.7.3","author":[{"family":"Jenks","given":"Grant"}],"accessed":{"date-parts":[["2020",9,29]]}}}],"schema":"https://github.com/citation-style-language/schema/raw/master/csl-citation.json"}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Grant Jenks, </w:t>
      </w:r>
      <w:r w:rsidRPr="004538FF">
        <w:rPr>
          <w:rFonts w:ascii="Times New Roman" w:hAnsi="Times New Roman" w:cs="Times New Roman"/>
          <w:i/>
          <w:iCs/>
          <w:szCs w:val="24"/>
        </w:rPr>
        <w:t>Tribool: Three-Valued Logic Data Type.</w:t>
      </w:r>
      <w:r w:rsidRPr="004538FF">
        <w:rPr>
          <w:rFonts w:ascii="Times New Roman" w:hAnsi="Times New Roman" w:cs="Times New Roman"/>
          <w:szCs w:val="24"/>
        </w:rPr>
        <w:t xml:space="preserve"> (online at 29 September 2020) &lt;http://www.grantjenks.com/docs/tribool/&gt; (‘</w:t>
      </w:r>
      <w:r w:rsidRPr="004538FF">
        <w:rPr>
          <w:rFonts w:ascii="Times New Roman" w:hAnsi="Times New Roman" w:cs="Times New Roman"/>
          <w:i/>
          <w:iCs/>
          <w:szCs w:val="24"/>
        </w:rPr>
        <w:t>Tribool</w:t>
      </w:r>
      <w:r w:rsidRPr="004538FF">
        <w:rPr>
          <w:rFonts w:ascii="Times New Roman" w:hAnsi="Times New Roman" w:cs="Times New Roman"/>
          <w:szCs w:val="24"/>
        </w:rPr>
        <w:t>’).</w:t>
      </w:r>
      <w:r w:rsidRPr="004538FF">
        <w:rPr>
          <w:rFonts w:ascii="Times New Roman" w:hAnsi="Times New Roman" w:cs="Times New Roman"/>
        </w:rPr>
        <w:fldChar w:fldCharType="end"/>
      </w:r>
    </w:p>
  </w:footnote>
  <w:footnote w:id="109">
    <w:p w14:paraId="117254ED" w14:textId="42654977" w:rsidR="004538FF" w:rsidRPr="004538FF" w:rsidRDefault="004538FF" w:rsidP="00711C1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{"citationID":"8aHyWgLR","properties":{"formattedCitation":"Jeff Connelly, \\uc0\\u8216{}Ternary Computing Testbed 3-Trit Computer Architecture\\uc0\\u8217{} (California Polytechnic State University of San Luis Obispo, 2008) 8, 58\\uc0\\u8211{}59 &lt;http://xyzzy.freeshell.org/trinary/CPE%20Report%20-%20Ternary%20Computing%20Testbed%20-%20RC6a.pdf&gt;.","plainCitation":"Jeff Connelly, ‘Ternary Computing Testbed 3-Trit Computer Architecture’ (California Polytechnic State University of San Luis Obispo, 2008) 8, 58–59 &lt;http://xyzzy.freeshell.org/trinary/CPE%20Report%20-%20Ternary%20Computing%20Testbed%20-%20RC6a.pdf&gt;.","noteIndex":110},"citationItems":[{"id":329,"uris":["http://zotero.org/users/6782581/items/REKMDKW3"],"uri":["http://zotero.org/users/6782581/items/REKMDKW3"],"itemData":{"id":329,"type":"thesis","publisher":"California Polytechnic State University of San Luis Obispo","title":"Ternary Computing Testbed 3-Trit Computer Architecture","URL":"http://xyzzy.freeshell.org/trinary/CPE%20Report%20-%20Ternary%20Computing%20Testbed%20-%20RC6a.pdf","author":[{"family":"Connelly","given":"Jeff"}],"accessed":{"date-parts":[["2020",9,29]]},"issued":{"date-parts":[["2008",8,29]]}},"locator":"8, 58-59"}],"schema":"https://github.com/citation-style-language/schema/raw/master/csl-citation.json"}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Jeff Connelly, ‘Ternary Computing Testbed 3-Trit Computer Architecture’ (California Polytechnic State University of San Luis Obispo, 2008) 8, 58–59 &lt;http://xyzzy.freeshell.org/trinary/CPE%20Report%20-%20Ternary%20Computing%20Testbed%20-%20RC6a.pdf&gt;.</w:t>
      </w:r>
      <w:r w:rsidRPr="004538FF">
        <w:rPr>
          <w:rFonts w:ascii="Times New Roman" w:hAnsi="Times New Roman" w:cs="Times New Roman"/>
        </w:rPr>
        <w:fldChar w:fldCharType="end"/>
      </w:r>
    </w:p>
  </w:footnote>
  <w:footnote w:id="110">
    <w:p w14:paraId="4A83DD2C" w14:textId="0A9A24AF"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{"citationID":"Wj4P0iTt","properties":{"formattedCitation":"Wolfram (n 8) 156\\uc0\\u8211{}159.","plainCitation":"Wolfram (n 8) 156–159.","noteIndex":111},"citationItems":[{"id":104,"uris":["http://zotero.org/users/6782581/items/28QHAVCI"],"uri":["http://zotero.org/users/6782581/items/28QHAVCI"],"itemData":{"id":104,"type":"chapter","container-title":"Ethics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Constitution","author":[{"family":"Wolfram","given":"Stephen"}],"issued":{"date-parts":[["2020"]]}},"locator":"156-159"}],"schema":"https://github.com/citation-style-language/schema/raw/master/csl-citation.json"}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Wolfram (n 8) 156–159.</w:t>
      </w:r>
      <w:r w:rsidRPr="004538FF">
        <w:rPr>
          <w:rFonts w:ascii="Times New Roman" w:hAnsi="Times New Roman" w:cs="Times New Roman"/>
        </w:rPr>
        <w:fldChar w:fldCharType="end"/>
      </w:r>
    </w:p>
  </w:footnote>
  <w:footnote w:id="111">
    <w:p w14:paraId="0786DEB9" w14:textId="2A5B5CE9"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{"citationID":"PHnpFy6Q","properties":{"formattedCitation":"Deb Armstrong, \\uc0\\u8216{}The Quarks of Object-Oriented Development\\uc0\\u8217{} (2006) 49(2) {\\i{}Communications of the ACM} 123, 123.","plainCitation":"Deb Armstrong, ‘The Quarks of Object-Oriented Development’ (2006) 49(2) Communications of the ACM 123, 123.","noteIndex":112},"citationItems":[{"id":331,"uris":["http://zotero.org/users/6782581/items/K6G6PWPW"],"uri":["http://zotero.org/users/6782581/items/K6G6PWPW"],"itemData":{"id":331,"type":"article-journal","container-title":"Communications of the ACM","DOI":"10.1145/1113034.1113040","issue":"2","journalAbbreviation":"Commun. ACM","page":"123-128","title":"The quarks of object-oriented development","volume":"49","author":[{"family":"Armstrong","given":"Deb"}],"issued":{"date-parts":[["2006",2,1]]}},"locator":"123"}],"schema":"https://github.com/citation-style-language/schema/raw/master/csl-citation.json"}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Deb Armstrong, ‘The Quarks of Object-Oriented Development’ (2006) 49(2) </w:t>
      </w:r>
      <w:r w:rsidRPr="004538FF">
        <w:rPr>
          <w:rFonts w:ascii="Times New Roman" w:hAnsi="Times New Roman" w:cs="Times New Roman"/>
          <w:i/>
          <w:iCs/>
          <w:szCs w:val="24"/>
        </w:rPr>
        <w:t>Communications of the ACM</w:t>
      </w:r>
      <w:r w:rsidRPr="004538FF">
        <w:rPr>
          <w:rFonts w:ascii="Times New Roman" w:hAnsi="Times New Roman" w:cs="Times New Roman"/>
          <w:szCs w:val="24"/>
        </w:rPr>
        <w:t xml:space="preserve"> 123, 123.</w:t>
      </w:r>
      <w:r w:rsidRPr="004538FF">
        <w:rPr>
          <w:rFonts w:ascii="Times New Roman" w:hAnsi="Times New Roman" w:cs="Times New Roman"/>
        </w:rPr>
        <w:fldChar w:fldCharType="end"/>
      </w:r>
    </w:p>
  </w:footnote>
  <w:footnote w:id="112">
    <w:p w14:paraId="2424314B" w14:textId="050931D1"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{"citationID":"aGMZ8i3W","properties":{"formattedCitation":"Ibid 123\\uc0\\u8211{}125; Stephen Morris, {\\i{}Object-Oriented Programming under Windows} (Elsevier Science &amp; Technology, 1994) 13, 15\\uc0\\u8211{}18, 20\\uc0\\u8211{}21 &lt;http://ebookcentral.proquest.com/lib/qut/detail.action?docID=1874406&gt;.","plainCitation":"Ibid 123–125; Stephen Morris, Object-Oriented Programming under Windows (Elsevier Science &amp; Technology, 1994) 13, 15–18, 20–21 &lt;http://ebookcentral.proquest.com/lib/qut/detail.action?docID=1874406&gt;.","noteIndex":113},"citationItems":[{"id":331,"uris":["http://zotero.org/users/6782581/items/K6G6PWPW"],"uri":["http://zotero.org/users/6782581/items/K6G6PWPW"],"itemData":{"id":331,"type":"article-journal","container-title":"Communications of the ACM","DOI":"10.1145/1113034.1113040","issue":"2","journalAbbreviation":"Commun. ACM","page":"123-128","title":"The quarks of object-oriented development","volume":"49","author":[{"family":"Armstrong","given":"Deb"}],"issued":{"date-parts":[["2006",2,1]]}},"locator":"123-125"},{"id":332,"uris":["http://zotero.org/users/6782581/items/SH9FVZ3B"],"uri":["http://zotero.org/users/6782581/items/SH9FVZ3B"],"itemData":{"id":332,"type":"book","event-place":"Kent, UNITED KINGDOM","ISBN":"978-1-4831-0419-5","publisher":"Elsevier Science &amp; Technology","publisher-place":"Kent, UNITED KINGDOM","source":"ProQuest Ebook Central","title":"Object-Oriented Programming under Windows","URL":"http://ebookcentral.proquest.com/lib/qut/detail.action?docID=1874406","author":[{"family":"Morris","given":"Stephen"}],"accessed":{"date-parts":[["2020",9,29]]},"issued":{"date-parts":[["1994"]]}},"locator":"13, 15-18, 20-21"}],"schema":"https://github.com/citation-style-language/schema/raw/master/csl-citation.json"}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Ibid 123–125; Stephen Morris, </w:t>
      </w:r>
      <w:r w:rsidRPr="004538FF">
        <w:rPr>
          <w:rFonts w:ascii="Times New Roman" w:hAnsi="Times New Roman" w:cs="Times New Roman"/>
          <w:i/>
          <w:iCs/>
          <w:szCs w:val="24"/>
        </w:rPr>
        <w:t>Object-Oriented Programming under Windows</w:t>
      </w:r>
      <w:r w:rsidRPr="004538FF">
        <w:rPr>
          <w:rFonts w:ascii="Times New Roman" w:hAnsi="Times New Roman" w:cs="Times New Roman"/>
          <w:szCs w:val="24"/>
        </w:rPr>
        <w:t xml:space="preserve"> (Elsevier Science &amp; Technology, 1994) 13, 15–18, 20–21 &lt;http://ebookcentral.proquest.com/lib/qut/detail.action?docID=1874406&gt;.</w:t>
      </w:r>
      <w:r w:rsidRPr="004538FF">
        <w:rPr>
          <w:rFonts w:ascii="Times New Roman" w:hAnsi="Times New Roman" w:cs="Times New Roman"/>
        </w:rPr>
        <w:fldChar w:fldCharType="end"/>
      </w:r>
    </w:p>
  </w:footnote>
  <w:footnote w:id="113">
    <w:p w14:paraId="37882E47" w14:textId="14179430" w:rsidR="004538FF" w:rsidRPr="004538FF" w:rsidRDefault="004538FF" w:rsidP="00593EC2">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{"citationID":"kwVv9Kip","properties":{"formattedCitation":"See Crawford et al (n 55) 228\\uc0\\u8211{}256.","plainCitation":"See Crawford et al (n 55) 228–256.","noteIndex":114},"citationItems":[{"id":325,"uris":["http://zotero.org/users/6782581/items/VSCWJLYJ"],"uri":["http://zotero.org/users/6782581/items/VSCWJLYJ"],"itemData":{"id":325,"type":"book","ISBN":"978-1-76002-152-8","language":"English","publisher":"Federation Press","source":"Amazon","title":"Public Law and Statutory Interpretation: Principles and Practice","title-short":"Public Law and Statutory Interpretation","author":[{"family":"Crawford","given":"Lisa"},{"family":"Boughey","given":"Janina"},{"family":"Castan","given":"Melissa"},{"family":"O'Sullivan","given":"Maria"}],"issued":{"date-parts":[["2017",10,30]]}},"locator":"228-256","prefix":"See"}],"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See Crawford et al (n 55) 228–256.</w:t>
      </w:r>
      <w:r w:rsidRPr="004538FF">
        <w:rPr>
          <w:rFonts w:ascii="Times New Roman" w:hAnsi="Times New Roman" w:cs="Times New Roman"/>
        </w:rPr>
        <w:fldChar w:fldCharType="end"/>
      </w:r>
    </w:p>
  </w:footnote>
  <w:footnote w:id="114">
    <w:p w14:paraId="4DDE19FE" w14:textId="724C7C04" w:rsidR="004538FF" w:rsidRPr="004538FF" w:rsidRDefault="004538FF" w:rsidP="00593EC2">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(1998) 194 CLR 355. Note, however, that the ‘modern approach to statutory interpretation’ as a term was first used a year prior by the High Court in </w:t>
      </w:r>
      <w:r w:rsidRPr="004538FF">
        <w:rPr>
          <w:rFonts w:ascii="Times New Roman" w:hAnsi="Times New Roman" w:cs="Times New Roman"/>
          <w:i/>
          <w:iCs/>
        </w:rPr>
        <w:t xml:space="preserve">CIC Insurance Ltd v Bankstown Football Club Ltd </w:t>
      </w:r>
      <w:r w:rsidRPr="004538FF">
        <w:rPr>
          <w:rFonts w:ascii="Times New Roman" w:hAnsi="Times New Roman" w:cs="Times New Roman"/>
        </w:rPr>
        <w:t>(1997) 187 CLR 384.</w:t>
      </w:r>
    </w:p>
  </w:footnote>
  <w:footnote w:id="115">
    <w:p w14:paraId="4D7B0123" w14:textId="63D07E23"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See, eg, </w:t>
      </w:r>
      <w:r w:rsidRPr="004538FF">
        <w:rPr>
          <w:rFonts w:ascii="Times New Roman" w:hAnsi="Times New Roman" w:cs="Times New Roman"/>
          <w:i/>
          <w:iCs/>
        </w:rPr>
        <w:t xml:space="preserve">Acts Interpretation Act 1901 </w:t>
      </w:r>
      <w:r w:rsidRPr="004538FF">
        <w:rPr>
          <w:rFonts w:ascii="Times New Roman" w:hAnsi="Times New Roman" w:cs="Times New Roman"/>
        </w:rPr>
        <w:t>(Cth) s 15AB.</w:t>
      </w:r>
    </w:p>
  </w:footnote>
  <w:footnote w:id="116">
    <w:p w14:paraId="63E94349" w14:textId="59F8C6C9"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 xml:space="preserve">Project Blue Sky v Australian Broadcasting Authority </w:t>
      </w:r>
      <w:r w:rsidRPr="004538FF">
        <w:rPr>
          <w:rFonts w:ascii="Times New Roman" w:hAnsi="Times New Roman" w:cs="Times New Roman"/>
        </w:rPr>
        <w:t xml:space="preserve">(1998) 194 CLR 355, 384; </w:t>
      </w:r>
      <w:r w:rsidRPr="004538FF">
        <w:rPr>
          <w:rFonts w:ascii="Times New Roman" w:hAnsi="Times New Roman" w:cs="Times New Roman"/>
          <w:i/>
          <w:iCs/>
        </w:rPr>
        <w:t xml:space="preserve">CIC Insurance Ltd v Bankstown Football Club Ltd </w:t>
      </w:r>
      <w:r w:rsidRPr="004538FF">
        <w:rPr>
          <w:rFonts w:ascii="Times New Roman" w:hAnsi="Times New Roman" w:cs="Times New Roman"/>
        </w:rPr>
        <w:t>(1997) 187 CLR 384, 408.</w:t>
      </w:r>
    </w:p>
  </w:footnote>
  <w:footnote w:id="117">
    <w:p w14:paraId="3C06603B" w14:textId="68A427D0"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{"citationID":"rChECtbD","properties":{"formattedCitation":"Answered through a custom made function, \\uc0\\u8216{}bool_input(string)\\uc0\\u8217{} which accepted inputs of \\uc0\\u8216{}1\\uc0\\u8217{}, \\uc0\\u8216{}0\\uc0\\u8217{}, or \\uc0\\u8216{}?\\uc0\\u8217{} for \\uc0\\u8216{}True/Yes\\uc0\\u8217{}, \\uc0\\u8216{}False/No\\uc0\\u8217{}, or \\uc0\\u8216{}Indeterminate\\uc0\\u8217{} respectively and was built upon the tribool software developed by Jenks (n 109).","plainCitation":"Answered through a custom made function, ‘bool_input(string)’ which accepted inputs of ‘1’, ‘0’, or ‘?’ for ‘True/Yes’, ‘False/No’, or ‘Indeterminate’ respectively and was built upon the tribool software developed by Jenks (n 109).","noteIndex":118},"citationItems":[{"id":327,"uris":["http://zotero.org/users/6782581/items/Q8WUQHUE"],"uri":["http://zotero.org/users/6782581/items/Q8WUQHUE"],"itemData":{"id":327,"type":"book","genre":"Python","source":"PyPI","title":"tribool: Three-valued logic data type.","title-short":"tribool","URL":"http://www.grantjenks.com/docs/tribool/","version":"0.7.3","author":[{"family":"Jenks","given":"Grant"}],"accessed":{"date-parts":[["2020",9,29]]}},"prefix":"Answered through a custom made function, ‘bool_input(string)’ which accepted inputs of ‘1’, ‘0’, or ‘?’ for ‘True/Yes’, ‘False/No’, or ‘Indeterminate’ respectively and was built upon the tribool software developed by"}],"schema":"https://github.com/citation-style-language/schema/raw/master/csl-citation.json"}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Answered through a custom made function, ‘bool_input(string)’ which accepted inputs of ‘1’, ‘0’, or ‘?’ for ‘True/Yes’, ‘False/No’, or ‘Indeterminate’ respectively and was built upon the tribool software developed by Jenks (n 109).</w:t>
      </w:r>
      <w:r w:rsidRPr="004538FF">
        <w:rPr>
          <w:rFonts w:ascii="Times New Roman" w:hAnsi="Times New Roman" w:cs="Times New Roman"/>
        </w:rPr>
        <w:fldChar w:fldCharType="end"/>
      </w:r>
    </w:p>
  </w:footnote>
  <w:footnote w:id="118">
    <w:p w14:paraId="50165105" w14:textId="5AA5A334"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{"citationID":"dhcc0DbN","properties":{"formattedCitation":"Parsed using Python\\uc0\\u8217{}s built-in datetime module: Python Software Foundation, \\uc0\\u8216{}Datetime \\uc0\\u8212{} Basic Date and Time Types\\uc0\\u8217{}, {\\i{}Python 3.8.6 documentation} (Documentation, 29 September 2020) &lt;https://docs.python.org/3/library/datetime.html&gt;.","plainCitation":"Parsed using Python’s built-in datetime module: Python Software Foundation, ‘Datetime — Basic Date and Time Types’, Python 3.8.6 documentation (Documentation, 29 September 2020) &lt;https://docs.python.org/3/library/datetime.html&gt;.","noteIndex":119},"citationItems":[{"id":338,"uris":["http://zotero.org/users/6782581/items/5CM9KEY5"],"uri":["http://zotero.org/users/6782581/items/5CM9KEY5"],"itemData":{"id":338,"type":"webpage","container-title":"Python 3.8.6 documentation","genre":"Documentation","title":"datetime — Basic date and time types","URL":"https://docs.python.org/3/library/datetime.html","author":[{"literal":"Python Software Foundation"}],"accessed":{"date-parts":[["2020",9,29]]},"issued":{"date-parts":[["2020",9,29]]}},"prefix":"Parsed using Python’s built-in datetime module:"}],"schema":"https://github.com/citation-style-language/schema/raw/master/csl-citation.json"}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Parsed using Python’s built-in datetime module: Python Software Foundation, ‘Datetime — Basic Date and Time Types’, </w:t>
      </w:r>
      <w:r w:rsidRPr="004538FF">
        <w:rPr>
          <w:rFonts w:ascii="Times New Roman" w:hAnsi="Times New Roman" w:cs="Times New Roman"/>
          <w:i/>
          <w:iCs/>
          <w:szCs w:val="24"/>
        </w:rPr>
        <w:t>Python 3.8.6 documentation</w:t>
      </w:r>
      <w:r w:rsidRPr="004538FF">
        <w:rPr>
          <w:rFonts w:ascii="Times New Roman" w:hAnsi="Times New Roman" w:cs="Times New Roman"/>
          <w:szCs w:val="24"/>
        </w:rPr>
        <w:t xml:space="preserve"> (Documentation, 29 September 2020) &lt;https://docs.python.org/3/library/datetime.html&gt;.</w:t>
      </w:r>
      <w:r w:rsidRPr="004538FF">
        <w:rPr>
          <w:rFonts w:ascii="Times New Roman" w:hAnsi="Times New Roman" w:cs="Times New Roman"/>
        </w:rPr>
        <w:fldChar w:fldCharType="end"/>
      </w:r>
    </w:p>
  </w:footnote>
  <w:footnote w:id="119">
    <w:p w14:paraId="6781CB7E" w14:textId="437FFF72"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For example, a credit limit without a preceding currency symbol, or contract term without a preceding unit of days. </w:t>
      </w:r>
    </w:p>
  </w:footnote>
  <w:footnote w:id="120">
    <w:p w14:paraId="1596BB63" w14:textId="44F6035A" w:rsidR="004538FF" w:rsidRPr="004538FF" w:rsidRDefault="004538FF">
      <w:pPr>
        <w:pStyle w:val="FootnoteText"/>
        <w:rPr>
          <w:rFonts w:ascii="Times New Roman" w:hAnsi="Times New Roman" w:cs="Times New Roman"/>
          <w:i/>
          <w:iCs/>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 xml:space="preserve">National Consumer Credit Protection Regulations 2010 </w:t>
      </w:r>
      <w:r w:rsidRPr="004538FF">
        <w:rPr>
          <w:rFonts w:ascii="Times New Roman" w:hAnsi="Times New Roman" w:cs="Times New Roman"/>
        </w:rPr>
        <w:t>(Cth)</w:t>
      </w:r>
    </w:p>
  </w:footnote>
  <w:footnote w:id="121">
    <w:p w14:paraId="224FD673" w14:textId="10685A3D"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 xml:space="preserve">National Consumer Credit Protection Act 2009 </w:t>
      </w:r>
      <w:r w:rsidRPr="004538FF">
        <w:rPr>
          <w:rFonts w:ascii="Times New Roman" w:hAnsi="Times New Roman" w:cs="Times New Roman"/>
        </w:rPr>
        <w:t>(Cth) s 133(5).</w:t>
      </w:r>
    </w:p>
  </w:footnote>
  <w:footnote w:id="122">
    <w:p w14:paraId="3A7136D3" w14:textId="0224395F"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Explanatory Memorandum, National Consumer Credit Protection Bill 2009 (Cth) 109-113.</w:t>
      </w:r>
    </w:p>
  </w:footnote>
  <w:footnote w:id="123">
    <w:p w14:paraId="0F0683BF" w14:textId="1A6B485B"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 xml:space="preserve">National Consumer Credit Protection Act 2009 </w:t>
      </w:r>
      <w:r w:rsidRPr="004538FF">
        <w:rPr>
          <w:rFonts w:ascii="Times New Roman" w:hAnsi="Times New Roman" w:cs="Times New Roman"/>
        </w:rPr>
        <w:t>(Cth) s 133(6)(a).</w:t>
      </w:r>
    </w:p>
  </w:footnote>
  <w:footnote w:id="124">
    <w:p w14:paraId="4AD4FFCF" w14:textId="2788765B"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Ibid s133(6)(b).</w:t>
      </w:r>
    </w:p>
  </w:footnote>
  <w:footnote w:id="125">
    <w:p w14:paraId="313D4BFC" w14:textId="05D5608B"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Ibid s133(6)(c).</w:t>
      </w:r>
    </w:p>
  </w:footnote>
  <w:footnote w:id="126">
    <w:p w14:paraId="4C998080" w14:textId="781AD0ED"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See, eg, Ibid ss 5 (definition of ‘person’), 14-15, 53(3).</w:t>
      </w:r>
    </w:p>
  </w:footnote>
  <w:footnote w:id="127">
    <w:p w14:paraId="5D48571E" w14:textId="534BF352"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 xml:space="preserve">Crimes Act 1914 </w:t>
      </w:r>
      <w:r w:rsidRPr="004538FF">
        <w:rPr>
          <w:rFonts w:ascii="Times New Roman" w:hAnsi="Times New Roman" w:cs="Times New Roman"/>
        </w:rPr>
        <w:t>(Cth) s 4B(2)</w:t>
      </w:r>
    </w:p>
  </w:footnote>
  <w:footnote w:id="128">
    <w:p w14:paraId="75837D0D" w14:textId="70BA1A76"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{"citationID":"X555ax23","properties":{"formattedCitation":"Explanatory Memorandum, Crimes Legislation Amendment Bill 1987 (Cth) 11. See also National Judicial College of Australia, \\uc0\\u8216{}Corporations\\uc0\\u8217{}, {\\i{}Commonwealth Sentencing Database} (Database) &lt;https://csd.njca.com.au/principles-practice/categories-of-federal-offenders/corporations2/&gt;.","plainCitation":"Explanatory Memorandum, Crimes Legislation Amendment Bill 1987 (Cth) 11. See also National Judicial College of Australia, ‘Corporations’, Commonwealth Sentencing Database (Database) &lt;https://csd.njca.com.au/principles-practice/categories-of-federal-offenders/corporations2/&gt;.","noteIndex":129},"citationItems":[{"id":340,"uris":["http://zotero.org/users/6782581/items/YPCWEI7F"],"uri":["http://zotero.org/users/6782581/items/YPCWEI7F"],"itemData":{"id":340,"type":"webpage","container-title":"Commonwealth Sentencing Database","genre":"Database","title":"Corporations","URL":"https://csd.njca.com.au/principles-practice/categories-of-federal-offenders/corporations2/","author":[{"literal":"National Judicial College of Australia"}],"accessed":{"date-parts":[["2020",10,1]]}},"prefix":"Explanatory Memorandum, Crimes Legislation Amendment Bill 1987 (Cth) 11. See also "}],"schema":"https://github.com/citation-style-language/schema/raw/master/csl-citation.json"}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Explanatory Memorandum, Crimes Legislation Amendment Bill 1987 (Cth) 11. See also National Judicial College of Australia, ‘Corporations’, </w:t>
      </w:r>
      <w:r w:rsidRPr="004538FF">
        <w:rPr>
          <w:rFonts w:ascii="Times New Roman" w:hAnsi="Times New Roman" w:cs="Times New Roman"/>
          <w:i/>
          <w:iCs/>
          <w:szCs w:val="24"/>
        </w:rPr>
        <w:t>Commonwealth Sentencing Database</w:t>
      </w:r>
      <w:r w:rsidRPr="004538FF">
        <w:rPr>
          <w:rFonts w:ascii="Times New Roman" w:hAnsi="Times New Roman" w:cs="Times New Roman"/>
          <w:szCs w:val="24"/>
        </w:rPr>
        <w:t xml:space="preserve"> (Database) &lt;https://csd.njca.com.au/principles-practice/categories-of-federal-offenders/corporations2/&gt;.</w:t>
      </w:r>
      <w:r w:rsidRPr="004538FF">
        <w:rPr>
          <w:rFonts w:ascii="Times New Roman" w:hAnsi="Times New Roman" w:cs="Times New Roman"/>
        </w:rPr>
        <w:fldChar w:fldCharType="end"/>
      </w:r>
      <w:r w:rsidRPr="004538FF">
        <w:rPr>
          <w:rFonts w:ascii="Times New Roman" w:hAnsi="Times New Roman" w:cs="Times New Roman"/>
        </w:rPr>
        <w:t xml:space="preserve"> See also Explanatory Memorandum, National Consumer Credit Protection Bill 2009 (Cth) 113. Though the reference here to 100 penalty units is outdated, it confirms that conversion is permissible.</w:t>
      </w:r>
    </w:p>
  </w:footnote>
  <w:footnote w:id="129">
    <w:p w14:paraId="646F0765" w14:textId="1DF0D1B2"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An assertion which is admittedly put forth absent any justification in the relevant explanatory memorandum or other extrinsic materials: Explanatory Memorandum, National Consumer Credit Protection Bill 2009 (Cth) 109-111.</w:t>
      </w:r>
    </w:p>
  </w:footnote>
  <w:footnote w:id="130">
    <w:p w14:paraId="07962701" w14:textId="67D346F9"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A similar dilemma is posed through the consideration that s130(c)’s imposed obligation to verify a consumer’s financial situation could presumably only arise on the condition that the licensee has met their s130(b) obligation to inquire about the consumer’s financial situation. </w:t>
      </w:r>
    </w:p>
  </w:footnote>
  <w:footnote w:id="131">
    <w:p w14:paraId="666C8445" w14:textId="3753E2D3"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[2014] FCA 926.</w:t>
      </w:r>
    </w:p>
  </w:footnote>
  <w:footnote w:id="132">
    <w:p w14:paraId="5A42DF6B" w14:textId="6FA53D71"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 xml:space="preserve">Australian Securities and Investments Commission v Cash Store Pty Ltd (in liquidation) </w:t>
      </w:r>
      <w:r w:rsidRPr="004538FF">
        <w:rPr>
          <w:rFonts w:ascii="Times New Roman" w:hAnsi="Times New Roman" w:cs="Times New Roman"/>
        </w:rPr>
        <w:t>[2014] FCA 926, [69], 75.</w:t>
      </w:r>
    </w:p>
  </w:footnote>
  <w:footnote w:id="133">
    <w:p w14:paraId="0CE12CE5" w14:textId="04F12EA4"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For the purposes of, for example, the s130(1) inquiries obligations.</w:t>
      </w:r>
    </w:p>
  </w:footnote>
  <w:footnote w:id="134">
    <w:p w14:paraId="45B7B4E5" w14:textId="5EDBCB69"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Such as, for example, the considerations raised at Australian Securities &amp; Investments Commission, Regulatory Guide 209: Credit Licensing: Responsible Lending Conduct r 58.</w:t>
      </w:r>
    </w:p>
  </w:footnote>
  <w:footnote w:id="135">
    <w:p w14:paraId="7E862027" w14:textId="41A2614C"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See, eg, Bengio (n 29).</w:t>
      </w:r>
    </w:p>
  </w:footnote>
  <w:footnote w:id="136">
    <w:p w14:paraId="2640D3C9" w14:textId="25CCE187"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{"citationID":"qT1RY1Gl","properties":{"formattedCitation":"See, eg, Donald L Schomer and Fernando H Lopes da Silva, {\\i{}Niedermeyer\\uc0\\u8217{}s Electroencephalography: Basic Principles, Clinical Applications, and Related Fields} (Lippincott Williams &amp; Wilkins, 6th ed, 2010); Mauricio J Giuliodori and Gustavo Zuccolilli, \\uc0\\u8216{}Postsynaptic Potential Summation and Action Potential Initiation: Function Following Form\\uc0\\u8217{} (2004) 28(2) {\\i{}Advances in Physiology Education} 79.","plainCitation":"See, eg, Donald L Schomer and Fernando H Lopes da Silva, Niedermeyer’s Electroencephalography: Basic Principles, Clinical Applications, and Related Fields (Lippincott Williams &amp; Wilkins, 6th ed, 2010); Mauricio J Giuliodori and Gustavo Zuccolilli, ‘Postsynaptic Potential Summation and Action Potential Initiation: Function Following Form’ (2004) 28(2) Advances in Physiology Education 79.","noteIndex":137},"citationItems":[{"id":152,"uris":["http://zotero.org/users/6782581/items/PS4YDNI5"],"uri":["http://zotero.org/users/6782581/items/PS4YDNI5"],"itemData":{"id":152,"type":"book","abstract":"\"Niedermeyer's Electroencephalography\" published on  by Oxford University Press.","edition":"6th","ISBN":"978-0-19-022851-4","language":"en_US","publisher":"Lippincott Williams &amp; Wilkins","title":"Niedermeyer's Electroencephalography: Basic Principles, Clinical Applications, and Related Fields","author":[{"family":"Schomer","given":"Donald L."},{"family":"Lopes da Silva","given":"Fernando H."}],"accessed":{"date-parts":[["2020",8,27]]},"issued":{"date-parts":[["2010",12,22]]}},"prefix":"See, eg, "},{"id":158,"uris":["http://zotero.org/users/6782581/items/UWVYEUD5"],"uri":["http://zotero.org/users/6782581/items/UWVYEUD5"],"itemData":{"id":158,"type":"article-journal","container-title":"Advances in Physiology Education","DOI":"10.1152/advan.00051.2003","ISSN":"1043-4046","issue":"2","journalAbbreviation":"Advances in Physiology Education","note":"publisher: American Physiological Society","page":"79-80","source":"journals.physiology.org (Atypon)","title":"Postsynaptic potential summation and action potential initiation: function following form","volume":"28","author":[{"family":"Giuliodori","given":"Mauricio J."},{"family":"Zuccolilli","given":"Gustavo"}],"issued":{"date-parts":[["2004",6,1]]}}}],"schema":"https://github.com/citation-style-language/schema/raw/master/csl-citation.json"}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See, eg, Donald L Schomer and Fernando H Lopes da Silva, </w:t>
      </w:r>
      <w:r w:rsidRPr="004538FF">
        <w:rPr>
          <w:rFonts w:ascii="Times New Roman" w:hAnsi="Times New Roman" w:cs="Times New Roman"/>
          <w:i/>
          <w:iCs/>
          <w:szCs w:val="24"/>
        </w:rPr>
        <w:t>Niedermeyer’s Electroencephalography: Basic Principles, Clinical Applications, and Related Fields</w:t>
      </w:r>
      <w:r w:rsidRPr="004538FF">
        <w:rPr>
          <w:rFonts w:ascii="Times New Roman" w:hAnsi="Times New Roman" w:cs="Times New Roman"/>
          <w:szCs w:val="24"/>
        </w:rPr>
        <w:t xml:space="preserve"> (Lippincott Williams &amp; Wilkins, 6th ed, 2010); Mauricio J Giuliodori and Gustavo Zuccolilli, ‘Postsynaptic Potential Summation and Action Potential Initiation: Function Following Form’ (2004) 28(2) </w:t>
      </w:r>
      <w:r w:rsidRPr="004538FF">
        <w:rPr>
          <w:rFonts w:ascii="Times New Roman" w:hAnsi="Times New Roman" w:cs="Times New Roman"/>
          <w:i/>
          <w:iCs/>
          <w:szCs w:val="24"/>
        </w:rPr>
        <w:t>Advances in Physiology Education</w:t>
      </w:r>
      <w:r w:rsidRPr="004538FF">
        <w:rPr>
          <w:rFonts w:ascii="Times New Roman" w:hAnsi="Times New Roman" w:cs="Times New Roman"/>
          <w:szCs w:val="24"/>
        </w:rPr>
        <w:t xml:space="preserve"> 79.</w:t>
      </w:r>
      <w:r w:rsidRPr="004538FF">
        <w:rPr>
          <w:rFonts w:ascii="Times New Roman" w:hAnsi="Times New Roman" w:cs="Times New Roman"/>
        </w:rPr>
        <w:fldChar w:fldCharType="end"/>
      </w:r>
      <w:r w:rsidRPr="004538FF">
        <w:rPr>
          <w:rFonts w:ascii="Times New Roman" w:hAnsi="Times New Roman" w:cs="Times New Roman"/>
        </w:rPr>
        <w:t xml:space="preserve"> </w:t>
      </w:r>
    </w:p>
  </w:footnote>
  <w:footnote w:id="137">
    <w:p w14:paraId="38981861" w14:textId="77FCB9C9"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{"citationID":"er5pEtop","properties":{"formattedCitation":"See, eg, Daniel Pi, Francesco Parisi and Barbara Luppi, {\\i{}Quantifying Reasonable Doubt} (SSRN Scholarly Paper No ID 3226479, Social Science Research Network, 5 August 2018) &lt;https://papers.ssrn.com/abstract=3226479&gt;; Jon O Newman, \\uc0\\u8216{}Quantifying the Standard of Proof beyond a Reasonable Doubt: A Comment on Three Comments\\uc0\\u8217{} (2006) 5(3\\uc0\\u8211{}4) {\\i{}Law, Probability and Risk} 267 (\\uc0\\u8216{}Quantifying the Standard of Proof beyond a Reasonable Doubt\\uc0\\u8217{}); Harry Saunders, \\uc0\\u8216{}Quantifying Reasonable Doubt: A Proposed Solution to an Equal Protection Problem\\uc0\\u8217{} [2005] {\\i{}bepress Legal Series} &lt;https://law.bepress.com/expresso/eps/881&gt; (\\uc0\\u8216{}Quantifying Reasonable Doubt\\uc0\\u8217{}); James Franklin, \\uc0\\u8216{}Case Comment\\uc0\\u8212{}United States v. Copeland, 369 F. Supp. 2d 275 (E.D.N.Y. 2005): Quantification of the \\uc0\\u8220{}Proof beyond Reasonable Doubt\\uc0\\u8221{} Standard\\uc0\\u8217{} (2006) 5(2) {\\i{}Law, Probability and Risk} 159 (\\uc0\\u8216{}Case Comment\\uc0\\u8212{}United States v. Copeland, 369 F. Supp. 2d 275 (E.D.N.Y. 2005)\\uc0\\u8217{}). See also Erica Goldberg, \\uc0\\u8216{}Getting beyond Intuition in the Probable Cause Inquiry\\uc0\\u8217{} (2013) 17 {\\i{}Lewis &amp; Clark Law Review} 789.","plainCitation":"See, eg, Daniel Pi, Francesco Parisi and Barbara Luppi, Quantifying Reasonable Doubt (SSRN Scholarly Paper No ID 3226479, Social Science Research Network, 5 August 2018) &lt;https://papers.ssrn.com/abstract=3226479&gt;; Jon O Newman, ‘Quantifying the Standard of Proof beyond a Reasonable Doubt: A Comment on Three Comments’ (2006) 5(3–4) Law, Probability and Risk 267 (‘Quantifying the Standard of Proof beyond a Reasonable Doubt’); Harry Saunders, ‘Quantifying Reasonable Doubt: A Proposed Solution to an Equal Protection Problem’ [2005] bepress Legal Series &lt;https://law.bepress.com/expresso/eps/881&gt; (‘Quantifying Reasonable Doubt’); James Franklin, ‘Case Comment—United States v. Copeland, 369 F. Supp. 2d 275 (E.D.N.Y. 2005): Quantification of the “Proof beyond Reasonable Doubt” Standard’ (2006) 5(2) Law, Probability and Risk 159 (‘Case Comment—United States v. Copeland, 369 F. Supp. 2d 275 (E.D.N.Y. 2005)’). See also Erica Goldberg, ‘Getting beyond Intuition in the Probable Cause Inquiry’ (2013) 17 Lewis &amp; Clark Law Review 789.","noteIndex":138},"citationItems":[{"id":378,"uris":["http://zotero.org/users/6782581/items/7G4NFII9"],"uri":["http://zotero.org/users/6782581/items/7G4NFII9"],"itemData":{"id":378,"type":"report","abstract":"This article contributes in three ways to the prior literature on the reasonable doubt standard. First, it synthesizes the insular strands of historical, economic, jurisprudential, and doctrinal scholarship on reasonable doubt. Second, it advances a conception of the criminal standard of proof designed to avoid the various problems affecting earlier attempts to devise meaningful definitions of reasonable doubt. The definition proposed is that “reasonable doubt” be the standard of proof which minimizes the aggregate subjective expected social cost of false conviction and false acquittal. Judicial pronouncements of Blackstonian ratios (for example, that it is better that ten guilty go free than one innocent be convicted) are interpreted as judicial estimates of these variables, from which efficient reasonable doubt standards may be calculated. It is urged that courts adopt the precise numerical measures of certainty in jury instructions (for example, that a juror should only vote to convict if he is more than x% certain of the defendant’s guilt). Judicial pronouncements of Blackstonian ratios are collected from the caselaw of all fifty states and federal courts to encourage practitioners to test the refined conception in their jurisdiction.","event-place":"Rochester, NY","genre":"SSRN Scholarly Paper","language":"en","note":"DOI: 10.2139/ssrn.3226479","number":"ID 3226479","publisher":"Social Science Research Network","publisher-place":"Rochester, NY","source":"papers.ssrn.com","title":"Quantifying Reasonable Doubt","URL":"https://papers.ssrn.com/abstract=3226479","author":[{"family":"Pi","given":"Daniel"},{"family":"Parisi","given":"Francesco"},{"family":"Luppi","given":"Barbara"}],"accessed":{"date-parts":[["2020",10,14]]},"issued":{"date-parts":[["2018",8,5]]}},"prefix":"See, eg, "},{"id":388,"uris":["http://zotero.org/users/6782581/items/CAH4ZWTN"],"uri":["http://zotero.org/users/6782581/items/CAH4ZWTN"],"itemData":{"id":388,"type":"article-journal","abstract":"Jon O. Newman;  Quantifying the standard of proof beyond a reasonable doubt: a comment on three comments, Law, Probability and Risk, Volume 5, Issue 3-4, 1 Sept","container-title":"Law, Probability and Risk","DOI":"10.1093/lpr/mgm010","ISSN":"1470-8396","issue":"3-4","journalAbbreviation":"Law Probab Risk","language":"en","note":"publisher: Oxford Academic","page":"267-269","source":"academic.oup.com","title":"Quantifying the standard of proof beyond a reasonable doubt: a comment on three comments","title-short":"Quantifying the standard of proof beyond a reasonable doubt","volume":"5","author":[{"family":"Newman","given":"Jon O."}],"issued":{"date-parts":[["2006",9,1]]}}},{"id":376,"uris":["http://zotero.org/users/6782581/items/95V6VQZZ"],"uri":["http://zotero.org/users/6782581/items/95V6VQZZ"],"itemData":{"id":376,"type":"article-journal","container-title":"bepress Legal Series","title":"Quantifying Reasonable Doubt: A Proposed Solution to an Equal Protection Problem","title-short":"Quantifying Reasonable Doubt","URL":"https://law.bepress.com/expresso/eps/881","author":[{"family":"Saunders","given":"Harry"}],"issued":{"date-parts":[["2005",12,7]]}}},{"id":381,"uris":["http://zotero.org/users/6782581/items/QGZFSWTJ"],"uri":["http://zotero.org/users/6782581/items/QGZFSWTJ"],"itemData":{"id":381,"type":"article-journal","abstract":"Abstract.  There are many reasons for objecting to quantifying the ‘proof beyond reasonable doubt’ standard of criminal law as a percentage probability. They ar","container-title":"Law, Probability and Risk","DOI":"10.1093/lpr/mgl017","ISSN":"1470-8396","issue":"2","journalAbbreviation":"Law Probab Risk","language":"en","note":"publisher: Oxford Academic","page":"159-165","source":"academic.oup.com","title":"Case comment—United States v. Copeland, 369 F. Supp. 2d 275 (E.D.N.Y. 2005): quantification of the ‘proof beyond reasonable doubt’ standard","title-short":"Case comment—United States v. Copeland, 369 F. Supp. 2d 275 (E.D.N.Y. 2005)","volume":"5","author":[{"family":"Franklin","given":"James"}],"issued":{"date-parts":[["2006",6,1]]}},"suffix":"."},{"id":380,"uris":["http://zotero.org/users/6782581/items/UC2IKVB6"],"uri":["http://zotero.org/users/6782581/items/UC2IKVB6"],"itemData":{"id":380,"type":"article-journal","container-title":"Lewis &amp; Clark Law Review","journalAbbreviation":"Lewis &amp; Clark L. Rev.","page":"789","title":"Getting beyond Intuition in the Probable Cause Inquiry","volume":"17","author":[{"family":"Goldberg","given":"Erica"}],"issued":{"date-parts":[["2013"]]}},"prefix":"See also "}],"schema":"https://github.com/citation-style-language/schema/raw/master/csl-citation.json"}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See, eg, Daniel Pi, Francesco Parisi and Barbara Luppi, </w:t>
      </w:r>
      <w:r w:rsidRPr="004538FF">
        <w:rPr>
          <w:rFonts w:ascii="Times New Roman" w:hAnsi="Times New Roman" w:cs="Times New Roman"/>
          <w:i/>
          <w:iCs/>
          <w:szCs w:val="24"/>
        </w:rPr>
        <w:t>Quantifying Reasonable Doubt</w:t>
      </w:r>
      <w:r w:rsidRPr="004538FF">
        <w:rPr>
          <w:rFonts w:ascii="Times New Roman" w:hAnsi="Times New Roman" w:cs="Times New Roman"/>
          <w:szCs w:val="24"/>
        </w:rPr>
        <w:t xml:space="preserve"> (SSRN Scholarly Paper No ID 3226479, Social Science Research Network, 5 August 2018) &lt;https://papers.ssrn.com/abstract=3226479&gt;; Jon O Newman, ‘Quantifying the Standard of Proof beyond a Reasonable Doubt: A Comment on Three Comments’ (2006) 5(3–4) </w:t>
      </w:r>
      <w:r w:rsidRPr="004538FF">
        <w:rPr>
          <w:rFonts w:ascii="Times New Roman" w:hAnsi="Times New Roman" w:cs="Times New Roman"/>
          <w:i/>
          <w:iCs/>
          <w:szCs w:val="24"/>
        </w:rPr>
        <w:t>Law, Probability and Risk</w:t>
      </w:r>
      <w:r w:rsidRPr="004538FF">
        <w:rPr>
          <w:rFonts w:ascii="Times New Roman" w:hAnsi="Times New Roman" w:cs="Times New Roman"/>
          <w:szCs w:val="24"/>
        </w:rPr>
        <w:t xml:space="preserve"> 267 (‘Quantifying the Standard of Proof beyond a Reasonable Doubt’); Harry Saunders, ‘Quantifying Reasonable Doubt: A Proposed Solution to an Equal Protection Problem’ [2005] </w:t>
      </w:r>
      <w:r w:rsidRPr="004538FF">
        <w:rPr>
          <w:rFonts w:ascii="Times New Roman" w:hAnsi="Times New Roman" w:cs="Times New Roman"/>
          <w:i/>
          <w:iCs/>
          <w:szCs w:val="24"/>
        </w:rPr>
        <w:t>bepress Legal Series</w:t>
      </w:r>
      <w:r w:rsidRPr="004538FF">
        <w:rPr>
          <w:rFonts w:ascii="Times New Roman" w:hAnsi="Times New Roman" w:cs="Times New Roman"/>
          <w:szCs w:val="24"/>
        </w:rPr>
        <w:t xml:space="preserve"> &lt;https://law.bepress.com/expresso/eps/881&gt; (‘Quantifying Reasonable Doubt’); James Franklin, ‘Case Comment—United States v. Copeland, 369 F. Supp. 2d 275 (E.D.N.Y. 2005): Quantification of the “Proof beyond Reasonable Doubt” Standard’ (2006) 5(2) </w:t>
      </w:r>
      <w:r w:rsidRPr="004538FF">
        <w:rPr>
          <w:rFonts w:ascii="Times New Roman" w:hAnsi="Times New Roman" w:cs="Times New Roman"/>
          <w:i/>
          <w:iCs/>
          <w:szCs w:val="24"/>
        </w:rPr>
        <w:t>Law, Probability and Risk</w:t>
      </w:r>
      <w:r w:rsidRPr="004538FF">
        <w:rPr>
          <w:rFonts w:ascii="Times New Roman" w:hAnsi="Times New Roman" w:cs="Times New Roman"/>
          <w:szCs w:val="24"/>
        </w:rPr>
        <w:t xml:space="preserve"> 159 (‘Case Comment—United States v. Copeland, 369 F. Supp. 2d 275 (E.D.N.Y. 2005)’). See also Erica Goldberg, ‘Getting beyond Intuition in the Probable Cause Inquiry’ (2013) 17 </w:t>
      </w:r>
      <w:r w:rsidRPr="004538FF">
        <w:rPr>
          <w:rFonts w:ascii="Times New Roman" w:hAnsi="Times New Roman" w:cs="Times New Roman"/>
          <w:i/>
          <w:iCs/>
          <w:szCs w:val="24"/>
        </w:rPr>
        <w:t>Lewis &amp; Clark Law Review</w:t>
      </w:r>
      <w:r w:rsidRPr="004538FF">
        <w:rPr>
          <w:rFonts w:ascii="Times New Roman" w:hAnsi="Times New Roman" w:cs="Times New Roman"/>
          <w:szCs w:val="24"/>
        </w:rPr>
        <w:t xml:space="preserve"> 789.</w:t>
      </w:r>
      <w:r w:rsidRPr="004538FF">
        <w:rPr>
          <w:rFonts w:ascii="Times New Roman" w:hAnsi="Times New Roman" w:cs="Times New Roman"/>
        </w:rPr>
        <w:fldChar w:fldCharType="end"/>
      </w:r>
    </w:p>
  </w:footnote>
  <w:footnote w:id="138">
    <w:p w14:paraId="44E4FC59" w14:textId="3FA67917"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369 F. Supp. 2d 275, 286 (EDNY 2005); Cf </w:t>
      </w:r>
      <w:r w:rsidRPr="004538FF">
        <w:rPr>
          <w:rFonts w:ascii="Times New Roman" w:hAnsi="Times New Roman" w:cs="Times New Roman"/>
          <w:i/>
          <w:iCs/>
        </w:rPr>
        <w:t xml:space="preserve">Commonwealth v Rosa </w:t>
      </w:r>
      <w:r w:rsidRPr="004538FF">
        <w:rPr>
          <w:rFonts w:ascii="Times New Roman" w:hAnsi="Times New Roman" w:cs="Times New Roman"/>
        </w:rPr>
        <w:t xml:space="preserve">661 NE 2d 56, 63 (1996); </w:t>
      </w:r>
      <w:r w:rsidRPr="004538FF">
        <w:rPr>
          <w:rFonts w:ascii="Times New Roman" w:hAnsi="Times New Roman" w:cs="Times New Roman"/>
          <w:i/>
          <w:iCs/>
        </w:rPr>
        <w:t xml:space="preserve">Wilson v Maryland </w:t>
      </w:r>
      <w:r w:rsidRPr="004538FF">
        <w:rPr>
          <w:rFonts w:ascii="Times New Roman" w:hAnsi="Times New Roman" w:cs="Times New Roman"/>
        </w:rPr>
        <w:t>370 Md. 191, 214.</w:t>
      </w:r>
    </w:p>
  </w:footnote>
  <w:footnote w:id="139">
    <w:p w14:paraId="19F32B5E" w14:textId="346E0FD2"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{"citationID":"rFBqNobK","properties":{"formattedCitation":"See, eg, Mandeep K Dhami, \\uc0\\u8216{}On Measuring Quantitative Interpretations of Reasonable Doubt\\uc0\\u8217{} (2008) 14(4) {\\i{}Journal of Experimental Psychology. Applied} 353, 361\\uc0\\u8211{}362.","plainCitation":"See, eg, Mandeep K Dhami, ‘On Measuring Quantitative Interpretations of Reasonable Doubt’ (2008) 14(4) Journal of Experimental Psychology. Applied 353, 361–362.","noteIndex":140},"citationItems":[{"id":621,"uris":["http://zotero.org/users/6782581/items/GEWM6VJX"],"uri":["http://zotero.org/users/6782581/items/GEWM6VJX"],"itemData":{"id":621,"type":"article-journal","abstract":"Beyond reasonable doubt represents a probability value that acts as the criterion for conviction in criminal trials. I introduce the membership function (MF) method as a new tool for measuring quantitative interpretations of reasonable doubt. Experiment 1 demonstrated that three different methods (i.e., direct rating, decision theory based, and MF) provided significantly different and uncorrelated interpretations of reasonable doubt, although all methods predicted verdicts equally well, and showed inter-individual variability in interpretations. In Experiment 2 only the direct rating method demonstrated a significant effect of judicial instructions on reasonable doubt. In both experiments, the MF method showed intra-individual variability in interpretations of reasonable doubt. The methods may be capturing different aspects of the concept of reasonable doubt. These findings have implications for the validity of past research findings on reasonable doubt and for the utility of triangulation of methods in future research.","container-title":"Journal of Experimental Psychology. Applied","DOI":"10.1037/a0013344","ISSN":"1076-898X","issue":"4","journalAbbreviation":"J Exp Psychol Appl","language":"eng","note":"PMID: 19102618","page":"353-363","source":"PubMed","title":"On measuring quantitative interpretations of reasonable doubt","volume":"14","author":[{"family":"Dhami","given":"Mandeep K."}],"issued":{"date-parts":[["2008",12]]}},"locator":"361-362","prefix":"See, eg, "}],"schema":"https://github.com/citation-style-language/schema/raw/master/csl-citation.json"}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See, eg, Mandeep K Dhami, ‘On Measuring Quantitative Interpretations of Reasonable Doubt’ (2008) 14(4) </w:t>
      </w:r>
      <w:r w:rsidRPr="004538FF">
        <w:rPr>
          <w:rFonts w:ascii="Times New Roman" w:hAnsi="Times New Roman" w:cs="Times New Roman"/>
          <w:i/>
          <w:iCs/>
          <w:szCs w:val="24"/>
        </w:rPr>
        <w:t>Journal of Experimental Psychology. Applied</w:t>
      </w:r>
      <w:r w:rsidRPr="004538FF">
        <w:rPr>
          <w:rFonts w:ascii="Times New Roman" w:hAnsi="Times New Roman" w:cs="Times New Roman"/>
          <w:szCs w:val="24"/>
        </w:rPr>
        <w:t xml:space="preserve"> 353, 361–362.</w:t>
      </w:r>
      <w:r w:rsidRPr="004538FF">
        <w:rPr>
          <w:rFonts w:ascii="Times New Roman" w:hAnsi="Times New Roman" w:cs="Times New Roman"/>
        </w:rPr>
        <w:fldChar w:fldCharType="end"/>
      </w:r>
    </w:p>
  </w:footnote>
  <w:footnote w:id="140">
    <w:p w14:paraId="0EAA4F27" w14:textId="26A20666"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See supra Section II.</w:t>
      </w:r>
    </w:p>
  </w:footnote>
  <w:footnote w:id="141">
    <w:p w14:paraId="3D9D16F9" w14:textId="77777777" w:rsidR="004538FF" w:rsidRPr="004538FF" w:rsidRDefault="004538FF" w:rsidP="001C300E">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Australian Securities and Investments Commission v Westpac Banking Corporation</w:t>
      </w:r>
      <w:r w:rsidRPr="004538FF">
        <w:rPr>
          <w:rFonts w:ascii="Times New Roman" w:hAnsi="Times New Roman" w:cs="Times New Roman"/>
        </w:rPr>
        <w:t xml:space="preserve"> (2020) 380 ALR 262, 296.</w:t>
      </w:r>
    </w:p>
  </w:footnote>
  <w:footnote w:id="142">
    <w:p w14:paraId="485B07E5" w14:textId="4DE43AAE"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The possibilities and consequences of which are hypothesised in the following section.</w:t>
      </w:r>
    </w:p>
  </w:footnote>
  <w:footnote w:id="143">
    <w:p w14:paraId="2A237B86" w14:textId="12FE6BC7" w:rsidR="004538FF" w:rsidRPr="004538FF" w:rsidRDefault="004538FF" w:rsidP="00577AE0">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{"citationID":"nrfyoskV","properties":{"formattedCitation":"Lawrence Solan, \\uc0\\u8216{}The Interpretation of Multilingual Statutes by the European Court of Justice\\uc0\\u8217{} (2009) 34(2) {\\i{}Brooklyn Journal of International Law} 277.","plainCitation":"Lawrence Solan, ‘The Interpretation of Multilingual Statutes by the European Court of Justice’ (2009) 34(2) Brooklyn Journal of International Law 277.","noteIndex":144},"citationItems":[{"id":311,"uris":["http://zotero.org/users/6782581/items/R7EJGYUG"],"uri":["http://zotero.org/users/6782581/items/R7EJGYUG"],"itemData":{"id":311,"type":"article-journal","container-title":"Brooklyn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Lawrence Solan, ‘The Interpretation of Multilingual Statutes by the European Court of Justice’ (2009) 34(2) </w:t>
      </w:r>
      <w:r w:rsidRPr="004538FF">
        <w:rPr>
          <w:rFonts w:ascii="Times New Roman" w:hAnsi="Times New Roman" w:cs="Times New Roman"/>
          <w:i/>
          <w:iCs/>
          <w:szCs w:val="24"/>
        </w:rPr>
        <w:t>Brooklyn Journal of International Law</w:t>
      </w:r>
      <w:r w:rsidRPr="004538FF">
        <w:rPr>
          <w:rFonts w:ascii="Times New Roman" w:hAnsi="Times New Roman" w:cs="Times New Roman"/>
          <w:szCs w:val="24"/>
        </w:rPr>
        <w:t xml:space="preserve"> 277.</w:t>
      </w:r>
      <w:r w:rsidRPr="004538FF">
        <w:rPr>
          <w:rFonts w:ascii="Times New Roman" w:hAnsi="Times New Roman" w:cs="Times New Roman"/>
        </w:rPr>
        <w:fldChar w:fldCharType="end"/>
      </w:r>
    </w:p>
  </w:footnote>
  <w:footnote w:id="144">
    <w:p w14:paraId="2E467D13" w14:textId="1A1758E5" w:rsidR="004538FF" w:rsidRPr="004538FF" w:rsidRDefault="004538FF" w:rsidP="00577AE0">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{"citationID":"8SYBgzcx","properties":{"formattedCitation":"Ibid 279\\uc0\\u8211{}280.","plainCitation":"Ibid 279–280.","noteIndex":145},"citationItems":[{"id":311,"uris":["http://zotero.org/users/6782581/items/R7EJGYUG"],"uri":["http://zotero.org/users/6782581/items/R7EJGYUG"],"itemData":{"id":311,"type":"article-journal","container-title":"Brooklyn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Justice","volume":"34","author":[{"family":"Solan","given":"Lawrence"}],"issued":{"date-parts":[["2009"]]}},"locator":"279-280"}],"schema":"https://github.com/citation-style-language/schema/raw/master/csl-citation.json"}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Ibid 279–280.</w:t>
      </w:r>
      <w:r w:rsidRPr="004538FF">
        <w:rPr>
          <w:rFonts w:ascii="Times New Roman" w:hAnsi="Times New Roman" w:cs="Times New Roman"/>
        </w:rPr>
        <w:fldChar w:fldCharType="end"/>
      </w:r>
    </w:p>
  </w:footnote>
  <w:footnote w:id="145">
    <w:p w14:paraId="613920FC" w14:textId="55A8144B" w:rsidR="004538FF" w:rsidRPr="004538FF" w:rsidRDefault="004538FF" w:rsidP="00577AE0">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 xml:space="preserve">Skatteministeriet v Aktieselskabet Forsikrinsselskabet Codan </w:t>
      </w:r>
      <w:r w:rsidRPr="004538FF">
        <w:rPr>
          <w:rFonts w:ascii="Times New Roman" w:hAnsi="Times New Roman" w:cs="Times New Roman"/>
        </w:rPr>
        <w:t xml:space="preserve">(C-236/97) [1998] ECR I-8679. </w:t>
      </w:r>
    </w:p>
  </w:footnote>
  <w:footnote w:id="146">
    <w:p w14:paraId="732C7A99" w14:textId="20CEF5BF"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{"citationID":"6Gq8ynS8","properties":{"formattedCitation":"Australasian Legal Information Institute (n 106).","plainCitation":"Australasian Legal Information Institute (n 106).","noteIndex":147},"citationItems":[{"id":312,"uris":["http://zotero.org/users/6782581/items/497U4952"],"uri":["http://zotero.org/users/6782581/items/497U4952"],"itemData":{"id":312,"type":"webpage","container-title":"DataLex","title":"DataLex Consultation: ElectKB","URL":"http://beta.datalex.org/app/consultation?rulebase=http%3A%2F%2Faustlii.community%2Ffoswiki%2FDataLex%2FElectKB","author":[{"literal":"Australasian Legal Information Institute"}],"accessed":{"date-parts":[["2020",9,22]]}}}],"schema":"https://github.com/citation-style-language/schema/raw/master/csl-citation.json"}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Australasian Legal Information Institute (n 106).</w:t>
      </w:r>
      <w:r w:rsidRPr="004538FF">
        <w:rPr>
          <w:rFonts w:ascii="Times New Roman" w:hAnsi="Times New Roman" w:cs="Times New Roman"/>
        </w:rPr>
        <w:fldChar w:fldCharType="end"/>
      </w:r>
    </w:p>
  </w:footnote>
  <w:footnote w:id="147">
    <w:p w14:paraId="1817691B" w14:textId="1A5CFEF5"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{"citationID":"zUN0HeQZ","properties":{"formattedCitation":"Mowbray, Chung and Greenleaf (n 107) 3\\uc0\\u8211{}5.","plainCitation":"Mowbray, Chung and Greenleaf (n 107) 3–5.","noteIndex":148},"citationItems":[{"id":368,"uris":["http://zotero.org/users/6782581/items/MGBMZC7I"],"uri":["http://zotero.org/users/6782581/items/MGBMZC7I"],"itemData":{"id":368,"type":"report","abstract":"The use of artificial intelligence (AI) in law has again become of great interest to lawyers and government. Legal Information Institutes (LIIs) have played a significant role in the provision of legal information via the web. The concept of ‘free access to law’ is not static, and its principles now require a LII response to the renewed prominence of AI, possibly to include improving and expanding free access to legal advice.This paper proposes, and proposes to test, one approach that LIIs might take in the use of AI (specifically, ‘decision support’ or ‘intelligent assistance’ (IA) technologies), an approach that leverages the very large legal information assets that some LIIs have built over the past two decades. This approach focuses on how LIIs can assist providers of free legal advice (the ‘legal assistance sector’) to serve their clients. We consider the constraints that the requirement of ‘free’ imposes (on both the legal assistance sector and on LIIs), including on what types of free legal advice systems are sustainable, and what roles LIIs may realistically play in the development of such a ‘commons of free legal advice’. We suggest guidelines for development of suchsystems. The AI-related services and tools that the Australasian Legal Information Institute (AustLII) is providing (the ‘DataLex’ platform) are outlined.","event-place":"Rochester, NY","genre":"SSRN Scholarly Paper","language":"en","note":"DOI: 10.2139/ssrn.3379441","number":"ID 3379441","publisher":"Social Science Research Network","publisher-place":"Rochester, NY","source":"papers.ssrn.com","title":"Utilising AI in the Legal Assistance Sector – Testing a Role for Legal Information Institutes","URL":"https://papers.ssrn.com/abstract=3379441","author":[{"family":"Mowbray","given":"Andrew"},{"family":"Chung","given":"Philip"},{"family":"Greenleaf","given":"Graham"}],"accessed":{"date-parts":[["2020",10,10]]},"issued":{"date-parts":[["2019",4,29]]}},"locator":"3-5"}],"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Mowbray, Chung and Greenleaf (n 107) 3–5.</w:t>
      </w:r>
      <w:r w:rsidRPr="004538FF">
        <w:rPr>
          <w:rFonts w:ascii="Times New Roman" w:hAnsi="Times New Roman" w:cs="Times New Roman"/>
        </w:rPr>
        <w:fldChar w:fldCharType="end"/>
      </w:r>
    </w:p>
  </w:footnote>
  <w:footnote w:id="148">
    <w:p w14:paraId="71245A69" w14:textId="15A92EC5"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 xml:space="preserve">Commonwealth Electoral Act 1918 </w:t>
      </w:r>
      <w:r w:rsidRPr="004538FF">
        <w:rPr>
          <w:rFonts w:ascii="Times New Roman" w:hAnsi="Times New Roman" w:cs="Times New Roman"/>
        </w:rPr>
        <w:t xml:space="preserve">(Cth) and the </w:t>
      </w:r>
      <w:r w:rsidRPr="004538FF">
        <w:rPr>
          <w:rFonts w:ascii="Times New Roman" w:hAnsi="Times New Roman" w:cs="Times New Roman"/>
          <w:i/>
          <w:iCs/>
        </w:rPr>
        <w:t>Commonwealth of Australia Constitution</w:t>
      </w:r>
      <w:r w:rsidRPr="004538FF">
        <w:rPr>
          <w:rFonts w:ascii="Times New Roman" w:hAnsi="Times New Roman" w:cs="Times New Roman"/>
        </w:rPr>
        <w:t>.</w:t>
      </w:r>
    </w:p>
  </w:footnote>
  <w:footnote w:id="149">
    <w:p w14:paraId="0A2C21B0" w14:textId="5AD9E2F8"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{"citationID":"vwiEKm5t","properties":{"formattedCitation":"Note that this assertion is speaking from the perspective of an \\uc0\\u8216{}ElectKB\\uc0\\u8217{}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Australasian Legal Information Institute, {\\i{}ElectKB} (Australasian Legal Information Institute, 2020) &lt;http://austlii.community/foswiki/DataLex/ElectKB&gt;.","plainCitation":"Note that this assertion is speaking from the perspective of an ‘ElectKB’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Australasian Legal Information Institute, ElectKB (Australasian Legal Information Institute, 2020) &lt;http://austlii.community/foswiki/DataLex/ElectKB&gt;.","noteIndex":150},"citationItems":[{"id":342,"uris":["http://zotero.org/users/6782581/items/ZZDDK3FF"],"uri":["http://zotero.org/users/6782581/items/ZZDDK3FF"],"itemData":{"id":342,"type":"book","abstract":"ElectKB","publisher":"Australasian Legal Information Institute","title":"ElectKB","URL":"http://austlii.community/foswiki/DataLex/ElectKB","version":"22","author":[{"literal":"Australasian Legal Information Institute"}],"accessed":{"date-parts":[["2020",10,2]]},"issued":{"date-parts":[["2020",9,23]]}},"prefix":"Note that this assertion is speaking from the perspective of an ‘ElectKB’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Note that this assertion is speaking from the perspective of an ‘ElectKB’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Australasian Legal Information Institute, </w:t>
      </w:r>
      <w:r w:rsidRPr="004538FF">
        <w:rPr>
          <w:rFonts w:ascii="Times New Roman" w:hAnsi="Times New Roman" w:cs="Times New Roman"/>
          <w:i/>
          <w:iCs/>
          <w:szCs w:val="24"/>
        </w:rPr>
        <w:t>ElectKB</w:t>
      </w:r>
      <w:r w:rsidRPr="004538FF">
        <w:rPr>
          <w:rFonts w:ascii="Times New Roman" w:hAnsi="Times New Roman" w:cs="Times New Roman"/>
          <w:szCs w:val="24"/>
        </w:rPr>
        <w:t xml:space="preserve"> (Australasian Legal Information Institute, 2020) &lt;http://austlii.community/foswiki/DataLex/ElectKB&gt;.</w:t>
      </w:r>
      <w:r w:rsidRPr="004538FF">
        <w:rPr>
          <w:rFonts w:ascii="Times New Roman" w:hAnsi="Times New Roman" w:cs="Times New Roman"/>
        </w:rPr>
        <w:fldChar w:fldCharType="end"/>
      </w:r>
    </w:p>
  </w:footnote>
  <w:footnote w:id="150">
    <w:p w14:paraId="193D5EB6" w14:textId="74B062A4"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See, eg, </w:t>
      </w:r>
      <w:r w:rsidRPr="004538FF">
        <w:rPr>
          <w:rFonts w:ascii="Times New Roman" w:hAnsi="Times New Roman" w:cs="Times New Roman"/>
          <w:i/>
          <w:iCs/>
        </w:rPr>
        <w:t xml:space="preserve">Loomis v Wisconsin </w:t>
      </w:r>
      <w:r w:rsidRPr="004538FF">
        <w:rPr>
          <w:rFonts w:ascii="Times New Roman" w:hAnsi="Times New Roman" w:cs="Times New Roman"/>
        </w:rPr>
        <w:t xml:space="preserve">881 NW 2d 749 (Wis, 2016). See also Jeff Larson et al, (n 36); Angwin, Julia and Jeff Larson (n 36);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{"citationID":"EYOgnPfj","properties":{"formattedCitation":"Liu, Lin and Chen (n 30).","plainCitation":"Liu, Lin and Chen (n 30).","noteIndex":151},"citationItems":[{"id":37,"uris":["http://zotero.org/users/6782581/items/BCGT7CRU"],"uri":["http://zotero.org/users/6782581/items/BCGT7CRU"],"itemData":{"id":37,"type":"article-journal","container-title":"International Journal of Law and Information Technology","DOI":"10.1093/ijlit/eaz001","ISSN":"0967-0769","issue":"2","language":"English","note":"publisher: Oxford University Press","page":"122-141","source":"research.monash.edu","title":"Beyond State v Loomis: artificial intelligence, government algorithmization and accountability","title-short":"Beyond State v Loomis","volume":"27","author":[{"family":"Liu","given":"Han-Wei"},{"family":"Lin","given":"Ching-Fu"},{"family":"Chen","given":"Yu-Jie"}],"issued":{"date-parts":[["2019",6]]}}}],"schema":"https://github.com/citation-style-language/schema/raw/master/csl-citation.json"}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Liu, Lin and Chen (n 30).</w:t>
      </w:r>
      <w:r w:rsidRPr="004538FF">
        <w:rPr>
          <w:rFonts w:ascii="Times New Roman" w:hAnsi="Times New Roman" w:cs="Times New Roman"/>
        </w:rPr>
        <w:fldChar w:fldCharType="end"/>
      </w:r>
    </w:p>
  </w:footnote>
  <w:footnote w:id="151">
    <w:p w14:paraId="77C2CC71" w14:textId="2A28B7DD"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See Senate Standing Committees on Community Affairs, Parliament of Australia, </w:t>
      </w:r>
      <w:r w:rsidRPr="004538FF">
        <w:rPr>
          <w:rFonts w:ascii="Times New Roman" w:hAnsi="Times New Roman" w:cs="Times New Roman"/>
          <w:i/>
          <w:iCs/>
        </w:rPr>
        <w:t xml:space="preserve">Design, scope, cost-benefit analysis, contracts awarded and implementation associated with the Better Management of the Social Welfare System initiative </w:t>
      </w:r>
      <w:r w:rsidRPr="004538FF">
        <w:rPr>
          <w:rFonts w:ascii="Times New Roman" w:hAnsi="Times New Roman" w:cs="Times New Roman"/>
        </w:rPr>
        <w:t>(Report, June 2017) &lt;https://www.aph.gov.au/Parliamentary_Business/Committees/Senate/Community_Affairs/SocialWelfareSystem/Report&gt;.</w:t>
      </w:r>
    </w:p>
  </w:footnote>
  <w:footnote w:id="152">
    <w:p w14:paraId="66B0AC5E" w14:textId="3E08B8BA"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[2018] FCAFC 79.</w:t>
      </w:r>
    </w:p>
  </w:footnote>
  <w:footnote w:id="153">
    <w:p w14:paraId="69BAE106" w14:textId="089E0DAA"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Ibid [140]-[143].</w:t>
      </w:r>
    </w:p>
  </w:footnote>
  <w:footnote w:id="154">
    <w:p w14:paraId="59635D31" w14:textId="2F13655C"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 xml:space="preserve">Minister for Natural Resources v New South Wales Aboriginal Land Council </w:t>
      </w:r>
      <w:r w:rsidRPr="004538FF">
        <w:rPr>
          <w:rFonts w:ascii="Times New Roman" w:hAnsi="Times New Roman" w:cs="Times New Roman"/>
        </w:rPr>
        <w:t>(1987) 9 NSWLR 154, 164 (McHugh J).</w:t>
      </w:r>
    </w:p>
  </w:footnote>
  <w:footnote w:id="155">
    <w:p w14:paraId="2A22D42B" w14:textId="6118C2F9"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[1999] FCA 422, [19].</w:t>
      </w:r>
    </w:p>
  </w:footnote>
  <w:footnote w:id="156">
    <w:p w14:paraId="45D59147" w14:textId="79A3DB36"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 xml:space="preserve">Semunigus v Minister for Immigration and Multicultural Affairs </w:t>
      </w:r>
      <w:r w:rsidRPr="004538FF">
        <w:rPr>
          <w:rFonts w:ascii="Times New Roman" w:hAnsi="Times New Roman" w:cs="Times New Roman"/>
        </w:rPr>
        <w:t>(2000) 96 FCR 533, 536, 540, 546-547.</w:t>
      </w:r>
    </w:p>
  </w:footnote>
  <w:footnote w:id="157">
    <w:p w14:paraId="2C4FE5E0" w14:textId="1AE982D0" w:rsidR="004538FF" w:rsidRPr="004538FF" w:rsidRDefault="004538FF">
      <w:pPr>
        <w:pStyle w:val="FootnoteText"/>
        <w:rPr>
          <w:rFonts w:ascii="Times New Roman" w:hAnsi="Times New Roman" w:cs="Times New Roman"/>
          <w:i/>
          <w:iCs/>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 xml:space="preserve">Pintarich v Deputy Commission of Taxation </w:t>
      </w:r>
      <w:r w:rsidRPr="004538FF">
        <w:rPr>
          <w:rFonts w:ascii="Times New Roman" w:hAnsi="Times New Roman" w:cs="Times New Roman"/>
        </w:rPr>
        <w:t>[2018] FCAFC 79, [46]-[50].</w:t>
      </w:r>
    </w:p>
  </w:footnote>
  <w:footnote w:id="158">
    <w:p w14:paraId="11C9AFA4" w14:textId="4CC2FC17"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Ibid, [64]-[65]</w:t>
      </w:r>
    </w:p>
  </w:footnote>
  <w:footnote w:id="159">
    <w:p w14:paraId="73D14AB0" w14:textId="325CB0E7"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Ibid, [151]-[152] (Moshinsky and Derrington JJ).</w:t>
      </w:r>
    </w:p>
  </w:footnote>
  <w:footnote w:id="160">
    <w:p w14:paraId="4F835240" w14:textId="011C87EA"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Ibid, [152].</w:t>
      </w:r>
    </w:p>
  </w:footnote>
  <w:footnote w:id="161">
    <w:p w14:paraId="0106D7D3" w14:textId="63C2FC61"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 xml:space="preserve">Pintarich v Deputy Commission of Taxation </w:t>
      </w:r>
      <w:r w:rsidRPr="004538FF">
        <w:rPr>
          <w:rFonts w:ascii="Times New Roman" w:hAnsi="Times New Roman" w:cs="Times New Roman"/>
        </w:rPr>
        <w:t>[2018] HCASL 322.</w:t>
      </w:r>
    </w:p>
  </w:footnote>
  <w:footnote w:id="162">
    <w:p w14:paraId="030263F6" w14:textId="1A87D8AC"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{"citationID":"v0x7DkCk","properties":{"formattedCitation":"See, eg, Anna Huggins, \\uc0\\u8216{}Automated Processes and Administrative Law: The Case of Pintarich\\uc0\\u8217{}, {\\i{}AusPubLaw} (Australian Public Law) &lt;https://auspublaw.org/2018/11/the-case-of-pintarich/&gt;; Nassim Khadem, \\uc0\\u8216{}Tax Office Computer Says Yes, Federal Court Says No\\uc0\\u8217{}, {\\i{}ABC News} (online, 5 October 2018) &lt;https://www.abc.net.au/news/2018-10-05/tax-office-computer-says-yes-federal-court-says-no/10341548&gt;; Justin Dabner, \\uc0\\u8216{}Tax Law and Technology in Australia\\uc0\\u8217{} (Social Science Research Network, 2019) 9 &lt;https://papers.ssrn.com/abstract=3253400&gt;.","plainCitation":"See, eg, Anna Huggins, ‘Automated Processes and Administrative Law: The Case of Pintarich’, AusPubLaw (Australian Public Law) &lt;https://auspublaw.org/2018/11/the-case-of-pintarich/&gt;; Nassim Khadem, ‘Tax Office Computer Says Yes, Federal Court Says No’, ABC News (online, 5 October 2018) &lt;https://www.abc.net.au/news/2018-10-05/tax-office-computer-says-yes-federal-court-says-no/10341548&gt;; Justin Dabner, ‘Tax Law and Technology in Australia’ (Social Science Research Network, 2019) 9 &lt;https://papers.ssrn.com/abstract=3253400&gt;.","noteIndex":163},"citationItems":[{"id":314,"uris":["http://zotero.org/users/6782581/items/KYJA8PB2"],"uri":["http://zotero.org/users/6782581/items/KYJA8PB2"],"itemData":{"id":314,"type":"post-weblog","container-title":"AusPubLaw","genre":"Australian Public Law","language":"en-AU","title":"Automated Processes and Administrative Law: The Case of Pintarich","URL":"https://auspublaw.org/2018/11/the-case-of-pintarich/","author":[{"family":"Huggins","given":"Anna"}],"accessed":{"date-parts":[["2020",9,23]]}},"prefix":"See, eg, "},{"id":316,"uris":["http://zotero.org/users/6782581/items/VDA9H35J"],"uri":["http://zotero.org/users/6782581/items/VDA9H35J"],"itemData":{"id":316,"type":"article-newspaper","abstract":"The Federal Court opens a legal can of worms, ruling that an automated letter from the Tax Office relieving a taxpayer of interest charges on a debt could not be relied on as a \"decision\" because there was no human mental process accompanying it.","container-title":"ABC News","language":"en-AU","title":"Tax office computer says yes, Federal Court says no","URL":"https://www.abc.net.au/news/2018-10-05/tax-office-computer-says-yes-federal-court-says-no/10341548","author":[{"family":"Khadem","given":"Nassim"}],"accessed":{"date-parts":[["2020",9,23]]},"issued":{"date-parts":[["2018",10,5]]}}},{"id":318,"uris":["http://zotero.org/users/6782581/items/EHDG7PBK"],"uri":["http://zotero.org/users/6782581/items/EHDG7PBK"],"itemData":{"id":318,"type":"paper-conference","event":"Regulating an Uncertain Future: Robotics, AI and the Digital Economy in Japan and Australia","event-place":"Risumeikan University, Osaka","language":"en","note":"DOI: 10.2139/ssrn.3253400","publisher":"Social Science Research Network","publisher-place":"Risumeikan University, Osaka","source":"papers.ssrn.com","title":"Tax Law and Technology in Australia","URL":"https://papers.ssrn.com/abstract=3253400","author":[{"family":"Dabner","given":"Justin"}],"accessed":{"date-parts":[["2020",9,23]]},"issued":{"date-parts":[["2019",2,6]]}},"locator":"9"}],"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See, eg, Anna Huggins, ‘Automated Processes and Administrative Law: The Case of Pintarich’, </w:t>
      </w:r>
      <w:r w:rsidRPr="004538FF">
        <w:rPr>
          <w:rFonts w:ascii="Times New Roman" w:hAnsi="Times New Roman" w:cs="Times New Roman"/>
          <w:i/>
          <w:iCs/>
          <w:szCs w:val="24"/>
        </w:rPr>
        <w:t>AusPubLaw</w:t>
      </w:r>
      <w:r w:rsidRPr="004538FF">
        <w:rPr>
          <w:rFonts w:ascii="Times New Roman" w:hAnsi="Times New Roman" w:cs="Times New Roman"/>
          <w:szCs w:val="24"/>
        </w:rPr>
        <w:t xml:space="preserve"> (Australian Public Law) &lt;https://auspublaw.org/2018/11/the-case-of-pintarich/&gt;; Nassim Khadem, ‘Tax Office Computer Says Yes, Federal Court Says No’, </w:t>
      </w:r>
      <w:r w:rsidRPr="004538FF">
        <w:rPr>
          <w:rFonts w:ascii="Times New Roman" w:hAnsi="Times New Roman" w:cs="Times New Roman"/>
          <w:i/>
          <w:iCs/>
          <w:szCs w:val="24"/>
        </w:rPr>
        <w:t>ABC News</w:t>
      </w:r>
      <w:r w:rsidRPr="004538FF">
        <w:rPr>
          <w:rFonts w:ascii="Times New Roman" w:hAnsi="Times New Roman" w:cs="Times New Roman"/>
          <w:szCs w:val="24"/>
        </w:rPr>
        <w:t xml:space="preserve"> (online, 5 October 2018) &lt;https://www.abc.net.au/news/2018-10-05/tax-office-computer-says-yes-federal-court-says-no/10341548&gt;; Justin Dabner, ‘Tax Law and Technology in Australia’ (Social Science Research Network, 2019) 9 &lt;https://papers.ssrn.com/abstract=3253400&gt;.</w:t>
      </w:r>
      <w:r w:rsidRPr="004538FF">
        <w:rPr>
          <w:rFonts w:ascii="Times New Roman" w:hAnsi="Times New Roman" w:cs="Times New Roman"/>
        </w:rPr>
        <w:fldChar w:fldCharType="end"/>
      </w:r>
    </w:p>
  </w:footnote>
  <w:footnote w:id="163">
    <w:p w14:paraId="11C492D5" w14:textId="65D3175E"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{"citationID":"jrh2iw1a","properties":{"formattedCitation":"See also Principal 1 in Administrative Review Council, {\\i{}Automated Assistance in Administrative Decision Making} (No 46) vii &lt;https://www.ag.gov.au/legal-system/publications/report-46-automated-assistance-administrative-decision-making-2004&gt;. Here it is indicated that automated decision-making is suitable in non-discretionary cases.","plainCitation":"See also Principal 1 in Administrative Review Council, Automated Assistance in Administrative Decision Making (No 46) vii &lt;https://www.ag.gov.au/legal-system/publications/report-46-automated-assistance-administrative-decision-making-2004&gt;. Here it is indicated that automated decision-making is suitable in non-discretionary cases.","noteIndex":164},"citationItems":[{"id":336,"uris":["http://zotero.org/users/6782581/items/HXNZYBWA"],"uri":["http://zotero.org/users/6782581/items/HXNZYBWA"],"itemData":{"id":336,"type":"report","abstract":"The report contains best practice principles for the development and operation of expert computer systems used to make or assist in the making of administrative decisions.","language":"en","number":"46","title":"Automated Assistance in Administrative Decision Making","URL":"https://www.ag.gov.au/legal-system/publications/report-46-automated-assistance-administrative-decision-making-2004","author":[{"literal":"Administrative Review Council"}],"accessed":{"date-parts":[["2020",9,29]]}},"locator":"vii","prefix":"See also Principal 1 in ","suffix":". Here it is indicated that automated decision-making is suitable in non-discretionary cases."}],"schema":"https://github.com/citation-style-language/schema/raw/master/csl-citation.json"}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See also Principal 1 in Administrative Review Council, </w:t>
      </w:r>
      <w:r w:rsidRPr="004538FF">
        <w:rPr>
          <w:rFonts w:ascii="Times New Roman" w:hAnsi="Times New Roman" w:cs="Times New Roman"/>
          <w:i/>
          <w:iCs/>
          <w:szCs w:val="24"/>
        </w:rPr>
        <w:t>Automated Assistance in Administrative Decision Making</w:t>
      </w:r>
      <w:r w:rsidRPr="004538FF">
        <w:rPr>
          <w:rFonts w:ascii="Times New Roman" w:hAnsi="Times New Roman" w:cs="Times New Roman"/>
          <w:szCs w:val="24"/>
        </w:rPr>
        <w:t xml:space="preserve"> (No 46) vii &lt;https://www.ag.gov.au/legal-system/publications/report-46-automated-assistance-administrative-decision-making-2004&gt;. Here it is indicated that automated decision-making is suitable in non-discretionary cases.</w:t>
      </w:r>
      <w:r w:rsidRPr="004538FF">
        <w:rPr>
          <w:rFonts w:ascii="Times New Roman" w:hAnsi="Times New Roman" w:cs="Times New Roman"/>
        </w:rPr>
        <w:fldChar w:fldCharType="end"/>
      </w:r>
    </w:p>
  </w:footnote>
  <w:footnote w:id="164">
    <w:p w14:paraId="586AA434" w14:textId="3DDE2C53"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Australian Taxation Office, </w:t>
      </w:r>
      <w:r w:rsidRPr="004538FF">
        <w:rPr>
          <w:rFonts w:ascii="Times New Roman" w:hAnsi="Times New Roman" w:cs="Times New Roman"/>
          <w:i/>
          <w:iCs/>
        </w:rPr>
        <w:t xml:space="preserve">Decision Impact Statement on Pintarich v Deputy Commission of Taxation [2018] FCAFC 79 </w:t>
      </w:r>
      <w:r w:rsidRPr="004538FF">
        <w:rPr>
          <w:rFonts w:ascii="Times New Roman" w:hAnsi="Times New Roman" w:cs="Times New Roman"/>
        </w:rPr>
        <w:t>(4 April 2019).</w:t>
      </w:r>
    </w:p>
  </w:footnote>
  <w:footnote w:id="165">
    <w:p w14:paraId="4A7B2843" w14:textId="4CBE71FD"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Ibid.</w:t>
      </w:r>
    </w:p>
  </w:footnote>
  <w:footnote w:id="166">
    <w:p w14:paraId="547980E0" w14:textId="7D68CE65"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 xml:space="preserve">Skatteministeriet v Aktieselskabet Forsikrinsselskabet Codan </w:t>
      </w:r>
      <w:r w:rsidRPr="004538FF">
        <w:rPr>
          <w:rFonts w:ascii="Times New Roman" w:hAnsi="Times New Roman" w:cs="Times New Roman"/>
        </w:rPr>
        <w:t>(C-236/97) [1998] ECR I-8679.</w:t>
      </w:r>
    </w:p>
  </w:footnote>
  <w:footnote w:id="167">
    <w:p w14:paraId="7CDBB0A7" w14:textId="03472D50"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FEU</w:t>
      </w:r>
      <w:r w:rsidRPr="004538FF">
        <w:rPr>
          <w:rFonts w:ascii="Times New Roman" w:hAnsi="Times New Roman" w:cs="Times New Roman"/>
        </w:rPr>
        <w:t>, opened for signature 7 February 1992, [2009] OJ C 115/199 (entered into force 1 November 1993) art 267.</w:t>
      </w:r>
    </w:p>
  </w:footnote>
  <w:footnote w:id="168">
    <w:p w14:paraId="763A8D7D" w14:textId="500197DE"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 xml:space="preserve">Commonwealth of Australia Constitution </w:t>
      </w:r>
      <w:r w:rsidRPr="004538FF">
        <w:rPr>
          <w:rFonts w:ascii="Times New Roman" w:hAnsi="Times New Roman" w:cs="Times New Roman"/>
        </w:rPr>
        <w:t>s 71.</w:t>
      </w:r>
    </w:p>
  </w:footnote>
  <w:footnote w:id="169">
    <w:p w14:paraId="6DE8E396" w14:textId="63DB31BE" w:rsidR="004538FF" w:rsidRPr="004538FF" w:rsidRDefault="004538FF" w:rsidP="008555D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{"citationID":"SBZNn5hn","properties":{"formattedCitation":"Directorate-General for Communication (n 89).","plainCitation":"Directorate-General for Communication (n 89).","noteIndex":170},"citationItems":[{"id":188,"uris":["http://zotero.org/users/6782581/items/Y26GIURV"],"uri":["http://zotero.org/users/6782581/items/Y26GIURV"],"itemData":{"id":188,"type":"webpage","abstract":"Directorate-General for Translation translates texts for the European Commission into and out of the EU's official languages.","container-title":"European Commission","language":"en","title":"Translation","URL":"https://ec.europa.eu/info/departments/translation_en","author":[{"literal":"Directorate-General for Communication"}],"accessed":{"date-parts":[["2020",8,28]]}}}],"schema":"https://github.com/citation-style-language/schema/raw/master/csl-citation.json"}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Directorate-General for Communication (n 89).</w:t>
      </w:r>
      <w:r w:rsidRPr="004538FF">
        <w:rPr>
          <w:rFonts w:ascii="Times New Roman" w:hAnsi="Times New Roman" w:cs="Times New Roman"/>
        </w:rPr>
        <w:fldChar w:fldCharType="end"/>
      </w:r>
    </w:p>
  </w:footnote>
  <w:footnote w:id="170">
    <w:p w14:paraId="1A6FF239" w14:textId="77777777" w:rsidR="004538FF" w:rsidRPr="004538FF" w:rsidRDefault="004538FF" w:rsidP="008555D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Treaty on European Union</w:t>
      </w:r>
      <w:r w:rsidRPr="004538FF">
        <w:rPr>
          <w:rFonts w:ascii="Times New Roman" w:hAnsi="Times New Roman" w:cs="Times New Roman"/>
        </w:rPr>
        <w:t>, opened for signature 7 February 1992, [2009] OJ C 115/13 (entered into force 1 November 1993) (‘</w:t>
      </w:r>
      <w:r w:rsidRPr="004538FF">
        <w:rPr>
          <w:rFonts w:ascii="Times New Roman" w:hAnsi="Times New Roman" w:cs="Times New Roman"/>
          <w:i/>
          <w:iCs/>
        </w:rPr>
        <w:t>EU</w:t>
      </w:r>
      <w:r w:rsidRPr="004538FF">
        <w:rPr>
          <w:rFonts w:ascii="Times New Roman" w:hAnsi="Times New Roman" w:cs="Times New Roman"/>
        </w:rPr>
        <w:t xml:space="preserve">’) art 255 TEU; </w:t>
      </w:r>
      <w:r w:rsidRPr="004538FF">
        <w:rPr>
          <w:rFonts w:ascii="Times New Roman" w:hAnsi="Times New Roman" w:cs="Times New Roman"/>
          <w:i/>
          <w:iCs/>
        </w:rPr>
        <w:t xml:space="preserve">Regulation (EEC) No 1 determining the languages to be used by the European Economic Community </w:t>
      </w:r>
      <w:r w:rsidRPr="004538FF">
        <w:rPr>
          <w:rFonts w:ascii="Times New Roman" w:hAnsi="Times New Roman" w:cs="Times New Roman"/>
        </w:rPr>
        <w:t>(1958) OJ 17 arts 4, 5.</w:t>
      </w:r>
    </w:p>
  </w:footnote>
  <w:footnote w:id="171">
    <w:p w14:paraId="53AC4182" w14:textId="2F7FDE04" w:rsidR="004538FF" w:rsidRPr="004538FF" w:rsidRDefault="004538FF" w:rsidP="008555D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{"citationID":"aXuOZxKS","properties":{"formattedCitation":"Colin Robertson, \\uc0\\u8216{}EU Legislative Texts and Translation\\uc0\\u8217{} in {\\i{}The Ashgate Handbook of Legal Translation} (Routledge, 2016) 155, 158\\uc0\\u8211{}159 &lt;https://www-taylorfrancis-com.ezp01.library.qut.edu.au/books/e/9781315612706&gt;.","plainCitation":"Colin Robertson, ‘EU Legislative Texts and Translation’ in The Ashgate Handbook of Legal Translation (Routledge, 2016) 155, 158–159 &lt;https://www-taylorfrancis-com.ezp01.library.qut.edu.au/books/e/9781315612706&gt;.","noteIndex":172},"citationItems":[{"id":322,"uris":["http://zotero.org/users/6782581/items/TN7JAE6Y"],"uri":["http://zotero.org/users/6782581/items/TN7JAE6Y"],"itemData":{"id":322,"type":"chapter","abstract":"This volume investigates advances in the field of legal translation both from a theoretical and practical perspective, with professional and academic insights","container-title":"The Ashgate Handbook of Legal Translation","ISBN":"978-1-315-61270-6","language":"en","note":"DOI: 10.4324/9781315612706","publisher":"Routledge","source":"www-taylorfrancis-com.ezp01.library.qut.edu.au","title":"EU Legislative Texts and Translation","URL":"https://www-taylorfrancis-com.ezp01.library.qut.edu.au/books/e/9781315612706","author":[{"family":"Robertson","given":"Colin"}],"accessed":{"date-parts":[["2020",9,23]]},"issued":{"date-parts":[["2016",4,1]]}},"locator":"155, 158-159"}],"schema":"https://github.com/citation-style-language/schema/raw/master/csl-citation.json"}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Colin Robertson, ‘EU Legislative Texts and Translation’ in </w:t>
      </w:r>
      <w:r w:rsidRPr="004538FF">
        <w:rPr>
          <w:rFonts w:ascii="Times New Roman" w:hAnsi="Times New Roman" w:cs="Times New Roman"/>
          <w:i/>
          <w:iCs/>
          <w:szCs w:val="24"/>
        </w:rPr>
        <w:t>The Ashgate Handbook of Legal Translation</w:t>
      </w:r>
      <w:r w:rsidRPr="004538FF">
        <w:rPr>
          <w:rFonts w:ascii="Times New Roman" w:hAnsi="Times New Roman" w:cs="Times New Roman"/>
          <w:szCs w:val="24"/>
        </w:rPr>
        <w:t xml:space="preserve"> (Routledge, 2016) 155, 158–159 &lt;https://www-taylorfrancis-com.ezp01.library.qut.edu.au/books/e/9781315612706&gt;.</w:t>
      </w:r>
      <w:r w:rsidRPr="004538FF">
        <w:rPr>
          <w:rFonts w:ascii="Times New Roman" w:hAnsi="Times New Roman" w:cs="Times New Roman"/>
        </w:rPr>
        <w:fldChar w:fldCharType="end"/>
      </w:r>
    </w:p>
  </w:footnote>
  <w:footnote w:id="172">
    <w:p w14:paraId="3099A04E" w14:textId="107ADC2F"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 xml:space="preserve">Treaty establishing the European Community, </w:t>
      </w:r>
      <w:r w:rsidRPr="004538FF">
        <w:rPr>
          <w:rFonts w:ascii="Times New Roman" w:hAnsi="Times New Roman" w:cs="Times New Roman"/>
        </w:rPr>
        <w:t>opened for signature 7 February 1992, [1992] OJ C 224/6 (entered into force 1 November 1993) (‘</w:t>
      </w:r>
      <w:r w:rsidRPr="004538FF">
        <w:rPr>
          <w:rFonts w:ascii="Times New Roman" w:hAnsi="Times New Roman" w:cs="Times New Roman"/>
          <w:i/>
          <w:iCs/>
        </w:rPr>
        <w:t>EC Treaty’</w:t>
      </w:r>
      <w:r w:rsidRPr="004538FF">
        <w:rPr>
          <w:rFonts w:ascii="Times New Roman" w:hAnsi="Times New Roman" w:cs="Times New Roman"/>
        </w:rPr>
        <w:t>) art 202.</w:t>
      </w:r>
    </w:p>
  </w:footnote>
  <w:footnote w:id="173">
    <w:p w14:paraId="0DAAF0A6" w14:textId="7BC0A683"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FEU</w:t>
      </w:r>
      <w:r w:rsidRPr="004538FF">
        <w:rPr>
          <w:rFonts w:ascii="Times New Roman" w:hAnsi="Times New Roman" w:cs="Times New Roman"/>
        </w:rPr>
        <w:t>, opened for signature 7 February 1992, [2009] OJ C 115/199 (entered into force 1 November 1993) art 294.</w:t>
      </w:r>
    </w:p>
  </w:footnote>
  <w:footnote w:id="174">
    <w:p w14:paraId="77577955" w14:textId="1B29AC65"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{"citationID":"V1WaGP4V","properties":{"formattedCitation":"Directorate-General for Communication (n 89).","plainCitation":"Directorate-General for Communication (n 89).","noteIndex":175},"citationItems":[{"id":188,"uris":["http://zotero.org/users/6782581/items/Y26GIURV"],"uri":["http://zotero.org/users/6782581/items/Y26GIURV"],"itemData":{"id":188,"type":"webpage","abstract":"Directorate-General for Translation translates texts for the European Commission into and out of the EU's official languages.","container-title":"European Commission","language":"en","title":"Translation","URL":"https://ec.europa.eu/info/departments/translation_en","author":[{"literal":"Directorate-General for Communication"}],"accessed":{"date-parts":[["2020",8,28]]}}}],"schema":"https://github.com/citation-style-language/schema/raw/master/csl-citation.json"}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Directorate-General for Communication (n 89).</w:t>
      </w:r>
      <w:r w:rsidRPr="004538FF">
        <w:rPr>
          <w:rFonts w:ascii="Times New Roman" w:hAnsi="Times New Roman" w:cs="Times New Roman"/>
        </w:rPr>
        <w:fldChar w:fldCharType="end"/>
      </w:r>
    </w:p>
  </w:footnote>
  <w:footnote w:id="175">
    <w:p w14:paraId="6A056D3E" w14:textId="09A75BA4"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While it is acknowledged that such a prohibition is nullified where the executive is delegated lawmaking power, this article is concerned with a broader view of the separation of powers as a theory, as opposed to how it specifically interacts with individual laws.</w:t>
      </w:r>
    </w:p>
  </w:footnote>
  <w:footnote w:id="176">
    <w:p w14:paraId="06003D86" w14:textId="5E5805E6"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Such a principle need only be necessarily established when considering RaC as potential legislation, as opposed to an administrative decision-maker which merely applies plain text laws. In the latter case, of course, RaC would be subject to judicial review: </w:t>
      </w:r>
      <w:r w:rsidRPr="004538FF">
        <w:rPr>
          <w:rFonts w:ascii="Times New Roman" w:hAnsi="Times New Roman" w:cs="Times New Roman"/>
          <w:i/>
          <w:iCs/>
        </w:rPr>
        <w:t>Commonwealth of Australia Constitution s 75(v)</w:t>
      </w:r>
      <w:r w:rsidRPr="004538FF">
        <w:rPr>
          <w:rFonts w:ascii="Times New Roman" w:hAnsi="Times New Roman" w:cs="Times New Roman"/>
        </w:rPr>
        <w:t>.</w:t>
      </w:r>
    </w:p>
  </w:footnote>
  <w:footnote w:id="177">
    <w:p w14:paraId="3767D2CF" w14:textId="658E8F05" w:rsidR="004538FF" w:rsidRPr="004538FF" w:rsidRDefault="004538FF" w:rsidP="00B635C7">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{"citationID":"V0X4vGyd","properties":{"formattedCitation":"Solan (n 144) 287.","plainCitation":"Solan (n 144) 287.","noteIndex":178},"citationItems":[{"id":311,"uris":["http://zotero.org/users/6782581/items/R7EJGYUG"],"uri":["http://zotero.org/users/6782581/items/R7EJGYUG"],"itemData":{"id":311,"type":"article-journal","container-title":"Brooklyn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Justice","volume":"34","author":[{"family":"Solan","given":"Lawrence"}],"issued":{"date-parts":[["2009"]]}},"locator":"287"}],"schema":"https://github.com/citation-style-language/schema/raw/master/csl-citation.json"}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Solan (n 144) 287.</w:t>
      </w:r>
      <w:r w:rsidRPr="004538FF">
        <w:rPr>
          <w:rFonts w:ascii="Times New Roman" w:hAnsi="Times New Roman" w:cs="Times New Roman"/>
        </w:rPr>
        <w:fldChar w:fldCharType="end"/>
      </w:r>
    </w:p>
  </w:footnote>
  <w:footnote w:id="178">
    <w:p w14:paraId="250F1269" w14:textId="113CBE61" w:rsidR="004538FF" w:rsidRPr="004538FF" w:rsidRDefault="004538FF" w:rsidP="00B635C7">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Stauder v Ulm</w:t>
      </w:r>
      <w:r w:rsidRPr="004538FF">
        <w:rPr>
          <w:rFonts w:ascii="Times New Roman" w:hAnsi="Times New Roman" w:cs="Times New Roman"/>
        </w:rPr>
        <w:t xml:space="preserve"> (C-29/69) [1969] ECR 419.</w:t>
      </w:r>
    </w:p>
  </w:footnote>
  <w:footnote w:id="179">
    <w:p w14:paraId="4E421D5C" w14:textId="77777777" w:rsidR="004538FF" w:rsidRPr="004538FF" w:rsidRDefault="004538FF" w:rsidP="00B635C7">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Ibid 3-7.</w:t>
      </w:r>
    </w:p>
  </w:footnote>
  <w:footnote w:id="180">
    <w:p w14:paraId="596D3CBE" w14:textId="02A23210" w:rsidR="004538FF" w:rsidRPr="004538FF" w:rsidRDefault="004538FF" w:rsidP="00B635C7">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{"citationID":"FadwYSye","properties":{"formattedCitation":"Solan (n 144) 287.","plainCitation":"Solan (n 144) 287.","noteIndex":181},"citationItems":[{"id":311,"uris":["http://zotero.org/users/6782581/items/R7EJGYUG"],"uri":["http://zotero.org/users/6782581/items/R7EJGYUG"],"itemData":{"id":311,"type":"article-journal","container-title":"Brooklyn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Justice","volume":"34","author":[{"family":"Solan","given":"Lawrence"}],"issued":{"date-parts":[["2009"]]}},"locator":"287"}],"schema":"https://github.com/citation-style-language/schema/raw/master/csl-citation.json"}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Solan (n 144) 287.</w:t>
      </w:r>
      <w:r w:rsidRPr="004538FF">
        <w:rPr>
          <w:rFonts w:ascii="Times New Roman" w:hAnsi="Times New Roman" w:cs="Times New Roman"/>
        </w:rPr>
        <w:fldChar w:fldCharType="end"/>
      </w:r>
      <w:r w:rsidRPr="004538FF">
        <w:rPr>
          <w:rFonts w:ascii="Times New Roman" w:hAnsi="Times New Roman" w:cs="Times New Roman"/>
        </w:rPr>
        <w:t xml:space="preserve"> See, also, the similar approach adopted in, eg, </w:t>
      </w:r>
      <w:r w:rsidRPr="004538FF">
        <w:rPr>
          <w:rFonts w:ascii="Times New Roman" w:hAnsi="Times New Roman" w:cs="Times New Roman"/>
          <w:i/>
          <w:iCs/>
        </w:rPr>
        <w:t>Itegeko Nshinga rya Repubulika y’u Rwanda 2003</w:t>
      </w:r>
      <w:r w:rsidRPr="004538FF">
        <w:rPr>
          <w:rFonts w:ascii="Times New Roman" w:hAnsi="Times New Roman" w:cs="Times New Roman"/>
        </w:rPr>
        <w:t xml:space="preserve"> [Constitution of the Republic of Rwanda 2003] art 96.</w:t>
      </w:r>
    </w:p>
  </w:footnote>
  <w:footnote w:id="181">
    <w:p w14:paraId="63BED857" w14:textId="620F057C"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Such an approach has been taken in multilingual unilateral environments where notions of sovereignty and linguistic equality are similarly irrelevant. See, eg, </w:t>
      </w:r>
      <w:r w:rsidRPr="004538FF">
        <w:rPr>
          <w:rFonts w:ascii="Times New Roman" w:hAnsi="Times New Roman" w:cs="Times New Roman"/>
          <w:i/>
          <w:iCs/>
        </w:rPr>
        <w:t xml:space="preserve">Bunreacht na hÉireann </w:t>
      </w:r>
      <w:r w:rsidRPr="004538FF">
        <w:rPr>
          <w:rFonts w:ascii="Times New Roman" w:hAnsi="Times New Roman" w:cs="Times New Roman"/>
        </w:rPr>
        <w:t>[Constitution of Ireland]</w:t>
      </w:r>
      <w:r w:rsidRPr="004538FF">
        <w:rPr>
          <w:rFonts w:ascii="Times New Roman" w:hAnsi="Times New Roman" w:cs="Times New Roman"/>
          <w:i/>
          <w:iCs/>
        </w:rPr>
        <w:t xml:space="preserve"> </w:t>
      </w:r>
      <w:r w:rsidRPr="004538FF">
        <w:rPr>
          <w:rFonts w:ascii="Times New Roman" w:hAnsi="Times New Roman" w:cs="Times New Roman"/>
        </w:rPr>
        <w:t xml:space="preserve">art 8. See also the approach adopted by Luxembourg which reduces translations to a non-binding, advisory role: </w:t>
      </w:r>
      <w:r w:rsidRPr="004538FF">
        <w:rPr>
          <w:rFonts w:ascii="Times New Roman" w:hAnsi="Times New Roman" w:cs="Times New Roman"/>
          <w:i/>
          <w:iCs/>
        </w:rPr>
        <w:t xml:space="preserve">Loi sur les regimes des langues 1984 </w:t>
      </w:r>
      <w:r w:rsidRPr="004538FF">
        <w:rPr>
          <w:rFonts w:ascii="Times New Roman" w:hAnsi="Times New Roman" w:cs="Times New Roman"/>
        </w:rPr>
        <w:t>[Languages Regulation Act 1984] (Luxembourg) art 2.</w:t>
      </w:r>
    </w:p>
  </w:footnote>
  <w:footnote w:id="182">
    <w:p w14:paraId="7211377A" w14:textId="1FBDABC7"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As in, for example, Brazil: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{"citationID":"Fu1LB7Pf","properties":{"formattedCitation":"Celina Frade, \\uc0\\u8216{}Translating Domestic Legislation\\uc0\\u8217{} in {\\i{}The Ashgate Handbook of Legal Translation} (Routledge, 2016) 209, 211 &lt;https://www-taylorfrancis-com.ezp01.library.qut.edu.au/books/e/9781315612706&gt;; Deborah Cao, {\\i{}Translating Law} (Multilingual Matters, 2007) 103.","plainCitation":"Celina Frade, ‘Translating Domestic Legislation’ in The Ashgate Handbook of Legal Translation (Routledge, 2016) 209, 211 &lt;https://www-taylorfrancis-com.ezp01.library.qut.edu.au/books/e/9781315612706&gt;; Deborah Cao, Translating Law (Multilingual Matters, 2007) 103.","noteIndex":183},"citationItems":[{"id":631,"uris":["http://zotero.org/users/6782581/items/96379DHF"],"uri":["http://zotero.org/users/6782581/items/96379DHF"],"itemData":{"id":631,"type":"chapter","container-title":"The Ashgate Handbook of Legal Translation","ISBN":"978-1-315-61270-6","language":"en","note":"DOI: 10.4324/9781315612706","page":"209-223","publisher":"Routledge","source":"www-taylorfrancis-com.ezp01.library.qut.edu.au","title":"Translating Domestic Legislation","URL":"https://www-taylorfrancis-com.ezp01.library.qut.edu.au/books/e/9781315612706","author":[{"family":"Frade","given":"Celina"}],"accessed":{"date-parts":[["2020",10,30]]},"issued":{"date-parts":[["2016",4,1]]}},"locator":"211"},{"id":634,"uris":["http://zotero.org/users/6782581/items/YMIDW32M"],"uri":["http://zotero.org/users/6782581/items/YMIDW32M"],"itemData":{"id":634,"type":"book","event-place":"Clevedon","ISBN":"978-1-85359-954-5","publisher":"Multilingual Matters","publisher-place":"Clevedon","title":"Translating Law","author":[{"family":"Cao","given":"Deborah"}],"issued":{"date-parts":[["2007",4,12]]}},"locator":"103"}],"schema":"https://github.com/citation-style-language/schema/raw/master/csl-citation.json"}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Celina Frade, ‘Translating Domestic Legislation’ in </w:t>
      </w:r>
      <w:r w:rsidRPr="004538FF">
        <w:rPr>
          <w:rFonts w:ascii="Times New Roman" w:hAnsi="Times New Roman" w:cs="Times New Roman"/>
          <w:i/>
          <w:iCs/>
          <w:szCs w:val="24"/>
        </w:rPr>
        <w:t>The Ashgate Handbook of Legal Translation</w:t>
      </w:r>
      <w:r w:rsidRPr="004538FF">
        <w:rPr>
          <w:rFonts w:ascii="Times New Roman" w:hAnsi="Times New Roman" w:cs="Times New Roman"/>
          <w:szCs w:val="24"/>
        </w:rPr>
        <w:t xml:space="preserve"> (Routledge, 2016) 209, 211 &lt;https://www-taylorfrancis-com.ezp01.library.qut.edu.au/books/e/9781315612706&gt;; Deborah Cao, </w:t>
      </w:r>
      <w:r w:rsidRPr="004538FF">
        <w:rPr>
          <w:rFonts w:ascii="Times New Roman" w:hAnsi="Times New Roman" w:cs="Times New Roman"/>
          <w:i/>
          <w:iCs/>
          <w:szCs w:val="24"/>
        </w:rPr>
        <w:t>Translating Law</w:t>
      </w:r>
      <w:r w:rsidRPr="004538FF">
        <w:rPr>
          <w:rFonts w:ascii="Times New Roman" w:hAnsi="Times New Roman" w:cs="Times New Roman"/>
          <w:szCs w:val="24"/>
        </w:rPr>
        <w:t xml:space="preserve"> (Multilingual Matters, 2007) 103.</w:t>
      </w:r>
      <w:r w:rsidRPr="004538FF">
        <w:rPr>
          <w:rFonts w:ascii="Times New Roman" w:hAnsi="Times New Roman" w:cs="Times New Roman"/>
        </w:rPr>
        <w:fldChar w:fldCharType="end"/>
      </w:r>
    </w:p>
  </w:footnote>
  <w:footnote w:id="183">
    <w:p w14:paraId="2B54094E" w14:textId="61098561"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 xml:space="preserve">National Consumer Credit Protection Act 2009 </w:t>
      </w:r>
      <w:r w:rsidRPr="004538FF">
        <w:rPr>
          <w:rFonts w:ascii="Times New Roman" w:hAnsi="Times New Roman" w:cs="Times New Roman"/>
        </w:rPr>
        <w:t xml:space="preserve">(Cth) ss 47(1)(h)-(i). See also </w:t>
      </w:r>
      <w:r w:rsidRPr="004538FF">
        <w:rPr>
          <w:rFonts w:ascii="Times New Roman" w:hAnsi="Times New Roman" w:cs="Times New Roman"/>
          <w:i/>
          <w:iCs/>
        </w:rPr>
        <w:t xml:space="preserve">Corporations Act 2001 </w:t>
      </w:r>
      <w:r w:rsidRPr="004538FF">
        <w:rPr>
          <w:rFonts w:ascii="Times New Roman" w:hAnsi="Times New Roman" w:cs="Times New Roman"/>
        </w:rPr>
        <w:t xml:space="preserve">(Cth) ss 912A(1)(g), 912A(2), 1017G(1)-(2); </w:t>
      </w:r>
      <w:r w:rsidRPr="004538FF">
        <w:rPr>
          <w:rFonts w:ascii="Times New Roman" w:hAnsi="Times New Roman" w:cs="Times New Roman"/>
          <w:i/>
          <w:iCs/>
        </w:rPr>
        <w:t xml:space="preserve">Superannuation Industry (Supervision) Act 1993 </w:t>
      </w:r>
      <w:r w:rsidRPr="004538FF">
        <w:rPr>
          <w:rFonts w:ascii="Times New Roman" w:hAnsi="Times New Roman" w:cs="Times New Roman"/>
        </w:rPr>
        <w:t xml:space="preserve">(Cth) ss 101(1)-(1A); </w:t>
      </w:r>
      <w:r w:rsidRPr="004538FF">
        <w:rPr>
          <w:rFonts w:ascii="Times New Roman" w:hAnsi="Times New Roman" w:cs="Times New Roman"/>
          <w:i/>
          <w:iCs/>
        </w:rPr>
        <w:t>Retirement Savings Accounts Act 1997</w:t>
      </w:r>
      <w:r w:rsidRPr="004538FF">
        <w:rPr>
          <w:rFonts w:ascii="Times New Roman" w:hAnsi="Times New Roman" w:cs="Times New Roman"/>
        </w:rPr>
        <w:t xml:space="preserve"> (Cth) s 47(1).</w:t>
      </w:r>
    </w:p>
  </w:footnote>
  <w:footnote w:id="184">
    <w:p w14:paraId="2BDF0DB9" w14:textId="13360E19"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{"citationID":"Q1HDogCA","properties":{"formattedCitation":"Alyssa Charles-Green, \\uc0\\u8216{}Law Translation: A Self-Defence Case Study\\uc0\\u8217{} (2019) 25 {\\i{}Comparitive Law Journal of the Pacific} 179, 183.","plainCitation":"Alyssa Charles-Green, ‘Law Translation: A Self-Defence Case Study’ (2019) 25 Comparitive Law Journal of the Pacific 179, 183.","noteIndex":185},"citationItems":[{"id":356,"uris":["http://zotero.org/users/6782581/items/VZPXERHI"],"uri":["http://zotero.org/users/6782581/items/VZPXERHI"],"itemData":{"id":356,"type":"article-journal","container-title":"Comparitive Law Journal of the Pacific","language":"en","page":"179","source":"Zotero","title":"Law Translation: A Self-Defence Case Study","volume":"25","author":[{"family":"Charles-Green","given":"Alyssa"}],"issued":{"date-parts":[["2019"]]}},"locator":"183"}],"schema":"https://github.com/citation-style-language/schema/raw/master/csl-citation.json"}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Alyssa Charles-Green, ‘Law Translation: A Self-Defence Case Study’ (2019) 25 </w:t>
      </w:r>
      <w:r w:rsidRPr="004538FF">
        <w:rPr>
          <w:rFonts w:ascii="Times New Roman" w:hAnsi="Times New Roman" w:cs="Times New Roman"/>
          <w:i/>
          <w:iCs/>
          <w:szCs w:val="24"/>
        </w:rPr>
        <w:t>Comparitive Law Journal of the Pacific</w:t>
      </w:r>
      <w:r w:rsidRPr="004538FF">
        <w:rPr>
          <w:rFonts w:ascii="Times New Roman" w:hAnsi="Times New Roman" w:cs="Times New Roman"/>
          <w:szCs w:val="24"/>
        </w:rPr>
        <w:t xml:space="preserve"> 179, 183.</w:t>
      </w:r>
      <w:r w:rsidRPr="004538FF">
        <w:rPr>
          <w:rFonts w:ascii="Times New Roman" w:hAnsi="Times New Roman" w:cs="Times New Roman"/>
        </w:rPr>
        <w:fldChar w:fldCharType="end"/>
      </w:r>
    </w:p>
  </w:footnote>
  <w:footnote w:id="185">
    <w:p w14:paraId="37CBB785" w14:textId="4C6BB151"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{"citationID":"STyinVDn","properties":{"formattedCitation":"See, eg, Giuliana Garzone, \\uc0\\u8216{}Legal Translation and Functionalist Approaches: A Contradiction in Terms?\\uc0\\u8217{} in {\\i{}La Traduction Juridique: Histoire, Th\\uc0\\u233{}orie(s) et Pratique [Legal Translation: History, Theories and Pradtice]} (Association suisse des traducteurs, terminologues et interpr\\uc0\\u232{}tes [Swiss Association of Translators, Terminologists and Interpreters], 2000) 395, 395.","plainCitation":"See, eg, Giuliana Garzone, ‘Legal Translation and Functionalist Approaches: A Contradiction in Terms?’ in La Traduction Juridique: Histoire, Théorie(s) et Pratique [Legal Translation: History, Theories and Pradtice] (Association suisse des traducteurs, terminologues et interprètes [Swiss Association of Translators, Terminologists and Interpreters], 2000) 395, 395.","noteIndex":186},"citationItems":[{"id":346,"uris":["http://zotero.org/users/6782581/items/FPJ9FRUT"],"uri":["http://zotero.org/users/6782581/items/FPJ9FRUT"],"itemData":{"id":346,"type":"chapter","abstract":"Legal Translation and Functionalist Approaches: A Contradiction in Terms?","container-title":"La traduction juridique: histoire, théorie(s) et pratique [Legal translation: history, theories and pradtice]","event-place":"Bern","language":"en","page":"395-414","publisher":"Association suisse des traducteurs, terminologues et interprètes [Swiss Association of Translators, Terminologists and Interpreters]","publisher-place":"Bern","source":"www.academia.edu","title":"Legal Translation and Functionalist Approaches: A Contradiction in Terms?","author":[{"family":"Garzone","given":"Giuliana"}],"accessed":{"date-parts":[["2020",10,6]]},"issued":{"date-parts":[["2000"]]}},"locator":"395","prefix":"See, eg, "}],"schema":"https://github.com/citation-style-language/schema/raw/master/csl-citation.json"}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See, eg, Giuliana Garzone, ‘Legal Translation and Functionalist Approaches: A Contradiction in Terms?’ in </w:t>
      </w:r>
      <w:r w:rsidRPr="004538FF">
        <w:rPr>
          <w:rFonts w:ascii="Times New Roman" w:hAnsi="Times New Roman" w:cs="Times New Roman"/>
          <w:i/>
          <w:iCs/>
          <w:szCs w:val="24"/>
        </w:rPr>
        <w:t>La Traduction Juridique: Histoire, Théorie(s) et Pratique [Legal Translation: History, Theories and Pradtice]</w:t>
      </w:r>
      <w:r w:rsidRPr="004538FF">
        <w:rPr>
          <w:rFonts w:ascii="Times New Roman" w:hAnsi="Times New Roman" w:cs="Times New Roman"/>
          <w:szCs w:val="24"/>
        </w:rPr>
        <w:t xml:space="preserve"> (Association suisse des traducteurs, terminologues et interprètes [Swiss Association of Translators, Terminologists and Interpreters], 2000) 395, 395.</w:t>
      </w:r>
      <w:r w:rsidRPr="004538FF">
        <w:rPr>
          <w:rFonts w:ascii="Times New Roman" w:hAnsi="Times New Roman" w:cs="Times New Roman"/>
        </w:rPr>
        <w:fldChar w:fldCharType="end"/>
      </w:r>
    </w:p>
  </w:footnote>
  <w:footnote w:id="186">
    <w:p w14:paraId="0540E332" w14:textId="023178BE"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{"citationID":"aogEDZ6f","properties":{"formattedCitation":"Ibid 396.","plainCitation":"Ibid 396.","noteIndex":187},"citationItems":[{"id":346,"uris":["http://zotero.org/users/6782581/items/FPJ9FRUT"],"uri":["http://zotero.org/users/6782581/items/FPJ9FRUT"],"itemData":{"id":346,"type":"chapter","abstract":"Legal Translation and Functionalist Approaches: A Contradiction in Terms?","container-title":"La traduction juridique: histoire, théorie(s) et pratique [Legal translation: history, theories and pradtice]","event-place":"Bern","language":"en","page":"395-414","publisher":"Association suisse des traducteurs, terminologues et interprètes [Swiss Association of Translators, Terminologists and Interpreters]","publisher-place":"Bern","source":"www.academia.edu","title":"Legal Translation and Functionalist Approaches: A Contradiction in Terms?","author":[{"family":"Garzone","given":"Giuliana"}],"accessed":{"date-parts":[["2020",10,6]]},"issued":{"date-parts":[["2000"]]}},"locator":"396"}],"schema":"https://github.com/citation-style-language/schema/raw/master/csl-citation.json"}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Ibid 396.</w:t>
      </w:r>
      <w:r w:rsidRPr="004538FF">
        <w:rPr>
          <w:rFonts w:ascii="Times New Roman" w:hAnsi="Times New Roman" w:cs="Times New Roman"/>
        </w:rPr>
        <w:fldChar w:fldCharType="end"/>
      </w:r>
    </w:p>
  </w:footnote>
  <w:footnote w:id="187">
    <w:p w14:paraId="30B0F47C" w14:textId="74158785" w:rsidR="004538FF" w:rsidRPr="004538FF" w:rsidRDefault="004538FF" w:rsidP="00943595">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{"citationID":"XJ6iKqEn","properties":{"formattedCitation":"Solan (n 144) 283.","plainCitation":"Solan (n 144) 283.","noteIndex":188},"citationItems":[{"id":311,"uris":["http://zotero.org/users/6782581/items/R7EJGYUG"],"uri":["http://zotero.org/users/6782581/items/R7EJGYUG"],"itemData":{"id":311,"type":"article-journal","container-title":"Brooklyn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Justice","volume":"34","author":[{"family":"Solan","given":"Lawrence"}],"issued":{"date-parts":[["2009"]]}},"locator":"283"}],"schema":"https://github.com/citation-style-language/schema/raw/master/csl-citation.json"}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Solan (n 144) 283.</w:t>
      </w:r>
      <w:r w:rsidRPr="004538FF">
        <w:rPr>
          <w:rFonts w:ascii="Times New Roman" w:hAnsi="Times New Roman" w:cs="Times New Roman"/>
        </w:rPr>
        <w:fldChar w:fldCharType="end"/>
      </w:r>
      <w:r w:rsidRPr="004538FF">
        <w:rPr>
          <w:rFonts w:ascii="Times New Roman" w:hAnsi="Times New Roman" w:cs="Times New Roman"/>
        </w:rPr>
        <w:t xml:space="preserve"> See also </w:t>
      </w:r>
      <w:r w:rsidRPr="004538FF">
        <w:rPr>
          <w:rFonts w:ascii="Times New Roman" w:hAnsi="Times New Roman" w:cs="Times New Roman"/>
          <w:i/>
          <w:iCs/>
        </w:rPr>
        <w:t xml:space="preserve">Simutenkov v. Ministerio de Educación y Cultura </w:t>
      </w:r>
      <w:r w:rsidRPr="004538FF">
        <w:rPr>
          <w:rFonts w:ascii="Times New Roman" w:hAnsi="Times New Roman" w:cs="Times New Roman"/>
        </w:rPr>
        <w:t>(C-265/03) [2005] ECR I-2579, I-2604 – I-2606.</w:t>
      </w:r>
    </w:p>
  </w:footnote>
  <w:footnote w:id="188">
    <w:p w14:paraId="02D28F20" w14:textId="65FE535A"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{"citationID":"YLS7Rmmx","properties":{"formattedCitation":"Mohun and Roberts (n 1) 22, 42\\uc0\\u8211{}43.","plainCitation":"Mohun and Roberts (n 1) 22, 42–43.","noteIndex":189},"citationItems":[{"id":19,"uris":["http://zotero.org/users/6782581/items/HWX5UKVU"],"uri":["http://zotero.org/users/6782581/items/HWX5UKVU"],"itemData":{"id":19,"type":"article","publisher":"Observatory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machines","author":[{"family":"Mohun","given":"James"},{"family":"Roberts","given":"Alex"}],"issued":{"date-parts":[["2020",5,27]]}},"locator":"22, 42-43"}],"schema":"https://github.com/citation-style-language/schema/raw/master/csl-citation.json"}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Mohun and Roberts (n 1) 22, 42–43.</w:t>
      </w:r>
      <w:r w:rsidRPr="004538FF">
        <w:rPr>
          <w:rFonts w:ascii="Times New Roman" w:hAnsi="Times New Roman" w:cs="Times New Roman"/>
        </w:rPr>
        <w:fldChar w:fldCharType="end"/>
      </w:r>
    </w:p>
  </w:footnote>
  <w:footnote w:id="189">
    <w:p w14:paraId="294FBA07" w14:textId="29087DA2"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 xml:space="preserve">Schweizerisches Zivilgesetzbuch </w:t>
      </w:r>
      <w:r w:rsidRPr="004538FF">
        <w:rPr>
          <w:rFonts w:ascii="Times New Roman" w:hAnsi="Times New Roman" w:cs="Times New Roman"/>
        </w:rPr>
        <w:t>[Swiss Civil Code] (Switzerland).</w:t>
      </w:r>
    </w:p>
  </w:footnote>
  <w:footnote w:id="190">
    <w:p w14:paraId="76069354" w14:textId="552DA5B7"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{"citationID":"uD8WK1hc","properties":{"formattedCitation":"Susan Sarcevic, {\\i{}New Approach To Legal Translation} (Kluwer Law International, 1st Edition, 1997) 36\\uc0\\u8211{}37; Charles-Green (n 185) 183.","plainCitation":"Susan Sarcevic, New Approach To Legal Translation (Kluwer Law International, 1st Edition, 1997) 36–37; Charles-Green (n 185) 183.","noteIndex":191},"citationItems":[{"id":358,"uris":["http://zotero.org/users/6782581/items/AGC5YM6H"],"uri":["http://zotero.org/users/6782581/items/AGC5YM6H"],"itemData":{"id":358,"type":"book","edition":"1st Edition","event-place":"The Hague ; Boston","ISBN":"978-90-411-0401-4","language":"English","number-of-pages":"324","publisher":"Kluwer Law International","publisher-place":"The Hague ; Boston","source":"Amazon","title":"New Approach To Legal Translation","author":[{"family":"Sarcevic","given":"Susan"}],"issued":{"date-parts":[["1997",5,7]]}},"locator":"36-37"},{"id":356,"uris":["http://zotero.org/users/6782581/items/VZPXERHI"],"uri":["http://zotero.org/users/6782581/items/VZPXERHI"],"itemData":{"id":356,"type":"article-journal","container-title":"Comparitive Law Journal of the Pacific","language":"en","page":"179","source":"Zotero","title":"Law Translation: A Self-Defence Case Study","volume":"25","author":[{"family":"Charles-Green","given":"Alyssa"}],"issued":{"date-parts":[["2019"]]}},"locator":"183"}],"schema":"https://github.com/citation-style-language/schema/raw/master/csl-citation.json"}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Susan Sarcevic, </w:t>
      </w:r>
      <w:r w:rsidRPr="004538FF">
        <w:rPr>
          <w:rFonts w:ascii="Times New Roman" w:hAnsi="Times New Roman" w:cs="Times New Roman"/>
          <w:i/>
          <w:iCs/>
          <w:szCs w:val="24"/>
        </w:rPr>
        <w:t>New Approach To Legal Translation</w:t>
      </w:r>
      <w:r w:rsidRPr="004538FF">
        <w:rPr>
          <w:rFonts w:ascii="Times New Roman" w:hAnsi="Times New Roman" w:cs="Times New Roman"/>
          <w:szCs w:val="24"/>
        </w:rPr>
        <w:t xml:space="preserve"> (Kluwer Law International, 1st Edition, 1997) 36–37; Charles-Green (n 185) 183.</w:t>
      </w:r>
      <w:r w:rsidRPr="004538FF">
        <w:rPr>
          <w:rFonts w:ascii="Times New Roman" w:hAnsi="Times New Roman" w:cs="Times New Roman"/>
        </w:rPr>
        <w:fldChar w:fldCharType="end"/>
      </w:r>
    </w:p>
  </w:footnote>
  <w:footnote w:id="191">
    <w:p w14:paraId="45C593C0" w14:textId="129EDD68"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bookmarkStart w:id="10" w:name="_Hlk54771157"/>
      <w:r w:rsidRPr="004538FF">
        <w:rPr>
          <w:rFonts w:ascii="Times New Roman" w:hAnsi="Times New Roman" w:cs="Times New Roman"/>
          <w:i/>
          <w:iCs/>
        </w:rPr>
        <w:t>Official Languages Act</w:t>
      </w:r>
      <w:r w:rsidRPr="004538FF">
        <w:rPr>
          <w:rFonts w:ascii="Times New Roman" w:hAnsi="Times New Roman" w:cs="Times New Roman"/>
        </w:rPr>
        <w:t>, RSC 1985, c 31, s 2.</w:t>
      </w:r>
      <w:bookmarkEnd w:id="10"/>
    </w:p>
  </w:footnote>
  <w:footnote w:id="192">
    <w:p w14:paraId="194C7DA2" w14:textId="159189FF"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{"citationID":"oOqpI9qF","properties":{"formattedCitation":"Susan Sarcevic, \\uc0\\u8216{}Creativity in Legal Translation: How Much Is Too Much?\\uc0\\u8217{} in {\\i{}Translation in Context: Selected Contributions from the EST Congress, Granada, 1998} (John Benjamins Publishing, 2000) 281, 282\\uc0\\u8211{}284; Rafat Y Alwazna, \\uc0\\u8216{}Important Translation Strategies Used in Legal Translation: Examples of Hooper\\uc0\\u8217{}s Translation of the Ottoman Majalla into English\\uc0\\u8217{} in {\\i{}The Ashgate Handbook of Legal Translation} (Routledge, 2016) 237, 240.","plainCitation":"Susan Sarcevic, ‘Creativity in Legal Translation: How Much Is Too Much?’ in Translation in Context: Selected Contributions from the EST Congress, Granada, 1998 (John Benjamins Publishing, 2000) 281, 282–284; Rafat Y Alwazna, ‘Important Translation Strategies Used in Legal Translation: Examples of Hooper’s Translation of the Ottoman Majalla into English’ in The Ashgate Handbook of Legal Translation (Routledge, 2016) 237, 240.","noteIndex":193},"citationItems":[{"id":361,"uris":["http://zotero.org/users/6782581/items/P2E2CGQ8"],"uri":["http://zotero.org/users/6782581/items/P2E2CGQ8"],"itemData":{"id":361,"type":"chapter","abstract":"Translation in Context is a collection of contributions from the 1998 Congress arranged by EST, the European Society for Translation Studies, in Granada, Spain. It illustrates some of the latest research interests and achievements in Translation Studies at the turn of the millennium. The contributions show how the context of Translation Studies has expanded to cover new documentation techniques, cultural and psychological factors, the latest computer tools, ideological issues, media translation, and new methodologies. A total of 32 papers deal with: (I) Conceptual analysis in Translation Studies, (II) Situational, sociological and political factors, (III) Psychological and cognitive aspects, (IV) Translation effects, (V) Computer aids, (VI) Text-type studies, (VII) Culture-bound concepts, and (VIII) Translation history. The languages of the papers and abstracts are English, French, German and Spanish.","container-title":"Translation in Context: Selected Contributions from the EST Congress, Granada, 1998","ISBN":"978-90-272-1644-1","language":"en","note":"Google-Books-ID: s9rDWOujGYEC","page":"281","publisher":"John Benjamins Publishing","source":"Google Books","title":"Creativity in Legal Translation: How Much is Too Much?","author":[{"family":"Sarcevic","given":"Susan"}],"issued":{"date-parts":[["2000",1,1]]}},"locator":"282-284"},{"id":363,"uris":["http://zotero.org/users/6782581/items/7HX28Y7H"],"uri":["http://zotero.org/users/6782581/items/7HX28Y7H"],"itemData":{"id":363,"type":"chapter","container-title":"The Ashgate Handbook of Legal Translation","page":"237","publisher":"Routledge","title":"Important Translation Strategies Used in Legal Translation: Examples of Hooper's Translation of the Ottoman Majalla into English","author":[{"family":"Alwazna","given":"Rafat Y."}],"issued":{"date-parts":[["2016",4,1]]}},"locator":"240"}],"schema":"https://github.com/citation-style-language/schema/raw/master/csl-citation.json"}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Susan Sarcevic, ‘Creativity in Legal Translation: How Much Is Too Much?’ in </w:t>
      </w:r>
      <w:r w:rsidRPr="004538FF">
        <w:rPr>
          <w:rFonts w:ascii="Times New Roman" w:hAnsi="Times New Roman" w:cs="Times New Roman"/>
          <w:i/>
          <w:iCs/>
          <w:szCs w:val="24"/>
        </w:rPr>
        <w:t>Translation in Context: Selected Contributions from the EST Congress, Granada, 1998</w:t>
      </w:r>
      <w:r w:rsidRPr="004538FF">
        <w:rPr>
          <w:rFonts w:ascii="Times New Roman" w:hAnsi="Times New Roman" w:cs="Times New Roman"/>
          <w:szCs w:val="24"/>
        </w:rPr>
        <w:t xml:space="preserve"> (John Benjamins Publishing, 2000) 281, 282–284; Rafat Y Alwazna, ‘Important Translation Strategies Used in Legal Translation: Examples of Hooper’s Translation of the Ottoman Majalla into English’ in </w:t>
      </w:r>
      <w:r w:rsidRPr="004538FF">
        <w:rPr>
          <w:rFonts w:ascii="Times New Roman" w:hAnsi="Times New Roman" w:cs="Times New Roman"/>
          <w:i/>
          <w:iCs/>
          <w:szCs w:val="24"/>
        </w:rPr>
        <w:t>The Ashgate Handbook of Legal Translation</w:t>
      </w:r>
      <w:r w:rsidRPr="004538FF">
        <w:rPr>
          <w:rFonts w:ascii="Times New Roman" w:hAnsi="Times New Roman" w:cs="Times New Roman"/>
          <w:szCs w:val="24"/>
        </w:rPr>
        <w:t xml:space="preserve"> (Routledge, 2016) 237, 240.</w:t>
      </w:r>
      <w:r w:rsidRPr="004538FF">
        <w:rPr>
          <w:rFonts w:ascii="Times New Roman" w:hAnsi="Times New Roman" w:cs="Times New Roman"/>
        </w:rPr>
        <w:fldChar w:fldCharType="end"/>
      </w:r>
    </w:p>
  </w:footnote>
  <w:footnote w:id="193">
    <w:p w14:paraId="701ED328" w14:textId="5E10D9C2"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A development which lends credence to the constitutional approach considered in the prior subsection, as well as the multidisciplinary approach to Rules as Code put forward by various scholars in the literature discussed in Section II: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{"citationID":"uYglXgSx","properties":{"formattedCitation":"See, eg, Mohun and Roberts (n 1) 23.","plainCitation":"See, eg, Mohun and Roberts (n 1) 23.","noteIndex":194},"citationItems":[{"id":19,"uris":["http://zotero.org/users/6782581/items/HWX5UKVU"],"uri":["http://zotero.org/users/6782581/items/HWX5UKVU"],"itemData":{"id":19,"type":"article","publisher":"Observatory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machines","author":[{"family":"Mohun","given":"James"},{"family":"Roberts","given":"Alex"}],"issued":{"date-parts":[["2020",5,27]]}},"locator":"23","prefix":"See, eg, "}],"schema":"https://github.com/citation-style-language/schema/raw/master/csl-citation.json"}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See, eg, Mohun and Roberts (n 1) 23.</w:t>
      </w:r>
      <w:r w:rsidRPr="004538FF">
        <w:rPr>
          <w:rFonts w:ascii="Times New Roman" w:hAnsi="Times New Roman" w:cs="Times New Roman"/>
        </w:rPr>
        <w:fldChar w:fldCharType="end"/>
      </w:r>
    </w:p>
  </w:footnote>
  <w:footnote w:id="194">
    <w:p w14:paraId="3FD81FC4" w14:textId="0D39A11B"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{"citationID":"ajCEWo5l","properties":{"formattedCitation":"Sarcevic (n 193) 287.","plainCitation":"Sarcevic (n 193) 287.","noteIndex":195},"citationItems":[{"id":361,"uris":["http://zotero.org/users/6782581/items/P2E2CGQ8"],"uri":["http://zotero.org/users/6782581/items/P2E2CGQ8"],"itemData":{"id":361,"type":"chapter","abstract":"Translation in Context is a collection of contributions from the 1998 Congress arranged by EST, the European Society for Translation Studies, in Granada, Spain. It illustrates some of the latest research interests and achievements in Translation Studies at the turn of the millennium. The contributions show how the context of Translation Studies has expanded to cover new documentation techniques, cultural and psychological factors, the latest computer tools, ideological issues, media translation, and new methodologies. A total of 32 papers deal with: (I) Conceptual analysis in Translation Studies, (II) Situational, sociological and political factors, (III) Psychological and cognitive aspects, (IV) Translation effects, (V) Computer aids, (VI) Text-type studies, (VII) Culture-bound concepts, and (VIII) Translation history. The languages of the papers and abstracts are English, French, German and Spanish.","container-title":"Translation in Context: Selected Contributions from the EST Congress, Granada, 1998","ISBN":"978-90-272-1644-1","language":"en","note":"Google-Books-ID: s9rDWOujGYEC","page":"281","publisher":"John Benjamins Publishing","source":"Google Books","title":"Creativity in Legal Translation: How Much is Too Much?","author":[{"family":"Sarcevic","given":"Susan"}],"issued":{"date-parts":[["2000",1,1]]}},"locator":"287"}],"schema":"https://github.com/citation-style-language/schema/raw/master/csl-citation.json"}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Sarcevic (n 193) 287.</w:t>
      </w:r>
      <w:r w:rsidRPr="004538FF">
        <w:rPr>
          <w:rFonts w:ascii="Times New Roman" w:hAnsi="Times New Roman" w:cs="Times New Roman"/>
        </w:rPr>
        <w:fldChar w:fldCharType="end"/>
      </w:r>
    </w:p>
  </w:footnote>
  <w:footnote w:id="195">
    <w:p w14:paraId="49528796" w14:textId="6D92BA15"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{"citationID":"I0nEvJyP","properties":{"formattedCitation":"Alwazna (n 193) 240; Sarcevic (n 193) 290.","plainCitation":"Alwazna (n 193) 240; Sarcevic (n 193) 290.","noteIndex":196},"citationItems":[{"id":363,"uris":["http://zotero.org/users/6782581/items/7HX28Y7H"],"uri":["http://zotero.org/users/6782581/items/7HX28Y7H"],"itemData":{"id":363,"type":"chapter","container-title":"The Ashgate Handbook of Legal Translation","page":"237","publisher":"Routledge","title":"Important Translation Strategies Used in Legal Translation: Examples of Hooper's Translation of the Ottoman Majalla into English","author":[{"family":"Alwazna","given":"Rafat Y."}],"issued":{"date-parts":[["2016",4,1]]}},"locator":"240"},{"id":361,"uris":["http://zotero.org/users/6782581/items/P2E2CGQ8"],"uri":["http://zotero.org/users/6782581/items/P2E2CGQ8"],"itemData":{"id":361,"type":"chapter","abstract":"Translation in Context is a collection of contributions from the 1998 Congress arranged by EST, the European Society for Translation Studies, in Granada, Spain. It illustrates some of the latest research interests and achievements in Translation Studies at the turn of the millennium. The contributions show how the context of Translation Studies has expanded to cover new documentation techniques, cultural and psychological factors, the latest computer tools, ideological issues, media translation, and new methodologies. A total of 32 papers deal with: (I) Conceptual analysis in Translation Studies, (II) Situational, sociological and political factors, (III) Psychological and cognitive aspects, (IV) Translation effects, (V) Computer aids, (VI) Text-type studies, (VII) Culture-bound concepts, and (VIII) Translation history. The languages of the papers and abstracts are English, French, German and Spanish.","container-title":"Translation in Context: Selected Contributions from the EST Congress, Granada, 1998","ISBN":"978-90-272-1644-1","language":"en","note":"Google-Books-ID: s9rDWOujGYEC","page":"281","publisher":"John Benjamins Publishing","source":"Google Books","title":"Creativity in Legal Translation: How Much is Too Much?","author":[{"family":"Sarcevic","given":"Susan"}],"issued":{"date-parts":[["2000",1,1]]}},"locator":"290"}],"schema":"https://github.com/citation-style-language/schema/raw/master/csl-citation.json"}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Alwazna (n 193) 240; Sarcevic (n 193) 290.</w:t>
      </w:r>
      <w:r w:rsidRPr="004538FF">
        <w:rPr>
          <w:rFonts w:ascii="Times New Roman" w:hAnsi="Times New Roman" w:cs="Times New Roman"/>
        </w:rPr>
        <w:fldChar w:fldCharType="end"/>
      </w:r>
    </w:p>
  </w:footnote>
  <w:footnote w:id="196">
    <w:p w14:paraId="6670AF0B" w14:textId="360345BE"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{"citationID":"sGGUOJ9L","properties":{"formattedCitation":"Malcolm Harvey, \\uc0\\u8216{}What\\uc0\\u8217{}s so Special about Legal Translation?\\uc0\\u8217{} (2002) 47(2) {\\i{}Meta: Journal des traducteurs [Meta: Translators\\uc0\\u8217{} Journal]} 177, 180.","plainCitation":"Malcolm Harvey, ‘What’s so Special about Legal Translation?’ (2002) 47(2) Meta: Journal des traducteurs [Meta: Translators’ Journal] 177, 180.","noteIndex":197},"citationItems":[{"id":372,"uris":["http://zotero.org/users/6782581/items/74473CAR"],"uri":["http://zotero.org/users/6782581/items/74473CAR"],"itemData":{"id":372,"type":"article-journal","container-title":"Meta: Journal des traducteurs [Meta: Translators' Journal]","DOI":"10.7202/008007ar","ISSN":"1492-1421, 0026-0452","issue":"2","journalAbbreviation":"META","language":"en","page":"177-185","source":"DOI.org (Crossref)","title":"What’s so Special about Legal Translation?","volume":"47","author":[{"family":"Harvey","given":"Malcolm"}],"issued":{"date-parts":[["2002",6]]}},"locator":"180"}],"schema":"https://github.com/citation-style-language/schema/raw/master/csl-citation.json"}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Malcolm Harvey, ‘What’s so Special about Legal Translation?’ (2002) 47(2) </w:t>
      </w:r>
      <w:r w:rsidRPr="004538FF">
        <w:rPr>
          <w:rFonts w:ascii="Times New Roman" w:hAnsi="Times New Roman" w:cs="Times New Roman"/>
          <w:i/>
          <w:iCs/>
          <w:szCs w:val="24"/>
        </w:rPr>
        <w:t>Meta: Journal des traducteurs [Meta: Translators’ Journal]</w:t>
      </w:r>
      <w:r w:rsidRPr="004538FF">
        <w:rPr>
          <w:rFonts w:ascii="Times New Roman" w:hAnsi="Times New Roman" w:cs="Times New Roman"/>
          <w:szCs w:val="24"/>
        </w:rPr>
        <w:t xml:space="preserve"> 177, 180.</w:t>
      </w:r>
      <w:r w:rsidRPr="004538FF">
        <w:rPr>
          <w:rFonts w:ascii="Times New Roman" w:hAnsi="Times New Roman" w:cs="Times New Roman"/>
        </w:rPr>
        <w:fldChar w:fldCharType="end"/>
      </w:r>
    </w:p>
  </w:footnote>
  <w:footnote w:id="197">
    <w:p w14:paraId="32AAE7BA" w14:textId="4D258048"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See, eg, </w:t>
      </w:r>
      <w:r w:rsidRPr="004538FF">
        <w:rPr>
          <w:rFonts w:ascii="Times New Roman" w:hAnsi="Times New Roman" w:cs="Times New Roman"/>
          <w:i/>
          <w:iCs/>
          <w:szCs w:val="24"/>
        </w:rPr>
        <w:t>Project Blue Sky v Australian Broadcasting Authority</w:t>
      </w:r>
      <w:r w:rsidRPr="004538FF">
        <w:rPr>
          <w:rFonts w:ascii="Times New Roman" w:hAnsi="Times New Roman" w:cs="Times New Roman"/>
          <w:szCs w:val="24"/>
        </w:rPr>
        <w:t xml:space="preserve"> (1998) 194 CLR 355, 384; </w:t>
      </w:r>
      <w:r w:rsidRPr="004538FF">
        <w:rPr>
          <w:rFonts w:ascii="Times New Roman" w:hAnsi="Times New Roman" w:cs="Times New Roman"/>
          <w:szCs w:val="24"/>
        </w:rPr>
        <w:fldChar w:fldCharType="begin"/>
      </w:r>
      <w:r w:rsidRPr="004538FF">
        <w:rPr>
          <w:rFonts w:ascii="Times New Roman" w:hAnsi="Times New Roman" w:cs="Times New Roman"/>
          <w:szCs w:val="24"/>
        </w:rPr>
        <w:instrText xml:space="preserve"> ADDIN ZOTERO_ITEM CSL_CITATION {"citationID":"eRCDrVpY","properties":{"formattedCitation":"Sanson (n 55) 62\\uc0\\u8211{}67.","plainCitation":"Sanson (n 55) 62–67.","noteIndex":198},"citationItems":[{"id":486,"uris":["http://zotero.org/users/6782581/items/M2X6GXP5"],"uri":["http://zotero.org/users/6782581/items/M2X6GXP5"],"itemData":{"id":486,"type":"book","event-place":"Melbourne, AUSTRALIA","ISBN":"978-0-19-030458-4","publisher":"Oxford University Press","publisher-place":"Melbourne, AUSTRALIA","source":"ProQuest Ebook Central","title":"Statutory Interpretation","URL":"http://ebookcentral.proquest.com/lib/qut/detail.action?docID=5676439","author":[{"family":"Sanson","given":"Michelle"}],"accessed":{"date-parts":[["2020",10,20]]},"issued":{"date-parts":[["2016"]]}},"locator":"62-67"}],"schema":"https://github.com/citation-style-language/schema/raw/master/csl-citation.json"} </w:instrText>
      </w:r>
      <w:r w:rsidRPr="004538FF">
        <w:rPr>
          <w:rFonts w:ascii="Times New Roman" w:hAnsi="Times New Roman" w:cs="Times New Roman"/>
          <w:szCs w:val="24"/>
        </w:rPr>
        <w:fldChar w:fldCharType="separate"/>
      </w:r>
      <w:r w:rsidRPr="004538FF">
        <w:rPr>
          <w:rFonts w:ascii="Times New Roman" w:hAnsi="Times New Roman" w:cs="Times New Roman"/>
          <w:szCs w:val="24"/>
        </w:rPr>
        <w:t>Sanson (n 55) 62–67.</w:t>
      </w:r>
      <w:r w:rsidRPr="004538FF">
        <w:rPr>
          <w:rFonts w:ascii="Times New Roman" w:hAnsi="Times New Roman" w:cs="Times New Roman"/>
          <w:szCs w:val="24"/>
        </w:rPr>
        <w:fldChar w:fldCharType="end"/>
      </w:r>
    </w:p>
  </w:footnote>
  <w:footnote w:id="198">
    <w:p w14:paraId="363003B0" w14:textId="369F9780"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{"citationID":"J5iiOiOf","properties":{"formattedCitation":"Kurt Guntheroth, {\\i{}Optimized C++: Proven Techniques for Heightened Performance} (Centre for Alternative Economic Policy Research, 2016) 6\\uc0\\u8211{}9 (\\uc0\\u8216{}{\\i{}Optimized C++}\\uc0\\u8217{}). It is noted that the optimisation referred to here is that done appropriately, as opposed to TODO.","plainCitation":"Kurt Guntheroth, Optimized C++: Proven Techniques for Heightened Performance (Centre for Alternative Economic Policy Research, 2016) 6–9 (‘Optimized C++’). It is noted that the optimisation referred to here is that done appropriately, as opposed to TODO.","dontUpdate":true,"noteIndex":199},"citationItems":[{"id":364,"uris":["http://zotero.org/users/6782581/items/TSVFNMWH"],"uri":["http://zotero.org/users/6782581/items/TSVFNMWH"],"itemData":{"id":364,"type":"book","abstract":"In today's fast and competitive world, a program's performance is just as important to customers as the features it provides. This practical guide teaches developers performance-tuning principles that enable optimization in C++. You'll learn how to make code that already embodies best practices of C++ design run faster and consume fewer resources on any computer-whether it's a watch, phone, workstation, supercomputer, or globe-spanning network of servers. Author Kurt Guntheroth provides several running examples that demonstrate how to apply these principles incrementally to improve existing code so it meets customer requirements for responsiveness and throughput. The advice in this book will prove itself the first time you hear a colleague exclaim, \"Wow, that was fast. Who fixed something?\" Locate performance hot spots using the profiler and software timers Learn to perform repeatable experiments to measure performance of code changes Optimize use of dynamically allocated variables Improve performance of hot loops and functions Speed up string handling functions Recognize efficient algorithms and optimization patterns Learn the strengths-and weaknesses-of C++ container classes View searching and sorting through an optimizer's eye Make efficient use of C++ streaming I/O functions Use C++ thread-based concurrency features effectively","event-place":"Sebastopol, CA","ISBN":"978-1-4919-2206-4","language":"English","number-of-pages":"388","publisher":"Centre for Alternative Economic Policy Research","publisher-place":"Sebastopol, CA","source":"Amazon","title":"Optimized C++: Proven Techniques for Heightened Performance","title-short":"Optimized C++","author":[{"family":"Guntheroth","given":"Kurt"}],"issued":{"date-parts":[["2016",5,10]]}},"locator":"6-9","suffix":". It is noted that the optimisation referred to here is that done appropriately, as opposed to TODO"}],"schema":"https://github.com/citation-style-language/schema/raw/master/csl-citation.json"}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Kurt Guntheroth, </w:t>
      </w:r>
      <w:r w:rsidRPr="004538FF">
        <w:rPr>
          <w:rFonts w:ascii="Times New Roman" w:hAnsi="Times New Roman" w:cs="Times New Roman"/>
          <w:i/>
          <w:iCs/>
          <w:szCs w:val="24"/>
        </w:rPr>
        <w:t>Optimized C++: Proven Techniques for Heightened Performance</w:t>
      </w:r>
      <w:r w:rsidRPr="004538FF">
        <w:rPr>
          <w:rFonts w:ascii="Times New Roman" w:hAnsi="Times New Roman" w:cs="Times New Roman"/>
          <w:szCs w:val="24"/>
        </w:rPr>
        <w:t xml:space="preserve"> (Centre for Alternative Economic Policy Research, 2016) 6–9 (‘</w:t>
      </w:r>
      <w:r w:rsidRPr="004538FF">
        <w:rPr>
          <w:rFonts w:ascii="Times New Roman" w:hAnsi="Times New Roman" w:cs="Times New Roman"/>
          <w:i/>
          <w:iCs/>
          <w:szCs w:val="24"/>
        </w:rPr>
        <w:t>Optimized C++</w:t>
      </w:r>
      <w:r w:rsidRPr="004538FF">
        <w:rPr>
          <w:rFonts w:ascii="Times New Roman" w:hAnsi="Times New Roman" w:cs="Times New Roman"/>
          <w:szCs w:val="24"/>
        </w:rPr>
        <w:t>’). It is noted that the optimisation referred to here is that done appropriately, as opposed to over-optimisation.</w:t>
      </w:r>
      <w:r w:rsidRPr="004538FF">
        <w:rPr>
          <w:rFonts w:ascii="Times New Roman" w:hAnsi="Times New Roman" w:cs="Times New Roman"/>
        </w:rPr>
        <w:fldChar w:fldCharType="end"/>
      </w:r>
    </w:p>
  </w:footnote>
  <w:footnote w:id="199">
    <w:p w14:paraId="77C7AAD0" w14:textId="586F4064"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See the methodology outlined in Section III.</w:t>
      </w:r>
    </w:p>
  </w:footnote>
  <w:footnote w:id="200">
    <w:p w14:paraId="617340D2" w14:textId="78288323" w:rsidR="004538FF" w:rsidRPr="004538FF" w:rsidRDefault="004538FF" w:rsidP="00457213">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i/>
          <w:iCs/>
        </w:rPr>
        <w:t xml:space="preserve">National Consumer Credit Protection Act 2009 </w:t>
      </w:r>
      <w:r w:rsidRPr="004538FF">
        <w:rPr>
          <w:rFonts w:ascii="Times New Roman" w:hAnsi="Times New Roman" w:cs="Times New Roman"/>
        </w:rPr>
        <w:t>ss 131(1), 133(1).</w:t>
      </w:r>
    </w:p>
  </w:footnote>
  <w:footnote w:id="201">
    <w:p w14:paraId="252577B3" w14:textId="3996D65E"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Ibid ss 131(2)-(4), 133(2)-(5).</w:t>
      </w:r>
    </w:p>
  </w:footnote>
  <w:footnote w:id="202">
    <w:p w14:paraId="1621E066" w14:textId="3A71DCF9"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As specified in s 131(1).</w:t>
      </w:r>
    </w:p>
  </w:footnote>
  <w:footnote w:id="203">
    <w:p w14:paraId="6F9A37F0" w14:textId="1CDBE1CB"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As specified in s 133(1).</w:t>
      </w:r>
    </w:p>
  </w:footnote>
  <w:footnote w:id="204">
    <w:p w14:paraId="380F98BD" w14:textId="6B6A9609"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As specified in s 131(3A)(b).</w:t>
      </w:r>
    </w:p>
  </w:footnote>
  <w:footnote w:id="205">
    <w:p w14:paraId="332ECFE1" w14:textId="5971522E"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As specified in s 133(3A)(b).</w:t>
      </w:r>
    </w:p>
  </w:footnote>
  <w:footnote w:id="206">
    <w:p w14:paraId="5830C05E" w14:textId="4DD65CE8"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{"citationID":"6Y35NRTw","properties":{"formattedCitation":"Michelle Mannoni, \\uc0\\u8216{}Challenging the Existence of Legal Translation: A Comprehensive Translation Theory\\uc0\\u8217{} (2016) 26 {\\i{}Comparative Legilinguistics: International Journal for Legal Communication} 99.","plainCitation":"Michelle Mannoni, ‘Challenging the Existence of Legal Translation: A Comprehensive Translation Theory’ (2016) 26 Comparative Legilinguistics: International Journal for Legal Communication 99.","noteIndex":207},"citationItems":[{"id":350,"uris":["http://zotero.org/users/6782581/items/JCYHUSHP"],"uri":["http://zotero.org/users/6782581/items/JCYHUSHP"],"itemData":{"id":350,"type":"article-journal","container-title":"Comparative Legilinguistics: International Journal for Legal Communication","language":"en-US","page":"99","source":"pressto.amu.edu.pl","title":"Challenging the Existence of Legal Translation: A Comprehensive Translation Theory","volume":"26","author":[{"family":"Mannoni","given":"Michelle"}],"issued":{"date-parts":[["2016",1,1]]}}}],"schema":"https://github.com/citation-style-language/schema/raw/master/csl-citation.json"}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Michelle Mannoni, ‘Challenging the Existence of Legal Translation: A Comprehensive Translation Theory’ (2016) 26 </w:t>
      </w:r>
      <w:r w:rsidRPr="004538FF">
        <w:rPr>
          <w:rFonts w:ascii="Times New Roman" w:hAnsi="Times New Roman" w:cs="Times New Roman"/>
          <w:i/>
          <w:iCs/>
          <w:szCs w:val="24"/>
        </w:rPr>
        <w:t>Comparative Legilinguistics: International Journal for Legal Communication</w:t>
      </w:r>
      <w:r w:rsidRPr="004538FF">
        <w:rPr>
          <w:rFonts w:ascii="Times New Roman" w:hAnsi="Times New Roman" w:cs="Times New Roman"/>
          <w:szCs w:val="24"/>
        </w:rPr>
        <w:t xml:space="preserve"> 99.</w:t>
      </w:r>
      <w:r w:rsidRPr="004538FF">
        <w:rPr>
          <w:rFonts w:ascii="Times New Roman" w:hAnsi="Times New Roman" w:cs="Times New Roman"/>
        </w:rPr>
        <w:fldChar w:fldCharType="end"/>
      </w:r>
    </w:p>
  </w:footnote>
  <w:footnote w:id="207">
    <w:p w14:paraId="5AE7E6FD" w14:textId="726C8BE2"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{"citationID":"hf3PYaVW","properties":{"formattedCitation":"Anton Popovi\\uc0\\u269{}, \\uc0\\u8216{}Aspects of Metatext\\uc0\\u8217{} [1976] {\\i{}Canadian Review of Comparative Literature} 225; Anton Popovi\\uc0\\u269{}, {\\i{}La Scienza Della Traduzione: Aspetti Metodologici, La Comunicazione Traduttiva  [The Science of Translation: Methods and Translation as a Form of Communication]}, tr Bruno Osimo (Casa Editrice Hoepli, 1975).","plainCitation":"Anton Popovič, ‘Aspects of Metatext’ [1976] Canadian Review of Comparative Literature 225; Anton Popovič, La Scienza Della Traduzione: Aspetti Metodologici, La Comunicazione Traduttiva  [The Science of Translation: Methods and Translation as a Form of Communication], tr Bruno Osimo (Casa Editrice Hoepli, 1975).","noteIndex":208},"citationItems":[{"id":626,"uris":["http://zotero.org/users/6782581/items/WM55NMX8"],"uri":["http://zotero.org/users/6782581/items/WM55NMX8"],"itemData":{"id":626,"type":"article-journal","container-title":"Canadian Review of Comparative Literature","ISSN":"1913-9659","journalAbbreviation":"CRCL/RCLC","language":"en","page":"225-235","source":"journals.library.ualberta.ca","title":"Aspects of Metatext","author":[{"family":"Popovič","given":"Anton"}],"issued":{"date-parts":[["1976",9,1]]}}},{"id":630,"uris":["http://zotero.org/users/6782581/items/H7PTGPP4"],"uri":["http://zotero.org/users/6782581/items/H7PTGPP4"],"itemData":{"id":630,"type":"book","event-place":"Milan","publisher":"Casa Editrice Hoepli","publisher-place":"Milan","title":"La scienza della traduzione: Aspetti Metodologici, La Comunicazione Traduttiva  [The science of translation: methods and translation as a form of communication]","author":[{"family":"Popovič","given":"Anton"}],"translator":[{"family":"Osimo","given":"Bruno"}],"issued":{"date-parts":[["1975"]]}}}],"schema":"https://github.com/citation-style-language/schema/raw/master/csl-citation.json"}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Anton Popovič, ‘Aspects of Metatext’ [1976] </w:t>
      </w:r>
      <w:r w:rsidRPr="004538FF">
        <w:rPr>
          <w:rFonts w:ascii="Times New Roman" w:hAnsi="Times New Roman" w:cs="Times New Roman"/>
          <w:i/>
          <w:iCs/>
          <w:szCs w:val="24"/>
        </w:rPr>
        <w:t>Canadian Review of Comparative Literature</w:t>
      </w:r>
      <w:r w:rsidRPr="004538FF">
        <w:rPr>
          <w:rFonts w:ascii="Times New Roman" w:hAnsi="Times New Roman" w:cs="Times New Roman"/>
          <w:szCs w:val="24"/>
        </w:rPr>
        <w:t xml:space="preserve"> 225; Anton Popovič, </w:t>
      </w:r>
      <w:r w:rsidRPr="004538FF">
        <w:rPr>
          <w:rFonts w:ascii="Times New Roman" w:hAnsi="Times New Roman" w:cs="Times New Roman"/>
          <w:i/>
          <w:iCs/>
          <w:szCs w:val="24"/>
        </w:rPr>
        <w:t>La Scienza Della Traduzione: Aspetti Metodologici, La Comunicazione Traduttiva  [The Science of Translation: Methods and Translation as a Form of Communication]</w:t>
      </w:r>
      <w:r w:rsidRPr="004538FF">
        <w:rPr>
          <w:rFonts w:ascii="Times New Roman" w:hAnsi="Times New Roman" w:cs="Times New Roman"/>
          <w:szCs w:val="24"/>
        </w:rPr>
        <w:t>, tr Bruno Osimo (Casa Editrice Hoepli, 1975).</w:t>
      </w:r>
      <w:r w:rsidRPr="004538FF">
        <w:rPr>
          <w:rFonts w:ascii="Times New Roman" w:hAnsi="Times New Roman" w:cs="Times New Roman"/>
        </w:rPr>
        <w:fldChar w:fldCharType="end"/>
      </w:r>
    </w:p>
  </w:footnote>
  <w:footnote w:id="208">
    <w:p w14:paraId="026FC797" w14:textId="3D2165E3"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{"citationID":"XmIKMYGv","properties":{"formattedCitation":"Mannoni (n 207) 112; Popovi\\uc0\\u269{}, \\uc0\\u8216{}Aspects of Metatext\\uc0\\u8217{} (n 208) 226\\uc0\\u8211{}227.","plainCitation":"Mannoni (n 207) 112; Popovič, ‘Aspects of Metatext’ (n 208) 226–227.","noteIndex":209},"citationItems":[{"id":350,"uris":["http://zotero.org/users/6782581/items/JCYHUSHP"],"uri":["http://zotero.org/users/6782581/items/JCYHUSHP"],"itemData":{"id":350,"type":"article-journal","container-title":"Comparative Legilinguistics: International Journal for Legal Communication","language":"en-US","page":"99","source":"pressto.amu.edu.pl","title":"Challenging the Existence of Legal Translation: A Comprehensive Translation Theory","volume":"26","author":[{"family":"Mannoni","given":"Michelle"}],"issued":{"date-parts":[["2016",1,1]]}},"locator":"112"},{"id":626,"uris":["http://zotero.org/users/6782581/items/WM55NMX8"],"uri":["http://zotero.org/users/6782581/items/WM55NMX8"],"itemData":{"id":626,"type":"article-journal","container-title":"Canadian Review of Comparative Literature","ISSN":"1913-9659","journalAbbreviation":"CRCL/RCLC","language":"en","page":"225-235","source":"journals.library.ualberta.ca","title":"Aspects of Metatext","author":[{"family":"Popovič","given":"Anton"}],"issued":{"date-parts":[["1976",9,1]]}},"locator":"226-227"}],"schema":"https://github.com/citation-style-language/schema/raw/master/csl-citation.json"}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Mannoni (n 207) 112; Popovič, ‘Aspects of Metatext’ (n 208) 226–227.</w:t>
      </w:r>
      <w:r w:rsidRPr="004538FF">
        <w:rPr>
          <w:rFonts w:ascii="Times New Roman" w:hAnsi="Times New Roman" w:cs="Times New Roman"/>
        </w:rPr>
        <w:fldChar w:fldCharType="end"/>
      </w:r>
    </w:p>
  </w:footnote>
  <w:footnote w:id="209">
    <w:p w14:paraId="4E4825D4" w14:textId="53EF0BA4"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{"citationID":"2GPJQ4K4","properties":{"formattedCitation":"Mannoni (n 207) 109\\uc0\\u8211{}110.","plainCitation":"Mannoni (n 207) 109–110.","noteIndex":210},"citationItems":[{"id":350,"uris":["http://zotero.org/users/6782581/items/JCYHUSHP"],"uri":["http://zotero.org/users/6782581/items/JCYHUSHP"],"itemData":{"id":350,"type":"article-journal","container-title":"Comparative Legilinguistics: International Journal for Legal Communication","language":"en-US","page":"99","source":"pressto.amu.edu.pl","title":"Challenging the Existence of Legal Translation: A Comprehensive Translation Theory","volume":"26","author":[{"family":"Mannoni","given":"Michelle"}],"issued":{"date-parts":[["2016",1,1]]}},"locator":"109-110"}],"schema":"https://github.com/citation-style-language/schema/raw/master/csl-citation.json"}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Mannoni (n 207) 109–110.</w:t>
      </w:r>
      <w:r w:rsidRPr="004538FF">
        <w:rPr>
          <w:rFonts w:ascii="Times New Roman" w:hAnsi="Times New Roman" w:cs="Times New Roman"/>
        </w:rPr>
        <w:fldChar w:fldCharType="end"/>
      </w:r>
    </w:p>
  </w:footnote>
  <w:footnote w:id="210">
    <w:p w14:paraId="3C0EAE08" w14:textId="2BF75EA1"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{"citationID":"ly9IsLPg","properties":{"formattedCitation":"Ibid 121.","plainCitation":"Ibid 121.","noteIndex":211},"citationItems":[{"id":350,"uris":["http://zotero.org/users/6782581/items/JCYHUSHP"],"uri":["http://zotero.org/users/6782581/items/JCYHUSHP"],"itemData":{"id":350,"type":"article-journal","container-title":"Comparative Legilinguistics: International Journal for Legal Communication","language":"en-US","page":"99","source":"pressto.amu.edu.pl","title":"Challenging the Existence of Legal Translation: A Comprehensive Translation Theory","volume":"26","author":[{"family":"Mannoni","given":"Michelle"}],"issued":{"date-parts":[["2016",1,1]]}},"locator":"121"}],"schema":"https://github.com/citation-style-language/schema/raw/master/csl-citation.json"}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Ibid 121.</w:t>
      </w:r>
      <w:r w:rsidRPr="004538FF">
        <w:rPr>
          <w:rFonts w:ascii="Times New Roman" w:hAnsi="Times New Roman" w:cs="Times New Roman"/>
        </w:rPr>
        <w:fldChar w:fldCharType="end"/>
      </w:r>
    </w:p>
  </w:footnote>
  <w:footnote w:id="211">
    <w:p w14:paraId="70CEC9AE" w14:textId="3280FDA8"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{"citationID":"kGjXMyY8","properties":{"formattedCitation":"See also Harvey (n 197) 180\\uc0\\u8211{}181; Nicholas Kasirer, \\uc0\\u8216{}Fran\\uc0\\u231{}ois G\\uc0\\u233{}ny\\uc0\\u8217{}s Libre Recherche Scientifique as a Guide for Legal Translation\\uc0\\u8217{} (2001) 61(2) {\\i{}Louisiana Law Review} 331, 341; Matt Hammond, \\uc0\\u8216{}A New Wind of Quality from Europe: Implications of the Court Case Cited by Holz-M\\uc0\\u228{}ntt\\uc0\\u228{}ri for the U.S. Translation Industry\\uc0\\u8217{} in {\\i{}Translation and the Law} (John Benjamins Publishing) 233, 238\\uc0\\u8211{}239.","plainCitation":"See also Harvey (n 197) 180–181; Nicholas Kasirer, ‘François Gény’s Libre Recherche Scientifique as a Guide for Legal Translation’ (2001) 61(2) Louisiana Law Review 331, 341; Matt Hammond, ‘A New Wind of Quality from Europe: Implications of the Court Case Cited by Holz-Mänttäri for the U.S. Translation Industry’ in Translation and the Law (John Benjamins Publishing) 233, 238–239.","noteIndex":212},"citationItems":[{"id":372,"uris":["http://zotero.org/users/6782581/items/74473CAR"],"uri":["http://zotero.org/users/6782581/items/74473CAR"],"itemData":{"id":372,"type":"article-journal","container-title":"Meta: Journal des traducteurs [Meta: Translators' Journal]","DOI":"10.7202/008007ar","ISSN":"1492-1421, 0026-0452","issue":"2","journalAbbreviation":"META","language":"en","page":"177-185","source":"DOI.org (Crossref)","title":"What’s so Special about Legal Translation?","volume":"47","author":[{"family":"Harvey","given":"Malcolm"}],"issued":{"date-parts":[["2002",6]]}},"locator":"180-181","prefix":"See also"},{"id":374,"uris":["http://zotero.org/users/6782581/items/VTIPT5D5"],"uri":["http://zotero.org/users/6782581/items/VTIPT5D5"],"itemData":{"id":374,"type":"article-journal","container-title":"Louisiana Law Review","issue":"2","language":"en","page":"331","source":"Zotero","title":"François Gény's libre recherche scientifique as a Guide for Legal Translation","volume":"61","author":[{"family":"Kasirer","given":"Nicholas"}],"issued":{"date-parts":[["2001"]]}},"locator":"341"},{"id":375,"uris":["http://zotero.org/users/6782581/items/Y7YWQ6UX"],"uri":["http://zotero.org/users/6782581/items/Y7YWQ6UX"],"itemData":{"id":375,"type":"chapter","collection-number":"VIII","collection-title":"American Translators Association Scholarly Monograph Series","container-title":"Translation and the Law","page":"233-247","publisher":"John Benjamins Publishing","title":"A New Wind of Quality from Europe: Implications of the Court Case cited by Holz-Mänttäri for the U.S. Translation Industry","author":[{"family":"Hammond","given":"Matt"}]},"locator":"238-239"}],"schema":"https://github.com/citation-style-language/schema/raw/master/csl-citation.json"}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szCs w:val="24"/>
        </w:rPr>
        <w:t xml:space="preserve">See also Harvey (n 197) 180–181; Nicholas Kasirer, ‘François Gény’s Libre Recherche Scientifique as a Guide for Legal Translation’ (2001) 61(2) </w:t>
      </w:r>
      <w:r w:rsidRPr="004538FF">
        <w:rPr>
          <w:rFonts w:ascii="Times New Roman" w:hAnsi="Times New Roman" w:cs="Times New Roman"/>
          <w:i/>
          <w:iCs/>
          <w:szCs w:val="24"/>
        </w:rPr>
        <w:t>Louisiana Law Review</w:t>
      </w:r>
      <w:r w:rsidRPr="004538FF">
        <w:rPr>
          <w:rFonts w:ascii="Times New Roman" w:hAnsi="Times New Roman" w:cs="Times New Roman"/>
          <w:szCs w:val="24"/>
        </w:rPr>
        <w:t xml:space="preserve"> 331, 341; Matt Hammond, ‘A New Wind of Quality from Europe: Implications of the Court Case Cited by Holz-Mänttäri for the U.S. Translation Industry’ in </w:t>
      </w:r>
      <w:r w:rsidRPr="004538FF">
        <w:rPr>
          <w:rFonts w:ascii="Times New Roman" w:hAnsi="Times New Roman" w:cs="Times New Roman"/>
          <w:i/>
          <w:iCs/>
          <w:szCs w:val="24"/>
        </w:rPr>
        <w:t>Translation and the Law</w:t>
      </w:r>
      <w:r w:rsidRPr="004538FF">
        <w:rPr>
          <w:rFonts w:ascii="Times New Roman" w:hAnsi="Times New Roman" w:cs="Times New Roman"/>
          <w:szCs w:val="24"/>
        </w:rPr>
        <w:t xml:space="preserve"> (John Benjamins Publishing) 233, 238–239.</w:t>
      </w:r>
      <w:r w:rsidRPr="004538FF">
        <w:rPr>
          <w:rFonts w:ascii="Times New Roman" w:hAnsi="Times New Roman" w:cs="Times New Roman"/>
        </w:rPr>
        <w:fldChar w:fldCharType="end"/>
      </w:r>
    </w:p>
  </w:footnote>
  <w:footnote w:id="212">
    <w:p w14:paraId="4E8A37D0" w14:textId="4DAC7846"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{"citationID":"G4VrBn5S","properties":{"formattedCitation":"Sarcevic (n 191) 71, 112; See also Harvey (n 197) 181.","plainCitation":"Sarcevic (n 191) 71, 112; See also Harvey (n 197) 181.","noteIndex":213},"citationItems":[{"id":358,"uris":["http://zotero.org/users/6782581/items/AGC5YM6H"],"uri":["http://zotero.org/users/6782581/items/AGC5YM6H"],"itemData":{"id":358,"type":"book","edition":"1st Edition","event-place":"The Hague ; Boston","ISBN":"978-90-411-0401-4","language":"English","number-of-pages":"324","publisher":"Kluwer Law International","publisher-place":"The Hague ; Boston","source":"Amazon","title":"New Approach To Legal Translation","author":[{"family":"Sarcevic","given":"Susan"}],"issued":{"date-parts":[["1997",5,7]]}},"locator":"71, 112"},{"id":372,"uris":["http://zotero.org/users/6782581/items/74473CAR"],"uri":["http://zotero.org/users/6782581/items/74473CAR"],"itemData":{"id":372,"type":"article-journal","container-title":"Meta: Journal des traducteurs [Meta: Translators' Journal]","DOI":"10.7202/008007ar","ISSN":"1492-1421, 0026-0452","issue":"2","journalAbbreviation":"META","language":"en","page":"177-185","source":"DOI.org (Crossref)","title":"What’s so Special about Legal Translation?","volume":"47","author":[{"family":"Harvey","given":"Malcolm"}],"issued":{"date-parts":[["2002",6]]}},"locator":"181","prefix":"See also "}],"schema":"https://github.com/citation-style-language/schema/raw/master/csl-citation.json"}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Sarcevic (n 191) 71, 112; See also Harvey (n 197) 181.</w:t>
      </w:r>
      <w:r w:rsidRPr="004538FF">
        <w:rPr>
          <w:rFonts w:ascii="Times New Roman" w:hAnsi="Times New Roman" w:cs="Times New Roman"/>
        </w:rPr>
        <w:fldChar w:fldCharType="end"/>
      </w:r>
    </w:p>
  </w:footnote>
  <w:footnote w:id="213">
    <w:p w14:paraId="197C28A7" w14:textId="6786D986" w:rsidR="004538FF" w:rsidRPr="004538FF" w:rsidRDefault="004538FF">
      <w:pPr>
        <w:pStyle w:val="FootnoteText"/>
        <w:rPr>
          <w:rFonts w:ascii="Times New Roman" w:hAnsi="Times New Roman" w:cs="Times New Roman"/>
        </w:rPr>
      </w:pPr>
      <w:r w:rsidRPr="004538FF">
        <w:rPr>
          <w:rStyle w:val="FootnoteReference"/>
          <w:rFonts w:ascii="Times New Roman" w:hAnsi="Times New Roman" w:cs="Times New Roman"/>
        </w:rPr>
        <w:footnoteRef/>
      </w:r>
      <w:r w:rsidRPr="004538FF">
        <w:rPr>
          <w:rFonts w:ascii="Times New Roman" w:hAnsi="Times New Roman" w:cs="Times New Roman"/>
        </w:rPr>
        <w:t xml:space="preserve"> </w:t>
      </w:r>
      <w:r w:rsidRPr="004538FF">
        <w:rPr>
          <w:rFonts w:ascii="Times New Roman" w:hAnsi="Times New Roman" w:cs="Times New Roman"/>
        </w:rPr>
        <w:fldChar w:fldCharType="begin"/>
      </w:r>
      <w:r w:rsidRPr="004538FF">
        <w:rPr>
          <w:rFonts w:ascii="Times New Roman" w:hAnsi="Times New Roman" w:cs="Times New Roman"/>
        </w:rPr>
        <w:instrText xml:space="preserve"> ADDIN ZOTERO_ITEM CSL_CITATION {"citationID":"xMBQRJKc","properties":{"formattedCitation":"Ainsworth (n 82) 43.","plainCitation":"Ainsworth (n 82) 43.","noteIndex":214},"citationItems":[{"id":118,"uris":["http://zotero.org/users/6782581/items/Q6MGRA76"],"uri":["http://zotero.org/users/6782581/items/Q6MGRA76"],"itemData":{"id":118,"type":"chapter","abstract":"This volume investigates advances in the field of legal translation both from a theoretical and practical perspective, with professional and academic insights","container-title":"The Ashgate Handbook of Legal Translation","ISBN":"978-1-315-61270-6","language":"en","note":"DOI: 10.4324/9781315612706","page":"43-55","publisher":"Routledge","source":"www-taylorfrancis-com.ezp01.library.qut.edu.au","title":"Lost in Translation? Linguistic Diversity and the Elusive Quest for Plain Meaning in the Law","URL":"http://www.taylorfrancis.com/books/e/9781315612706","author":[{"family":"Ainsworth","given":"Janet"}],"accessed":{"date-parts":[["2020",8,22]]},"issued":{"date-parts":[["2016",4,1]]}},"locator":"43"}],"schema":"https://github.com/citation-style-language/schema/raw/master/csl-citation.json"} </w:instrText>
      </w:r>
      <w:r w:rsidRPr="004538FF">
        <w:rPr>
          <w:rFonts w:ascii="Times New Roman" w:hAnsi="Times New Roman" w:cs="Times New Roman"/>
        </w:rPr>
        <w:fldChar w:fldCharType="separate"/>
      </w:r>
      <w:r w:rsidRPr="004538FF">
        <w:rPr>
          <w:rFonts w:ascii="Times New Roman" w:hAnsi="Times New Roman" w:cs="Times New Roman"/>
        </w:rPr>
        <w:t>Ainsworth (n 82) 43.</w:t>
      </w:r>
      <w:r w:rsidRPr="004538FF">
        <w:rPr>
          <w:rFonts w:ascii="Times New Roman" w:hAnsi="Times New Roman" w:cs="Times New Roman"/>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46734"/>
    <w:multiLevelType w:val="hybridMultilevel"/>
    <w:tmpl w:val="D3923948"/>
    <w:lvl w:ilvl="0" w:tplc="B4D038A6">
      <w:numFmt w:val="bullet"/>
      <w:lvlText w:val=""/>
      <w:lvlJc w:val="left"/>
      <w:pPr>
        <w:ind w:left="720" w:hanging="360"/>
      </w:pPr>
      <w:rPr>
        <w:rFonts w:ascii="Wingdings" w:eastAsiaTheme="minorHAnsi" w:hAnsi="Wingding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5F2363"/>
    <w:multiLevelType w:val="hybridMultilevel"/>
    <w:tmpl w:val="93662D68"/>
    <w:lvl w:ilvl="0" w:tplc="350EA62E">
      <w:numFmt w:val="bullet"/>
      <w:lvlText w:val=""/>
      <w:lvlJc w:val="left"/>
      <w:pPr>
        <w:ind w:left="720" w:hanging="360"/>
      </w:pPr>
      <w:rPr>
        <w:rFonts w:ascii="Wingdings" w:eastAsiaTheme="minorHAns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090AD2"/>
    <w:multiLevelType w:val="hybridMultilevel"/>
    <w:tmpl w:val="B08801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10270D"/>
    <w:multiLevelType w:val="hybridMultilevel"/>
    <w:tmpl w:val="1C88D90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AD26F1F"/>
    <w:multiLevelType w:val="hybridMultilevel"/>
    <w:tmpl w:val="B48CDDB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222082F"/>
    <w:multiLevelType w:val="hybridMultilevel"/>
    <w:tmpl w:val="D23E1052"/>
    <w:lvl w:ilvl="0" w:tplc="0C09000F">
      <w:start w:val="1"/>
      <w:numFmt w:val="decimal"/>
      <w:lvlText w:val="%1."/>
      <w:lvlJc w:val="left"/>
      <w:pPr>
        <w:ind w:left="720" w:hanging="360"/>
      </w:pPr>
    </w:lvl>
    <w:lvl w:ilvl="1" w:tplc="0C09000F">
      <w:start w:val="1"/>
      <w:numFmt w:val="decimal"/>
      <w:lvlText w:val="%2."/>
      <w:lvlJc w:val="left"/>
      <w:pPr>
        <w:ind w:left="1440" w:hanging="360"/>
      </w:pPr>
      <w:rPr>
        <w:rFonts w:hint="default"/>
      </w:rPr>
    </w:lvl>
    <w:lvl w:ilvl="2" w:tplc="55983F3A">
      <w:start w:val="1"/>
      <w:numFmt w:val="lowerRoman"/>
      <w:lvlText w:val="%3."/>
      <w:lvlJc w:val="right"/>
      <w:pPr>
        <w:ind w:left="2160" w:hanging="180"/>
      </w:pPr>
      <w:rPr>
        <w:b w:val="0"/>
        <w:bCs w:val="0"/>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C9555E2"/>
    <w:multiLevelType w:val="hybridMultilevel"/>
    <w:tmpl w:val="087CDE80"/>
    <w:lvl w:ilvl="0" w:tplc="350EA62E">
      <w:numFmt w:val="bullet"/>
      <w:lvlText w:val=""/>
      <w:lvlJc w:val="left"/>
      <w:pPr>
        <w:ind w:left="720" w:hanging="360"/>
      </w:pPr>
      <w:rPr>
        <w:rFonts w:ascii="Wingdings" w:eastAsiaTheme="minorHAns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0C9054D"/>
    <w:multiLevelType w:val="hybridMultilevel"/>
    <w:tmpl w:val="3042B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A601FD"/>
    <w:multiLevelType w:val="hybridMultilevel"/>
    <w:tmpl w:val="D62CE6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65C3EB2"/>
    <w:multiLevelType w:val="hybridMultilevel"/>
    <w:tmpl w:val="D77C551A"/>
    <w:lvl w:ilvl="0" w:tplc="350EA62E">
      <w:numFmt w:val="bullet"/>
      <w:lvlText w:val=""/>
      <w:lvlJc w:val="left"/>
      <w:pPr>
        <w:ind w:left="720" w:hanging="360"/>
      </w:pPr>
      <w:rPr>
        <w:rFonts w:ascii="Wingdings" w:eastAsiaTheme="minorHAnsi" w:hAnsi="Wingding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2EE0C31"/>
    <w:multiLevelType w:val="hybridMultilevel"/>
    <w:tmpl w:val="B9C0B428"/>
    <w:lvl w:ilvl="0" w:tplc="D15C7556">
      <w:start w:val="1"/>
      <w:numFmt w:val="bullet"/>
      <w:lvlText w:val="o"/>
      <w:lvlJc w:val="left"/>
      <w:pPr>
        <w:ind w:left="1800" w:hanging="360"/>
      </w:pPr>
      <w:rPr>
        <w:rFonts w:ascii="Courier New" w:hAnsi="Courier New" w:cs="Courier New" w:hint="default"/>
        <w:sz w:val="24"/>
        <w:szCs w:val="24"/>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1" w15:restartNumberingAfterBreak="0">
    <w:nsid w:val="6AF04B22"/>
    <w:multiLevelType w:val="hybridMultilevel"/>
    <w:tmpl w:val="1A56C4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54058D8"/>
    <w:multiLevelType w:val="hybridMultilevel"/>
    <w:tmpl w:val="1E5637F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7CF52424"/>
    <w:multiLevelType w:val="hybridMultilevel"/>
    <w:tmpl w:val="C742AB7A"/>
    <w:lvl w:ilvl="0" w:tplc="14685F48">
      <w:start w:val="3"/>
      <w:numFmt w:val="bullet"/>
      <w:lvlText w:val=""/>
      <w:lvlJc w:val="left"/>
      <w:pPr>
        <w:ind w:left="720" w:hanging="360"/>
      </w:pPr>
      <w:rPr>
        <w:rFonts w:ascii="Wingdings" w:eastAsiaTheme="minorHAnsi" w:hAnsi="Wingding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1"/>
  </w:num>
  <w:num w:numId="4">
    <w:abstractNumId w:val="12"/>
  </w:num>
  <w:num w:numId="5">
    <w:abstractNumId w:val="3"/>
  </w:num>
  <w:num w:numId="6">
    <w:abstractNumId w:val="2"/>
  </w:num>
  <w:num w:numId="7">
    <w:abstractNumId w:val="0"/>
  </w:num>
  <w:num w:numId="8">
    <w:abstractNumId w:val="4"/>
  </w:num>
  <w:num w:numId="9">
    <w:abstractNumId w:val="13"/>
  </w:num>
  <w:num w:numId="10">
    <w:abstractNumId w:val="9"/>
  </w:num>
  <w:num w:numId="11">
    <w:abstractNumId w:val="6"/>
  </w:num>
  <w:num w:numId="12">
    <w:abstractNumId w:val="1"/>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C8"/>
    <w:rsid w:val="00003BCA"/>
    <w:rsid w:val="00007349"/>
    <w:rsid w:val="00007F7D"/>
    <w:rsid w:val="00010084"/>
    <w:rsid w:val="00010097"/>
    <w:rsid w:val="00014D3D"/>
    <w:rsid w:val="00016F9C"/>
    <w:rsid w:val="00021863"/>
    <w:rsid w:val="000315AC"/>
    <w:rsid w:val="00031E20"/>
    <w:rsid w:val="00037D61"/>
    <w:rsid w:val="00041975"/>
    <w:rsid w:val="00051743"/>
    <w:rsid w:val="00051965"/>
    <w:rsid w:val="00055E76"/>
    <w:rsid w:val="00057ABB"/>
    <w:rsid w:val="00063A82"/>
    <w:rsid w:val="00064BEB"/>
    <w:rsid w:val="00065541"/>
    <w:rsid w:val="00065C2D"/>
    <w:rsid w:val="00067594"/>
    <w:rsid w:val="00070302"/>
    <w:rsid w:val="00071535"/>
    <w:rsid w:val="000753C1"/>
    <w:rsid w:val="00080AC6"/>
    <w:rsid w:val="00087628"/>
    <w:rsid w:val="00087749"/>
    <w:rsid w:val="00087EA9"/>
    <w:rsid w:val="00090237"/>
    <w:rsid w:val="000941A8"/>
    <w:rsid w:val="00096FD9"/>
    <w:rsid w:val="000A75FC"/>
    <w:rsid w:val="000B0A0E"/>
    <w:rsid w:val="000B2487"/>
    <w:rsid w:val="000C3910"/>
    <w:rsid w:val="000C4283"/>
    <w:rsid w:val="000C429B"/>
    <w:rsid w:val="000C620A"/>
    <w:rsid w:val="000D1C81"/>
    <w:rsid w:val="000D2708"/>
    <w:rsid w:val="000D37D7"/>
    <w:rsid w:val="000D6EA2"/>
    <w:rsid w:val="000D7675"/>
    <w:rsid w:val="000E10BD"/>
    <w:rsid w:val="000E1907"/>
    <w:rsid w:val="000E1E69"/>
    <w:rsid w:val="000E269B"/>
    <w:rsid w:val="000E274A"/>
    <w:rsid w:val="000E3BE8"/>
    <w:rsid w:val="000E4500"/>
    <w:rsid w:val="000E498B"/>
    <w:rsid w:val="000F1007"/>
    <w:rsid w:val="000F2397"/>
    <w:rsid w:val="001000E9"/>
    <w:rsid w:val="00100971"/>
    <w:rsid w:val="00103A8E"/>
    <w:rsid w:val="00103FD1"/>
    <w:rsid w:val="00107D13"/>
    <w:rsid w:val="00110E3E"/>
    <w:rsid w:val="001152C3"/>
    <w:rsid w:val="0011764C"/>
    <w:rsid w:val="001232E9"/>
    <w:rsid w:val="001256D8"/>
    <w:rsid w:val="0012598D"/>
    <w:rsid w:val="00127F2F"/>
    <w:rsid w:val="0013053A"/>
    <w:rsid w:val="00130BD8"/>
    <w:rsid w:val="00133C04"/>
    <w:rsid w:val="00133D87"/>
    <w:rsid w:val="0014126F"/>
    <w:rsid w:val="00141674"/>
    <w:rsid w:val="00142440"/>
    <w:rsid w:val="00142CCF"/>
    <w:rsid w:val="001460F7"/>
    <w:rsid w:val="001478AD"/>
    <w:rsid w:val="00147977"/>
    <w:rsid w:val="00151CC4"/>
    <w:rsid w:val="0015492B"/>
    <w:rsid w:val="0015501B"/>
    <w:rsid w:val="00157A03"/>
    <w:rsid w:val="00157B24"/>
    <w:rsid w:val="00160C66"/>
    <w:rsid w:val="00161898"/>
    <w:rsid w:val="00163055"/>
    <w:rsid w:val="00163C35"/>
    <w:rsid w:val="001665EA"/>
    <w:rsid w:val="00166B3A"/>
    <w:rsid w:val="0017397C"/>
    <w:rsid w:val="00180D2D"/>
    <w:rsid w:val="001811CF"/>
    <w:rsid w:val="001815AE"/>
    <w:rsid w:val="00182D28"/>
    <w:rsid w:val="0018320B"/>
    <w:rsid w:val="0018431E"/>
    <w:rsid w:val="0018558A"/>
    <w:rsid w:val="00187BF7"/>
    <w:rsid w:val="00187C51"/>
    <w:rsid w:val="0019193E"/>
    <w:rsid w:val="001923B1"/>
    <w:rsid w:val="00193CE0"/>
    <w:rsid w:val="00193E41"/>
    <w:rsid w:val="00196790"/>
    <w:rsid w:val="001A1481"/>
    <w:rsid w:val="001A2C88"/>
    <w:rsid w:val="001A2F99"/>
    <w:rsid w:val="001A3C0C"/>
    <w:rsid w:val="001A4EFA"/>
    <w:rsid w:val="001A5B1E"/>
    <w:rsid w:val="001A6736"/>
    <w:rsid w:val="001A7A16"/>
    <w:rsid w:val="001A7EB6"/>
    <w:rsid w:val="001B55D8"/>
    <w:rsid w:val="001C1830"/>
    <w:rsid w:val="001C1B9B"/>
    <w:rsid w:val="001C1F2A"/>
    <w:rsid w:val="001C300E"/>
    <w:rsid w:val="001C3871"/>
    <w:rsid w:val="001C4328"/>
    <w:rsid w:val="001C4DEA"/>
    <w:rsid w:val="001C68A2"/>
    <w:rsid w:val="001D02D8"/>
    <w:rsid w:val="001D0B54"/>
    <w:rsid w:val="001D223E"/>
    <w:rsid w:val="001D241E"/>
    <w:rsid w:val="001D621A"/>
    <w:rsid w:val="001E3E35"/>
    <w:rsid w:val="001E7C3C"/>
    <w:rsid w:val="001F1318"/>
    <w:rsid w:val="001F784A"/>
    <w:rsid w:val="002020DF"/>
    <w:rsid w:val="00202476"/>
    <w:rsid w:val="00203194"/>
    <w:rsid w:val="002033FF"/>
    <w:rsid w:val="00206C14"/>
    <w:rsid w:val="00212757"/>
    <w:rsid w:val="00216851"/>
    <w:rsid w:val="00216F5F"/>
    <w:rsid w:val="0021776F"/>
    <w:rsid w:val="0022089E"/>
    <w:rsid w:val="002228A5"/>
    <w:rsid w:val="0022301C"/>
    <w:rsid w:val="002304C2"/>
    <w:rsid w:val="00230627"/>
    <w:rsid w:val="00231784"/>
    <w:rsid w:val="002333A0"/>
    <w:rsid w:val="002339D3"/>
    <w:rsid w:val="00235AFC"/>
    <w:rsid w:val="002378E1"/>
    <w:rsid w:val="00237F64"/>
    <w:rsid w:val="00241297"/>
    <w:rsid w:val="002429B9"/>
    <w:rsid w:val="00247305"/>
    <w:rsid w:val="0025163F"/>
    <w:rsid w:val="00251C5E"/>
    <w:rsid w:val="002539D0"/>
    <w:rsid w:val="00255421"/>
    <w:rsid w:val="0025612F"/>
    <w:rsid w:val="00271665"/>
    <w:rsid w:val="00272C01"/>
    <w:rsid w:val="00273E91"/>
    <w:rsid w:val="0027456E"/>
    <w:rsid w:val="00274E32"/>
    <w:rsid w:val="002800FD"/>
    <w:rsid w:val="0028251D"/>
    <w:rsid w:val="00295ED3"/>
    <w:rsid w:val="00296C13"/>
    <w:rsid w:val="002A2675"/>
    <w:rsid w:val="002A2B60"/>
    <w:rsid w:val="002A3FB5"/>
    <w:rsid w:val="002A4800"/>
    <w:rsid w:val="002A4EB9"/>
    <w:rsid w:val="002A5375"/>
    <w:rsid w:val="002A5A60"/>
    <w:rsid w:val="002A65A3"/>
    <w:rsid w:val="002A692B"/>
    <w:rsid w:val="002B437B"/>
    <w:rsid w:val="002B47A6"/>
    <w:rsid w:val="002B590E"/>
    <w:rsid w:val="002B6254"/>
    <w:rsid w:val="002B6326"/>
    <w:rsid w:val="002B70F8"/>
    <w:rsid w:val="002B7E6D"/>
    <w:rsid w:val="002C553A"/>
    <w:rsid w:val="002C68DF"/>
    <w:rsid w:val="002C6D1C"/>
    <w:rsid w:val="002C716B"/>
    <w:rsid w:val="002D2BE4"/>
    <w:rsid w:val="002D328E"/>
    <w:rsid w:val="002D6798"/>
    <w:rsid w:val="002E116A"/>
    <w:rsid w:val="002E71E5"/>
    <w:rsid w:val="002E748D"/>
    <w:rsid w:val="002E79BE"/>
    <w:rsid w:val="002E7EC6"/>
    <w:rsid w:val="002F4DAA"/>
    <w:rsid w:val="002F6435"/>
    <w:rsid w:val="002F6AAC"/>
    <w:rsid w:val="00301598"/>
    <w:rsid w:val="0030195E"/>
    <w:rsid w:val="00301976"/>
    <w:rsid w:val="003020E0"/>
    <w:rsid w:val="00305467"/>
    <w:rsid w:val="00314834"/>
    <w:rsid w:val="00321753"/>
    <w:rsid w:val="00321CCD"/>
    <w:rsid w:val="00324229"/>
    <w:rsid w:val="0032584F"/>
    <w:rsid w:val="00331353"/>
    <w:rsid w:val="003330D5"/>
    <w:rsid w:val="003362F5"/>
    <w:rsid w:val="00340D75"/>
    <w:rsid w:val="003427E4"/>
    <w:rsid w:val="00347F81"/>
    <w:rsid w:val="003504E2"/>
    <w:rsid w:val="00353BBE"/>
    <w:rsid w:val="00357326"/>
    <w:rsid w:val="00357D24"/>
    <w:rsid w:val="00360821"/>
    <w:rsid w:val="0036289E"/>
    <w:rsid w:val="003634F4"/>
    <w:rsid w:val="00366718"/>
    <w:rsid w:val="00372CD9"/>
    <w:rsid w:val="0037367B"/>
    <w:rsid w:val="00374EE7"/>
    <w:rsid w:val="003800DA"/>
    <w:rsid w:val="00382A38"/>
    <w:rsid w:val="00383400"/>
    <w:rsid w:val="00385E85"/>
    <w:rsid w:val="00392B16"/>
    <w:rsid w:val="003931FC"/>
    <w:rsid w:val="0039451E"/>
    <w:rsid w:val="0039719D"/>
    <w:rsid w:val="003A0809"/>
    <w:rsid w:val="003A179D"/>
    <w:rsid w:val="003A2BEB"/>
    <w:rsid w:val="003A3511"/>
    <w:rsid w:val="003A492B"/>
    <w:rsid w:val="003A69E2"/>
    <w:rsid w:val="003A71E5"/>
    <w:rsid w:val="003A7E9B"/>
    <w:rsid w:val="003B1A2B"/>
    <w:rsid w:val="003B26DF"/>
    <w:rsid w:val="003B2788"/>
    <w:rsid w:val="003B380D"/>
    <w:rsid w:val="003B4726"/>
    <w:rsid w:val="003B57F4"/>
    <w:rsid w:val="003B5A03"/>
    <w:rsid w:val="003B7661"/>
    <w:rsid w:val="003C0FA2"/>
    <w:rsid w:val="003C41A3"/>
    <w:rsid w:val="003C4FEA"/>
    <w:rsid w:val="003C5243"/>
    <w:rsid w:val="003C5619"/>
    <w:rsid w:val="003C6E0C"/>
    <w:rsid w:val="003C7893"/>
    <w:rsid w:val="003D0B22"/>
    <w:rsid w:val="003D1C79"/>
    <w:rsid w:val="003D3F3F"/>
    <w:rsid w:val="003D7AEB"/>
    <w:rsid w:val="003E0E68"/>
    <w:rsid w:val="003E12C2"/>
    <w:rsid w:val="003E1916"/>
    <w:rsid w:val="003E281F"/>
    <w:rsid w:val="003E2BA0"/>
    <w:rsid w:val="003E2D56"/>
    <w:rsid w:val="003E7A30"/>
    <w:rsid w:val="003F04C8"/>
    <w:rsid w:val="003F207F"/>
    <w:rsid w:val="003F3275"/>
    <w:rsid w:val="003F3D2E"/>
    <w:rsid w:val="003F5374"/>
    <w:rsid w:val="00400162"/>
    <w:rsid w:val="00401EF6"/>
    <w:rsid w:val="004021B1"/>
    <w:rsid w:val="00403E80"/>
    <w:rsid w:val="004075EA"/>
    <w:rsid w:val="00407D8D"/>
    <w:rsid w:val="004125A2"/>
    <w:rsid w:val="004150A0"/>
    <w:rsid w:val="00417BBC"/>
    <w:rsid w:val="00426195"/>
    <w:rsid w:val="0043011F"/>
    <w:rsid w:val="00430BB6"/>
    <w:rsid w:val="00431E30"/>
    <w:rsid w:val="00431E55"/>
    <w:rsid w:val="004339CC"/>
    <w:rsid w:val="00436466"/>
    <w:rsid w:val="00437C93"/>
    <w:rsid w:val="00440E8B"/>
    <w:rsid w:val="004427B5"/>
    <w:rsid w:val="004430AA"/>
    <w:rsid w:val="00443189"/>
    <w:rsid w:val="0044571A"/>
    <w:rsid w:val="004460B8"/>
    <w:rsid w:val="004535C3"/>
    <w:rsid w:val="004538FF"/>
    <w:rsid w:val="0045475E"/>
    <w:rsid w:val="0045526C"/>
    <w:rsid w:val="00457213"/>
    <w:rsid w:val="00457DE7"/>
    <w:rsid w:val="004610CC"/>
    <w:rsid w:val="00465377"/>
    <w:rsid w:val="004704DB"/>
    <w:rsid w:val="0047093A"/>
    <w:rsid w:val="004760AE"/>
    <w:rsid w:val="004827CE"/>
    <w:rsid w:val="0048378B"/>
    <w:rsid w:val="00484657"/>
    <w:rsid w:val="00493F52"/>
    <w:rsid w:val="0049437A"/>
    <w:rsid w:val="00494535"/>
    <w:rsid w:val="00496CAB"/>
    <w:rsid w:val="004A270C"/>
    <w:rsid w:val="004B1942"/>
    <w:rsid w:val="004B7934"/>
    <w:rsid w:val="004B7FAB"/>
    <w:rsid w:val="004C5E2E"/>
    <w:rsid w:val="004D10E0"/>
    <w:rsid w:val="004D7EC5"/>
    <w:rsid w:val="004E678C"/>
    <w:rsid w:val="004F0074"/>
    <w:rsid w:val="004F0ACE"/>
    <w:rsid w:val="004F253C"/>
    <w:rsid w:val="004F28B6"/>
    <w:rsid w:val="004F44A9"/>
    <w:rsid w:val="004F551B"/>
    <w:rsid w:val="004F61FF"/>
    <w:rsid w:val="004F6232"/>
    <w:rsid w:val="004F63C4"/>
    <w:rsid w:val="00500BA7"/>
    <w:rsid w:val="00502538"/>
    <w:rsid w:val="0050264F"/>
    <w:rsid w:val="00505ACC"/>
    <w:rsid w:val="00506773"/>
    <w:rsid w:val="00507399"/>
    <w:rsid w:val="00510CA7"/>
    <w:rsid w:val="00511BF9"/>
    <w:rsid w:val="005165E4"/>
    <w:rsid w:val="0051704A"/>
    <w:rsid w:val="00520E50"/>
    <w:rsid w:val="005228B6"/>
    <w:rsid w:val="005244D7"/>
    <w:rsid w:val="00532F0E"/>
    <w:rsid w:val="0053303A"/>
    <w:rsid w:val="005361F6"/>
    <w:rsid w:val="005367E3"/>
    <w:rsid w:val="00540A39"/>
    <w:rsid w:val="0054490A"/>
    <w:rsid w:val="00546900"/>
    <w:rsid w:val="0054712C"/>
    <w:rsid w:val="005523B9"/>
    <w:rsid w:val="00552A92"/>
    <w:rsid w:val="0055648C"/>
    <w:rsid w:val="005612A1"/>
    <w:rsid w:val="005632E0"/>
    <w:rsid w:val="00563814"/>
    <w:rsid w:val="00563819"/>
    <w:rsid w:val="00565157"/>
    <w:rsid w:val="00566602"/>
    <w:rsid w:val="0057418F"/>
    <w:rsid w:val="005768BA"/>
    <w:rsid w:val="0057769A"/>
    <w:rsid w:val="00577AE0"/>
    <w:rsid w:val="00580D7E"/>
    <w:rsid w:val="00581B1D"/>
    <w:rsid w:val="005822EE"/>
    <w:rsid w:val="005833AB"/>
    <w:rsid w:val="00583EED"/>
    <w:rsid w:val="00585BD7"/>
    <w:rsid w:val="0059147D"/>
    <w:rsid w:val="005929A5"/>
    <w:rsid w:val="0059306F"/>
    <w:rsid w:val="00593EC2"/>
    <w:rsid w:val="005941A5"/>
    <w:rsid w:val="00595CE9"/>
    <w:rsid w:val="005A127C"/>
    <w:rsid w:val="005A4731"/>
    <w:rsid w:val="005A517E"/>
    <w:rsid w:val="005A5494"/>
    <w:rsid w:val="005A6660"/>
    <w:rsid w:val="005B11FB"/>
    <w:rsid w:val="005B3156"/>
    <w:rsid w:val="005B3737"/>
    <w:rsid w:val="005B5B97"/>
    <w:rsid w:val="005B69BF"/>
    <w:rsid w:val="005C1326"/>
    <w:rsid w:val="005C1CFC"/>
    <w:rsid w:val="005C23F7"/>
    <w:rsid w:val="005C297C"/>
    <w:rsid w:val="005D1189"/>
    <w:rsid w:val="005D1A19"/>
    <w:rsid w:val="005D2722"/>
    <w:rsid w:val="005D2AD9"/>
    <w:rsid w:val="005D60F5"/>
    <w:rsid w:val="005D73D3"/>
    <w:rsid w:val="005E18DF"/>
    <w:rsid w:val="005E277B"/>
    <w:rsid w:val="005E5B7E"/>
    <w:rsid w:val="005E63E8"/>
    <w:rsid w:val="005E6912"/>
    <w:rsid w:val="005E7702"/>
    <w:rsid w:val="005F267C"/>
    <w:rsid w:val="005F4A4C"/>
    <w:rsid w:val="0060217D"/>
    <w:rsid w:val="00602748"/>
    <w:rsid w:val="00604903"/>
    <w:rsid w:val="00607F92"/>
    <w:rsid w:val="00610ACE"/>
    <w:rsid w:val="00611454"/>
    <w:rsid w:val="0061500E"/>
    <w:rsid w:val="0062032A"/>
    <w:rsid w:val="0062095D"/>
    <w:rsid w:val="00624E89"/>
    <w:rsid w:val="00630C01"/>
    <w:rsid w:val="00635017"/>
    <w:rsid w:val="00636071"/>
    <w:rsid w:val="0063697C"/>
    <w:rsid w:val="00640590"/>
    <w:rsid w:val="00640800"/>
    <w:rsid w:val="00642C2F"/>
    <w:rsid w:val="00643C33"/>
    <w:rsid w:val="0064417F"/>
    <w:rsid w:val="00647D8D"/>
    <w:rsid w:val="006513A2"/>
    <w:rsid w:val="006523DF"/>
    <w:rsid w:val="00654A8F"/>
    <w:rsid w:val="00654B12"/>
    <w:rsid w:val="0065753A"/>
    <w:rsid w:val="006619C0"/>
    <w:rsid w:val="006621F7"/>
    <w:rsid w:val="00667F01"/>
    <w:rsid w:val="006702B8"/>
    <w:rsid w:val="0067137E"/>
    <w:rsid w:val="00673000"/>
    <w:rsid w:val="00675E3A"/>
    <w:rsid w:val="0067689F"/>
    <w:rsid w:val="00682200"/>
    <w:rsid w:val="00682862"/>
    <w:rsid w:val="006855B5"/>
    <w:rsid w:val="00687B04"/>
    <w:rsid w:val="00690909"/>
    <w:rsid w:val="00691AE5"/>
    <w:rsid w:val="0069325C"/>
    <w:rsid w:val="00693908"/>
    <w:rsid w:val="0069582F"/>
    <w:rsid w:val="00695DCD"/>
    <w:rsid w:val="00696A03"/>
    <w:rsid w:val="006A02A4"/>
    <w:rsid w:val="006A1FAF"/>
    <w:rsid w:val="006A564C"/>
    <w:rsid w:val="006B1479"/>
    <w:rsid w:val="006B27AB"/>
    <w:rsid w:val="006B5E78"/>
    <w:rsid w:val="006B7EAE"/>
    <w:rsid w:val="006C0C34"/>
    <w:rsid w:val="006C128E"/>
    <w:rsid w:val="006C23DF"/>
    <w:rsid w:val="006C312E"/>
    <w:rsid w:val="006C42D0"/>
    <w:rsid w:val="006D18EB"/>
    <w:rsid w:val="006D1AA0"/>
    <w:rsid w:val="006D4929"/>
    <w:rsid w:val="006D52CA"/>
    <w:rsid w:val="006D53B9"/>
    <w:rsid w:val="006F00A3"/>
    <w:rsid w:val="006F1425"/>
    <w:rsid w:val="006F17B6"/>
    <w:rsid w:val="006F2071"/>
    <w:rsid w:val="006F2E50"/>
    <w:rsid w:val="006F7A8D"/>
    <w:rsid w:val="0070100E"/>
    <w:rsid w:val="007028EF"/>
    <w:rsid w:val="00702FCF"/>
    <w:rsid w:val="00711C1F"/>
    <w:rsid w:val="0071496E"/>
    <w:rsid w:val="00720C10"/>
    <w:rsid w:val="0072116D"/>
    <w:rsid w:val="00722174"/>
    <w:rsid w:val="00722D98"/>
    <w:rsid w:val="00722E1A"/>
    <w:rsid w:val="00724428"/>
    <w:rsid w:val="00724AD1"/>
    <w:rsid w:val="00725824"/>
    <w:rsid w:val="00727ED7"/>
    <w:rsid w:val="0074091F"/>
    <w:rsid w:val="00741138"/>
    <w:rsid w:val="0075090C"/>
    <w:rsid w:val="00754C41"/>
    <w:rsid w:val="00756AF0"/>
    <w:rsid w:val="00761567"/>
    <w:rsid w:val="00766647"/>
    <w:rsid w:val="0077131A"/>
    <w:rsid w:val="0077183F"/>
    <w:rsid w:val="0077337C"/>
    <w:rsid w:val="00774ABF"/>
    <w:rsid w:val="00776345"/>
    <w:rsid w:val="00782690"/>
    <w:rsid w:val="0078290F"/>
    <w:rsid w:val="007857EA"/>
    <w:rsid w:val="00785BAF"/>
    <w:rsid w:val="0078626C"/>
    <w:rsid w:val="0078672E"/>
    <w:rsid w:val="00790540"/>
    <w:rsid w:val="00792548"/>
    <w:rsid w:val="0079273E"/>
    <w:rsid w:val="00792B9B"/>
    <w:rsid w:val="007948BD"/>
    <w:rsid w:val="007962A3"/>
    <w:rsid w:val="00796923"/>
    <w:rsid w:val="007A03CB"/>
    <w:rsid w:val="007A045E"/>
    <w:rsid w:val="007A0FC6"/>
    <w:rsid w:val="007A1099"/>
    <w:rsid w:val="007A19E4"/>
    <w:rsid w:val="007A2157"/>
    <w:rsid w:val="007A795B"/>
    <w:rsid w:val="007B26C3"/>
    <w:rsid w:val="007B564D"/>
    <w:rsid w:val="007B74E7"/>
    <w:rsid w:val="007C1D54"/>
    <w:rsid w:val="007C3F3B"/>
    <w:rsid w:val="007C4346"/>
    <w:rsid w:val="007D0007"/>
    <w:rsid w:val="007D1270"/>
    <w:rsid w:val="007D29EB"/>
    <w:rsid w:val="007D4C11"/>
    <w:rsid w:val="007D58BA"/>
    <w:rsid w:val="007D6A24"/>
    <w:rsid w:val="007D75A9"/>
    <w:rsid w:val="007E09AD"/>
    <w:rsid w:val="007E53D5"/>
    <w:rsid w:val="007E7FB6"/>
    <w:rsid w:val="007F22C2"/>
    <w:rsid w:val="007F30E7"/>
    <w:rsid w:val="007F3460"/>
    <w:rsid w:val="007F3D47"/>
    <w:rsid w:val="007F6761"/>
    <w:rsid w:val="007F6D12"/>
    <w:rsid w:val="00802FF4"/>
    <w:rsid w:val="00803376"/>
    <w:rsid w:val="00805826"/>
    <w:rsid w:val="0080759C"/>
    <w:rsid w:val="00807997"/>
    <w:rsid w:val="0081074D"/>
    <w:rsid w:val="00812986"/>
    <w:rsid w:val="00814082"/>
    <w:rsid w:val="00814C14"/>
    <w:rsid w:val="00815376"/>
    <w:rsid w:val="00816BC3"/>
    <w:rsid w:val="008219B2"/>
    <w:rsid w:val="008260C9"/>
    <w:rsid w:val="00827FC1"/>
    <w:rsid w:val="00831DB4"/>
    <w:rsid w:val="0083216B"/>
    <w:rsid w:val="008326AF"/>
    <w:rsid w:val="00833D9A"/>
    <w:rsid w:val="0083490F"/>
    <w:rsid w:val="00834AAD"/>
    <w:rsid w:val="00834C6B"/>
    <w:rsid w:val="00834D82"/>
    <w:rsid w:val="00837B88"/>
    <w:rsid w:val="00840F91"/>
    <w:rsid w:val="00841B03"/>
    <w:rsid w:val="00851625"/>
    <w:rsid w:val="00852A53"/>
    <w:rsid w:val="0085534C"/>
    <w:rsid w:val="008555DF"/>
    <w:rsid w:val="00856B1B"/>
    <w:rsid w:val="00861183"/>
    <w:rsid w:val="00862CB2"/>
    <w:rsid w:val="0086462C"/>
    <w:rsid w:val="00864CFD"/>
    <w:rsid w:val="00864D14"/>
    <w:rsid w:val="00865E68"/>
    <w:rsid w:val="00870A9D"/>
    <w:rsid w:val="00871D0B"/>
    <w:rsid w:val="00871FA6"/>
    <w:rsid w:val="008810F8"/>
    <w:rsid w:val="00881EA0"/>
    <w:rsid w:val="00882407"/>
    <w:rsid w:val="0088356D"/>
    <w:rsid w:val="00884969"/>
    <w:rsid w:val="008920B8"/>
    <w:rsid w:val="00892DD3"/>
    <w:rsid w:val="00894C55"/>
    <w:rsid w:val="00895041"/>
    <w:rsid w:val="008958ED"/>
    <w:rsid w:val="00895B99"/>
    <w:rsid w:val="008961F4"/>
    <w:rsid w:val="008A0466"/>
    <w:rsid w:val="008A23E8"/>
    <w:rsid w:val="008A2652"/>
    <w:rsid w:val="008A46D6"/>
    <w:rsid w:val="008A7D37"/>
    <w:rsid w:val="008B0568"/>
    <w:rsid w:val="008B1A98"/>
    <w:rsid w:val="008B3EC6"/>
    <w:rsid w:val="008B4BD4"/>
    <w:rsid w:val="008C0EE1"/>
    <w:rsid w:val="008C3B85"/>
    <w:rsid w:val="008C44E7"/>
    <w:rsid w:val="008C6324"/>
    <w:rsid w:val="008D0EBF"/>
    <w:rsid w:val="008D1920"/>
    <w:rsid w:val="008D2FDA"/>
    <w:rsid w:val="008D53D7"/>
    <w:rsid w:val="008D6A25"/>
    <w:rsid w:val="008D771F"/>
    <w:rsid w:val="008E3346"/>
    <w:rsid w:val="008E3D78"/>
    <w:rsid w:val="008E4347"/>
    <w:rsid w:val="008E559A"/>
    <w:rsid w:val="008F0232"/>
    <w:rsid w:val="008F443E"/>
    <w:rsid w:val="008F49F8"/>
    <w:rsid w:val="008F762F"/>
    <w:rsid w:val="009003EA"/>
    <w:rsid w:val="00904FB6"/>
    <w:rsid w:val="00905C69"/>
    <w:rsid w:val="00905EEE"/>
    <w:rsid w:val="00907560"/>
    <w:rsid w:val="00912824"/>
    <w:rsid w:val="009141B0"/>
    <w:rsid w:val="0091561B"/>
    <w:rsid w:val="009163A1"/>
    <w:rsid w:val="00916CBC"/>
    <w:rsid w:val="00921948"/>
    <w:rsid w:val="00926552"/>
    <w:rsid w:val="00926AF4"/>
    <w:rsid w:val="0093293D"/>
    <w:rsid w:val="00934BD1"/>
    <w:rsid w:val="00935B3B"/>
    <w:rsid w:val="00936238"/>
    <w:rsid w:val="00936DD7"/>
    <w:rsid w:val="00942AF7"/>
    <w:rsid w:val="00943595"/>
    <w:rsid w:val="00945C86"/>
    <w:rsid w:val="0094613C"/>
    <w:rsid w:val="009469DF"/>
    <w:rsid w:val="009470A6"/>
    <w:rsid w:val="009474E1"/>
    <w:rsid w:val="00951225"/>
    <w:rsid w:val="00952AAF"/>
    <w:rsid w:val="0095449F"/>
    <w:rsid w:val="00956490"/>
    <w:rsid w:val="0095671B"/>
    <w:rsid w:val="00956D8A"/>
    <w:rsid w:val="0096393D"/>
    <w:rsid w:val="00963E36"/>
    <w:rsid w:val="00965BEF"/>
    <w:rsid w:val="00967D72"/>
    <w:rsid w:val="009715A3"/>
    <w:rsid w:val="00974E0F"/>
    <w:rsid w:val="0097641F"/>
    <w:rsid w:val="00976D67"/>
    <w:rsid w:val="00980DA7"/>
    <w:rsid w:val="009824FB"/>
    <w:rsid w:val="0098279C"/>
    <w:rsid w:val="009832D9"/>
    <w:rsid w:val="0098359F"/>
    <w:rsid w:val="00984EA3"/>
    <w:rsid w:val="00990726"/>
    <w:rsid w:val="00990B44"/>
    <w:rsid w:val="00996F5B"/>
    <w:rsid w:val="009A5B5F"/>
    <w:rsid w:val="009A692B"/>
    <w:rsid w:val="009B1686"/>
    <w:rsid w:val="009B18B4"/>
    <w:rsid w:val="009C0B68"/>
    <w:rsid w:val="009C19A0"/>
    <w:rsid w:val="009C44D9"/>
    <w:rsid w:val="009C5E54"/>
    <w:rsid w:val="009C77DE"/>
    <w:rsid w:val="009C7E36"/>
    <w:rsid w:val="009D5F0E"/>
    <w:rsid w:val="009E3D67"/>
    <w:rsid w:val="009E4403"/>
    <w:rsid w:val="009F1337"/>
    <w:rsid w:val="00A03648"/>
    <w:rsid w:val="00A04430"/>
    <w:rsid w:val="00A07E0D"/>
    <w:rsid w:val="00A106C8"/>
    <w:rsid w:val="00A13AE0"/>
    <w:rsid w:val="00A1618B"/>
    <w:rsid w:val="00A243A5"/>
    <w:rsid w:val="00A258EB"/>
    <w:rsid w:val="00A274CA"/>
    <w:rsid w:val="00A35FD4"/>
    <w:rsid w:val="00A37BEE"/>
    <w:rsid w:val="00A453A2"/>
    <w:rsid w:val="00A454CD"/>
    <w:rsid w:val="00A5197B"/>
    <w:rsid w:val="00A51A95"/>
    <w:rsid w:val="00A51BC3"/>
    <w:rsid w:val="00A5339B"/>
    <w:rsid w:val="00A5388D"/>
    <w:rsid w:val="00A55BB3"/>
    <w:rsid w:val="00A57132"/>
    <w:rsid w:val="00A6519D"/>
    <w:rsid w:val="00A6590E"/>
    <w:rsid w:val="00A666BE"/>
    <w:rsid w:val="00A70275"/>
    <w:rsid w:val="00A706F3"/>
    <w:rsid w:val="00A71787"/>
    <w:rsid w:val="00A7496D"/>
    <w:rsid w:val="00A756B7"/>
    <w:rsid w:val="00A83D54"/>
    <w:rsid w:val="00A906D9"/>
    <w:rsid w:val="00A94F21"/>
    <w:rsid w:val="00A96AB3"/>
    <w:rsid w:val="00A97346"/>
    <w:rsid w:val="00A97C2F"/>
    <w:rsid w:val="00AA1A87"/>
    <w:rsid w:val="00AA3E92"/>
    <w:rsid w:val="00AA551E"/>
    <w:rsid w:val="00AA6743"/>
    <w:rsid w:val="00AA756C"/>
    <w:rsid w:val="00AA7A22"/>
    <w:rsid w:val="00AB1708"/>
    <w:rsid w:val="00AB280C"/>
    <w:rsid w:val="00AB3E6B"/>
    <w:rsid w:val="00AB5D0B"/>
    <w:rsid w:val="00AC1669"/>
    <w:rsid w:val="00AC1DE7"/>
    <w:rsid w:val="00AC5BF8"/>
    <w:rsid w:val="00AD1704"/>
    <w:rsid w:val="00AD2743"/>
    <w:rsid w:val="00AD4C08"/>
    <w:rsid w:val="00AD6850"/>
    <w:rsid w:val="00AE0AB7"/>
    <w:rsid w:val="00AE19E8"/>
    <w:rsid w:val="00AE31D0"/>
    <w:rsid w:val="00AE3D72"/>
    <w:rsid w:val="00AE4EC9"/>
    <w:rsid w:val="00AE51D8"/>
    <w:rsid w:val="00AE538D"/>
    <w:rsid w:val="00AF0983"/>
    <w:rsid w:val="00AF1FAB"/>
    <w:rsid w:val="00AF3F96"/>
    <w:rsid w:val="00AF6B01"/>
    <w:rsid w:val="00B01D4D"/>
    <w:rsid w:val="00B03878"/>
    <w:rsid w:val="00B07F7A"/>
    <w:rsid w:val="00B10D4F"/>
    <w:rsid w:val="00B11044"/>
    <w:rsid w:val="00B1231E"/>
    <w:rsid w:val="00B15325"/>
    <w:rsid w:val="00B15342"/>
    <w:rsid w:val="00B15C6A"/>
    <w:rsid w:val="00B15E23"/>
    <w:rsid w:val="00B16671"/>
    <w:rsid w:val="00B20578"/>
    <w:rsid w:val="00B207EB"/>
    <w:rsid w:val="00B20F92"/>
    <w:rsid w:val="00B2455C"/>
    <w:rsid w:val="00B24E3D"/>
    <w:rsid w:val="00B2658C"/>
    <w:rsid w:val="00B30634"/>
    <w:rsid w:val="00B3249D"/>
    <w:rsid w:val="00B33D38"/>
    <w:rsid w:val="00B362CB"/>
    <w:rsid w:val="00B417C3"/>
    <w:rsid w:val="00B47C78"/>
    <w:rsid w:val="00B50DC0"/>
    <w:rsid w:val="00B51C9A"/>
    <w:rsid w:val="00B523BD"/>
    <w:rsid w:val="00B56C72"/>
    <w:rsid w:val="00B60164"/>
    <w:rsid w:val="00B60412"/>
    <w:rsid w:val="00B60998"/>
    <w:rsid w:val="00B60A04"/>
    <w:rsid w:val="00B61C51"/>
    <w:rsid w:val="00B61D50"/>
    <w:rsid w:val="00B635C7"/>
    <w:rsid w:val="00B6585E"/>
    <w:rsid w:val="00B65FE1"/>
    <w:rsid w:val="00B67CAC"/>
    <w:rsid w:val="00B67F00"/>
    <w:rsid w:val="00B70F65"/>
    <w:rsid w:val="00B71580"/>
    <w:rsid w:val="00B7216D"/>
    <w:rsid w:val="00B722CB"/>
    <w:rsid w:val="00B72431"/>
    <w:rsid w:val="00B74B3B"/>
    <w:rsid w:val="00B7712D"/>
    <w:rsid w:val="00B80D73"/>
    <w:rsid w:val="00B81002"/>
    <w:rsid w:val="00B818AD"/>
    <w:rsid w:val="00B83B65"/>
    <w:rsid w:val="00B851B8"/>
    <w:rsid w:val="00B93D50"/>
    <w:rsid w:val="00B9522F"/>
    <w:rsid w:val="00B962ED"/>
    <w:rsid w:val="00B9737D"/>
    <w:rsid w:val="00BA0B54"/>
    <w:rsid w:val="00BA1346"/>
    <w:rsid w:val="00BA19C7"/>
    <w:rsid w:val="00BA37F4"/>
    <w:rsid w:val="00BA4F08"/>
    <w:rsid w:val="00BA7082"/>
    <w:rsid w:val="00BA782B"/>
    <w:rsid w:val="00BB3D48"/>
    <w:rsid w:val="00BB57B8"/>
    <w:rsid w:val="00BB5AAC"/>
    <w:rsid w:val="00BB7184"/>
    <w:rsid w:val="00BB7985"/>
    <w:rsid w:val="00BC2E36"/>
    <w:rsid w:val="00BC3F0B"/>
    <w:rsid w:val="00BC4F09"/>
    <w:rsid w:val="00BC52A5"/>
    <w:rsid w:val="00BC555C"/>
    <w:rsid w:val="00BD1100"/>
    <w:rsid w:val="00BD211B"/>
    <w:rsid w:val="00BD3E21"/>
    <w:rsid w:val="00BD48A9"/>
    <w:rsid w:val="00BD7F1C"/>
    <w:rsid w:val="00BE00DC"/>
    <w:rsid w:val="00BE041E"/>
    <w:rsid w:val="00BE083C"/>
    <w:rsid w:val="00BE124C"/>
    <w:rsid w:val="00BE426F"/>
    <w:rsid w:val="00BE5D62"/>
    <w:rsid w:val="00BE7E64"/>
    <w:rsid w:val="00BF0CD5"/>
    <w:rsid w:val="00BF417B"/>
    <w:rsid w:val="00BF6CA8"/>
    <w:rsid w:val="00BF788F"/>
    <w:rsid w:val="00C0028D"/>
    <w:rsid w:val="00C00A03"/>
    <w:rsid w:val="00C01B69"/>
    <w:rsid w:val="00C0378E"/>
    <w:rsid w:val="00C1465F"/>
    <w:rsid w:val="00C14E86"/>
    <w:rsid w:val="00C150B8"/>
    <w:rsid w:val="00C153C2"/>
    <w:rsid w:val="00C16CDC"/>
    <w:rsid w:val="00C17FC4"/>
    <w:rsid w:val="00C26088"/>
    <w:rsid w:val="00C262E3"/>
    <w:rsid w:val="00C31F75"/>
    <w:rsid w:val="00C32108"/>
    <w:rsid w:val="00C32282"/>
    <w:rsid w:val="00C34586"/>
    <w:rsid w:val="00C37CAC"/>
    <w:rsid w:val="00C42A23"/>
    <w:rsid w:val="00C43232"/>
    <w:rsid w:val="00C44FAF"/>
    <w:rsid w:val="00C462C9"/>
    <w:rsid w:val="00C46916"/>
    <w:rsid w:val="00C54650"/>
    <w:rsid w:val="00C57765"/>
    <w:rsid w:val="00C578D9"/>
    <w:rsid w:val="00C630DD"/>
    <w:rsid w:val="00C64453"/>
    <w:rsid w:val="00C6540C"/>
    <w:rsid w:val="00C705FC"/>
    <w:rsid w:val="00C738A8"/>
    <w:rsid w:val="00C76DC3"/>
    <w:rsid w:val="00C76E04"/>
    <w:rsid w:val="00C81ADA"/>
    <w:rsid w:val="00C82A76"/>
    <w:rsid w:val="00C839CF"/>
    <w:rsid w:val="00C8556D"/>
    <w:rsid w:val="00C85D1B"/>
    <w:rsid w:val="00C87669"/>
    <w:rsid w:val="00C90773"/>
    <w:rsid w:val="00C909E9"/>
    <w:rsid w:val="00C91086"/>
    <w:rsid w:val="00C91450"/>
    <w:rsid w:val="00C930F2"/>
    <w:rsid w:val="00C93C36"/>
    <w:rsid w:val="00C94353"/>
    <w:rsid w:val="00C943CB"/>
    <w:rsid w:val="00C95A92"/>
    <w:rsid w:val="00C972AD"/>
    <w:rsid w:val="00C97C7A"/>
    <w:rsid w:val="00CA22D6"/>
    <w:rsid w:val="00CA45F6"/>
    <w:rsid w:val="00CA4D4D"/>
    <w:rsid w:val="00CA509C"/>
    <w:rsid w:val="00CA6003"/>
    <w:rsid w:val="00CA673A"/>
    <w:rsid w:val="00CA67CD"/>
    <w:rsid w:val="00CA74C2"/>
    <w:rsid w:val="00CB0AFA"/>
    <w:rsid w:val="00CB2DF3"/>
    <w:rsid w:val="00CB3127"/>
    <w:rsid w:val="00CB7044"/>
    <w:rsid w:val="00CC05D2"/>
    <w:rsid w:val="00CC1ECE"/>
    <w:rsid w:val="00CC543D"/>
    <w:rsid w:val="00CC5D10"/>
    <w:rsid w:val="00CC6078"/>
    <w:rsid w:val="00CC6104"/>
    <w:rsid w:val="00CC7A17"/>
    <w:rsid w:val="00CD02E7"/>
    <w:rsid w:val="00CD2CD2"/>
    <w:rsid w:val="00CD4D47"/>
    <w:rsid w:val="00CE5440"/>
    <w:rsid w:val="00CE68D9"/>
    <w:rsid w:val="00CE715C"/>
    <w:rsid w:val="00CF0710"/>
    <w:rsid w:val="00CF5D0D"/>
    <w:rsid w:val="00CF60A6"/>
    <w:rsid w:val="00D0155F"/>
    <w:rsid w:val="00D04259"/>
    <w:rsid w:val="00D04766"/>
    <w:rsid w:val="00D05024"/>
    <w:rsid w:val="00D06CFA"/>
    <w:rsid w:val="00D104B9"/>
    <w:rsid w:val="00D130D8"/>
    <w:rsid w:val="00D15386"/>
    <w:rsid w:val="00D15672"/>
    <w:rsid w:val="00D15B11"/>
    <w:rsid w:val="00D16790"/>
    <w:rsid w:val="00D17794"/>
    <w:rsid w:val="00D21191"/>
    <w:rsid w:val="00D24EA1"/>
    <w:rsid w:val="00D26B35"/>
    <w:rsid w:val="00D26EF2"/>
    <w:rsid w:val="00D31FF9"/>
    <w:rsid w:val="00D3598B"/>
    <w:rsid w:val="00D408DB"/>
    <w:rsid w:val="00D414BD"/>
    <w:rsid w:val="00D4554B"/>
    <w:rsid w:val="00D54F64"/>
    <w:rsid w:val="00D62AC4"/>
    <w:rsid w:val="00D642D9"/>
    <w:rsid w:val="00D64910"/>
    <w:rsid w:val="00D66335"/>
    <w:rsid w:val="00D7008B"/>
    <w:rsid w:val="00D710FA"/>
    <w:rsid w:val="00D723C6"/>
    <w:rsid w:val="00D73D79"/>
    <w:rsid w:val="00D74202"/>
    <w:rsid w:val="00D748DF"/>
    <w:rsid w:val="00D75282"/>
    <w:rsid w:val="00D75C63"/>
    <w:rsid w:val="00D77F39"/>
    <w:rsid w:val="00D8078C"/>
    <w:rsid w:val="00D81805"/>
    <w:rsid w:val="00D8298F"/>
    <w:rsid w:val="00D831EB"/>
    <w:rsid w:val="00D837A9"/>
    <w:rsid w:val="00D837BC"/>
    <w:rsid w:val="00D8469E"/>
    <w:rsid w:val="00D90A8B"/>
    <w:rsid w:val="00D92C29"/>
    <w:rsid w:val="00D93860"/>
    <w:rsid w:val="00D93A93"/>
    <w:rsid w:val="00D96428"/>
    <w:rsid w:val="00DA14D5"/>
    <w:rsid w:val="00DA4895"/>
    <w:rsid w:val="00DA4F52"/>
    <w:rsid w:val="00DA5D55"/>
    <w:rsid w:val="00DA6A3D"/>
    <w:rsid w:val="00DA6D98"/>
    <w:rsid w:val="00DA7891"/>
    <w:rsid w:val="00DA7FE3"/>
    <w:rsid w:val="00DB0A2E"/>
    <w:rsid w:val="00DB3912"/>
    <w:rsid w:val="00DC0BEF"/>
    <w:rsid w:val="00DC158B"/>
    <w:rsid w:val="00DC2E71"/>
    <w:rsid w:val="00DC3AAE"/>
    <w:rsid w:val="00DC6710"/>
    <w:rsid w:val="00DC7E7A"/>
    <w:rsid w:val="00DD0131"/>
    <w:rsid w:val="00DD0BAB"/>
    <w:rsid w:val="00DD35BC"/>
    <w:rsid w:val="00DD3FBC"/>
    <w:rsid w:val="00DD523B"/>
    <w:rsid w:val="00DD61DF"/>
    <w:rsid w:val="00DD6466"/>
    <w:rsid w:val="00DD65D9"/>
    <w:rsid w:val="00DD702A"/>
    <w:rsid w:val="00DE1E48"/>
    <w:rsid w:val="00DE1F98"/>
    <w:rsid w:val="00DE3A3A"/>
    <w:rsid w:val="00DE3DF0"/>
    <w:rsid w:val="00DE4404"/>
    <w:rsid w:val="00DE5A91"/>
    <w:rsid w:val="00DE6359"/>
    <w:rsid w:val="00DE68B1"/>
    <w:rsid w:val="00DF0354"/>
    <w:rsid w:val="00DF0D8F"/>
    <w:rsid w:val="00DF206D"/>
    <w:rsid w:val="00DF2A0E"/>
    <w:rsid w:val="00DF3F5F"/>
    <w:rsid w:val="00DF4FF6"/>
    <w:rsid w:val="00DF5049"/>
    <w:rsid w:val="00E01809"/>
    <w:rsid w:val="00E025E2"/>
    <w:rsid w:val="00E02A70"/>
    <w:rsid w:val="00E04135"/>
    <w:rsid w:val="00E04676"/>
    <w:rsid w:val="00E0573A"/>
    <w:rsid w:val="00E06763"/>
    <w:rsid w:val="00E11473"/>
    <w:rsid w:val="00E17E2B"/>
    <w:rsid w:val="00E207AE"/>
    <w:rsid w:val="00E207B8"/>
    <w:rsid w:val="00E2311F"/>
    <w:rsid w:val="00E254F2"/>
    <w:rsid w:val="00E26C8E"/>
    <w:rsid w:val="00E313B4"/>
    <w:rsid w:val="00E32E9B"/>
    <w:rsid w:val="00E34597"/>
    <w:rsid w:val="00E34B09"/>
    <w:rsid w:val="00E44343"/>
    <w:rsid w:val="00E44528"/>
    <w:rsid w:val="00E44B1B"/>
    <w:rsid w:val="00E45211"/>
    <w:rsid w:val="00E45ECD"/>
    <w:rsid w:val="00E462F3"/>
    <w:rsid w:val="00E4650F"/>
    <w:rsid w:val="00E505CD"/>
    <w:rsid w:val="00E5262B"/>
    <w:rsid w:val="00E6172A"/>
    <w:rsid w:val="00E67332"/>
    <w:rsid w:val="00E7606A"/>
    <w:rsid w:val="00E77EF6"/>
    <w:rsid w:val="00E80DB6"/>
    <w:rsid w:val="00E847FD"/>
    <w:rsid w:val="00E850C2"/>
    <w:rsid w:val="00E86F7A"/>
    <w:rsid w:val="00E9200B"/>
    <w:rsid w:val="00E9432C"/>
    <w:rsid w:val="00E94939"/>
    <w:rsid w:val="00E9528A"/>
    <w:rsid w:val="00EA0668"/>
    <w:rsid w:val="00EA2DCD"/>
    <w:rsid w:val="00EA444D"/>
    <w:rsid w:val="00EA7B68"/>
    <w:rsid w:val="00EB0E32"/>
    <w:rsid w:val="00EB10B4"/>
    <w:rsid w:val="00EB3767"/>
    <w:rsid w:val="00EB4932"/>
    <w:rsid w:val="00EB5F50"/>
    <w:rsid w:val="00EB65D2"/>
    <w:rsid w:val="00EB72A2"/>
    <w:rsid w:val="00EC1DE9"/>
    <w:rsid w:val="00EC304C"/>
    <w:rsid w:val="00ED0565"/>
    <w:rsid w:val="00ED1F23"/>
    <w:rsid w:val="00ED54E1"/>
    <w:rsid w:val="00ED65D1"/>
    <w:rsid w:val="00EE0A45"/>
    <w:rsid w:val="00EE1B59"/>
    <w:rsid w:val="00EE206D"/>
    <w:rsid w:val="00EE2EF4"/>
    <w:rsid w:val="00EE31CD"/>
    <w:rsid w:val="00EE40C8"/>
    <w:rsid w:val="00EE66E9"/>
    <w:rsid w:val="00EF28D9"/>
    <w:rsid w:val="00EF429C"/>
    <w:rsid w:val="00EF76E3"/>
    <w:rsid w:val="00EF77DA"/>
    <w:rsid w:val="00F0096D"/>
    <w:rsid w:val="00F118E0"/>
    <w:rsid w:val="00F15965"/>
    <w:rsid w:val="00F221E0"/>
    <w:rsid w:val="00F22452"/>
    <w:rsid w:val="00F2292D"/>
    <w:rsid w:val="00F2318E"/>
    <w:rsid w:val="00F26125"/>
    <w:rsid w:val="00F26B84"/>
    <w:rsid w:val="00F33EAE"/>
    <w:rsid w:val="00F35488"/>
    <w:rsid w:val="00F35E14"/>
    <w:rsid w:val="00F37048"/>
    <w:rsid w:val="00F376E8"/>
    <w:rsid w:val="00F42A7D"/>
    <w:rsid w:val="00F44B9F"/>
    <w:rsid w:val="00F4523D"/>
    <w:rsid w:val="00F5099E"/>
    <w:rsid w:val="00F51080"/>
    <w:rsid w:val="00F52D38"/>
    <w:rsid w:val="00F52DFA"/>
    <w:rsid w:val="00F534AD"/>
    <w:rsid w:val="00F53D7E"/>
    <w:rsid w:val="00F566D8"/>
    <w:rsid w:val="00F62E3E"/>
    <w:rsid w:val="00F64273"/>
    <w:rsid w:val="00F64D9C"/>
    <w:rsid w:val="00F66BD4"/>
    <w:rsid w:val="00F70A88"/>
    <w:rsid w:val="00F711F2"/>
    <w:rsid w:val="00F72179"/>
    <w:rsid w:val="00F86259"/>
    <w:rsid w:val="00F9088F"/>
    <w:rsid w:val="00F926D3"/>
    <w:rsid w:val="00F95749"/>
    <w:rsid w:val="00F9581E"/>
    <w:rsid w:val="00F95FD2"/>
    <w:rsid w:val="00F96493"/>
    <w:rsid w:val="00FA01DE"/>
    <w:rsid w:val="00FA025E"/>
    <w:rsid w:val="00FA1FCE"/>
    <w:rsid w:val="00FA211C"/>
    <w:rsid w:val="00FA2490"/>
    <w:rsid w:val="00FA5461"/>
    <w:rsid w:val="00FA56C5"/>
    <w:rsid w:val="00FB1367"/>
    <w:rsid w:val="00FB2BC2"/>
    <w:rsid w:val="00FB3C92"/>
    <w:rsid w:val="00FB59BB"/>
    <w:rsid w:val="00FB7910"/>
    <w:rsid w:val="00FB7954"/>
    <w:rsid w:val="00FC0832"/>
    <w:rsid w:val="00FC0B34"/>
    <w:rsid w:val="00FC318E"/>
    <w:rsid w:val="00FC5FB5"/>
    <w:rsid w:val="00FC62EB"/>
    <w:rsid w:val="00FD05B7"/>
    <w:rsid w:val="00FE2AC1"/>
    <w:rsid w:val="00FE378B"/>
    <w:rsid w:val="00FE5A00"/>
    <w:rsid w:val="00FE61F2"/>
    <w:rsid w:val="00FE79BD"/>
    <w:rsid w:val="00FE7EAA"/>
    <w:rsid w:val="00FF13F9"/>
    <w:rsid w:val="00FF2E27"/>
    <w:rsid w:val="00FF32FC"/>
    <w:rsid w:val="00FF395A"/>
    <w:rsid w:val="00FF7D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45778"/>
  <w15:chartTrackingRefBased/>
  <w15:docId w15:val="{D4F36EEB-A4F5-4CAD-A9F8-53398EA7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A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6C8"/>
  </w:style>
  <w:style w:type="paragraph" w:styleId="Footer">
    <w:name w:val="footer"/>
    <w:basedOn w:val="Normal"/>
    <w:link w:val="FooterChar"/>
    <w:uiPriority w:val="99"/>
    <w:unhideWhenUsed/>
    <w:rsid w:val="00A10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6C8"/>
  </w:style>
  <w:style w:type="paragraph" w:styleId="ListParagraph">
    <w:name w:val="List Paragraph"/>
    <w:basedOn w:val="Normal"/>
    <w:uiPriority w:val="34"/>
    <w:qFormat/>
    <w:rsid w:val="00A106C8"/>
    <w:pPr>
      <w:ind w:left="720"/>
      <w:contextualSpacing/>
    </w:pPr>
  </w:style>
  <w:style w:type="paragraph" w:styleId="FootnoteText">
    <w:name w:val="footnote text"/>
    <w:basedOn w:val="Normal"/>
    <w:link w:val="FootnoteTextChar"/>
    <w:uiPriority w:val="99"/>
    <w:semiHidden/>
    <w:unhideWhenUsed/>
    <w:rsid w:val="00D06C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CFA"/>
    <w:rPr>
      <w:sz w:val="20"/>
      <w:szCs w:val="20"/>
    </w:rPr>
  </w:style>
  <w:style w:type="character" w:styleId="FootnoteReference">
    <w:name w:val="footnote reference"/>
    <w:basedOn w:val="DefaultParagraphFont"/>
    <w:uiPriority w:val="99"/>
    <w:semiHidden/>
    <w:unhideWhenUsed/>
    <w:rsid w:val="00D06CFA"/>
    <w:rPr>
      <w:vertAlign w:val="superscript"/>
    </w:rPr>
  </w:style>
  <w:style w:type="paragraph" w:styleId="Bibliography">
    <w:name w:val="Bibliography"/>
    <w:basedOn w:val="Normal"/>
    <w:next w:val="Normal"/>
    <w:uiPriority w:val="37"/>
    <w:unhideWhenUsed/>
    <w:rsid w:val="005F267C"/>
  </w:style>
  <w:style w:type="character" w:styleId="EndnoteReference">
    <w:name w:val="endnote reference"/>
    <w:basedOn w:val="DefaultParagraphFont"/>
    <w:uiPriority w:val="99"/>
    <w:semiHidden/>
    <w:unhideWhenUsed/>
    <w:rsid w:val="007F3D47"/>
    <w:rPr>
      <w:vertAlign w:val="superscript"/>
    </w:rPr>
  </w:style>
  <w:style w:type="paragraph" w:styleId="Caption">
    <w:name w:val="caption"/>
    <w:basedOn w:val="Normal"/>
    <w:next w:val="Normal"/>
    <w:uiPriority w:val="35"/>
    <w:unhideWhenUsed/>
    <w:qFormat/>
    <w:rsid w:val="00E32E9B"/>
    <w:pPr>
      <w:spacing w:after="200" w:line="240" w:lineRule="auto"/>
    </w:pPr>
    <w:rPr>
      <w:i/>
      <w:iCs/>
      <w:color w:val="44546A" w:themeColor="text2"/>
      <w:sz w:val="18"/>
      <w:szCs w:val="18"/>
    </w:rPr>
  </w:style>
  <w:style w:type="character" w:styleId="Hyperlink">
    <w:name w:val="Hyperlink"/>
    <w:basedOn w:val="DefaultParagraphFont"/>
    <w:uiPriority w:val="99"/>
    <w:unhideWhenUsed/>
    <w:rsid w:val="00141674"/>
    <w:rPr>
      <w:color w:val="0563C1" w:themeColor="hyperlink"/>
      <w:u w:val="single"/>
    </w:rPr>
  </w:style>
  <w:style w:type="character" w:styleId="UnresolvedMention">
    <w:name w:val="Unresolved Mention"/>
    <w:basedOn w:val="DefaultParagraphFont"/>
    <w:uiPriority w:val="99"/>
    <w:semiHidden/>
    <w:unhideWhenUsed/>
    <w:rsid w:val="00141674"/>
    <w:rPr>
      <w:color w:val="605E5C"/>
      <w:shd w:val="clear" w:color="auto" w:fill="E1DFDD"/>
    </w:rPr>
  </w:style>
  <w:style w:type="character" w:styleId="FollowedHyperlink">
    <w:name w:val="FollowedHyperlink"/>
    <w:basedOn w:val="DefaultParagraphFont"/>
    <w:uiPriority w:val="99"/>
    <w:semiHidden/>
    <w:unhideWhenUsed/>
    <w:rsid w:val="00A07E0D"/>
    <w:rPr>
      <w:color w:val="954F72" w:themeColor="followedHyperlink"/>
      <w:u w:val="single"/>
    </w:rPr>
  </w:style>
  <w:style w:type="character" w:styleId="PlaceholderText">
    <w:name w:val="Placeholder Text"/>
    <w:basedOn w:val="DefaultParagraphFont"/>
    <w:uiPriority w:val="99"/>
    <w:semiHidden/>
    <w:rsid w:val="00B3249D"/>
    <w:rPr>
      <w:color w:val="808080"/>
    </w:rPr>
  </w:style>
  <w:style w:type="paragraph" w:styleId="BalloonText">
    <w:name w:val="Balloon Text"/>
    <w:basedOn w:val="Normal"/>
    <w:link w:val="BalloonTextChar"/>
    <w:uiPriority w:val="99"/>
    <w:semiHidden/>
    <w:unhideWhenUsed/>
    <w:rsid w:val="00802F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F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282664">
      <w:bodyDiv w:val="1"/>
      <w:marLeft w:val="0"/>
      <w:marRight w:val="0"/>
      <w:marTop w:val="0"/>
      <w:marBottom w:val="0"/>
      <w:divBdr>
        <w:top w:val="none" w:sz="0" w:space="0" w:color="auto"/>
        <w:left w:val="none" w:sz="0" w:space="0" w:color="auto"/>
        <w:bottom w:val="none" w:sz="0" w:space="0" w:color="auto"/>
        <w:right w:val="none" w:sz="0" w:space="0" w:color="auto"/>
      </w:divBdr>
    </w:div>
    <w:div w:id="489294665">
      <w:bodyDiv w:val="1"/>
      <w:marLeft w:val="0"/>
      <w:marRight w:val="0"/>
      <w:marTop w:val="0"/>
      <w:marBottom w:val="0"/>
      <w:divBdr>
        <w:top w:val="none" w:sz="0" w:space="0" w:color="auto"/>
        <w:left w:val="none" w:sz="0" w:space="0" w:color="auto"/>
        <w:bottom w:val="none" w:sz="0" w:space="0" w:color="auto"/>
        <w:right w:val="none" w:sz="0" w:space="0" w:color="auto"/>
      </w:divBdr>
    </w:div>
    <w:div w:id="512643943">
      <w:bodyDiv w:val="1"/>
      <w:marLeft w:val="0"/>
      <w:marRight w:val="0"/>
      <w:marTop w:val="0"/>
      <w:marBottom w:val="0"/>
      <w:divBdr>
        <w:top w:val="none" w:sz="0" w:space="0" w:color="auto"/>
        <w:left w:val="none" w:sz="0" w:space="0" w:color="auto"/>
        <w:bottom w:val="none" w:sz="0" w:space="0" w:color="auto"/>
        <w:right w:val="none" w:sz="0" w:space="0" w:color="auto"/>
      </w:divBdr>
      <w:divsChild>
        <w:div w:id="310445384">
          <w:marLeft w:val="0"/>
          <w:marRight w:val="0"/>
          <w:marTop w:val="0"/>
          <w:marBottom w:val="0"/>
          <w:divBdr>
            <w:top w:val="none" w:sz="0" w:space="0" w:color="auto"/>
            <w:left w:val="none" w:sz="0" w:space="0" w:color="auto"/>
            <w:bottom w:val="none" w:sz="0" w:space="0" w:color="auto"/>
            <w:right w:val="none" w:sz="0" w:space="0" w:color="auto"/>
          </w:divBdr>
        </w:div>
        <w:div w:id="1699814194">
          <w:marLeft w:val="0"/>
          <w:marRight w:val="0"/>
          <w:marTop w:val="0"/>
          <w:marBottom w:val="0"/>
          <w:divBdr>
            <w:top w:val="none" w:sz="0" w:space="0" w:color="auto"/>
            <w:left w:val="none" w:sz="0" w:space="0" w:color="auto"/>
            <w:bottom w:val="none" w:sz="0" w:space="0" w:color="auto"/>
            <w:right w:val="none" w:sz="0" w:space="0" w:color="auto"/>
          </w:divBdr>
          <w:divsChild>
            <w:div w:id="470295230">
              <w:marLeft w:val="0"/>
              <w:marRight w:val="0"/>
              <w:marTop w:val="0"/>
              <w:marBottom w:val="0"/>
              <w:divBdr>
                <w:top w:val="none" w:sz="0" w:space="0" w:color="auto"/>
                <w:left w:val="none" w:sz="0" w:space="0" w:color="auto"/>
                <w:bottom w:val="none" w:sz="0" w:space="0" w:color="auto"/>
                <w:right w:val="none" w:sz="0" w:space="0" w:color="auto"/>
              </w:divBdr>
              <w:divsChild>
                <w:div w:id="1360475958">
                  <w:marLeft w:val="0"/>
                  <w:marRight w:val="0"/>
                  <w:marTop w:val="0"/>
                  <w:marBottom w:val="0"/>
                  <w:divBdr>
                    <w:top w:val="none" w:sz="0" w:space="0" w:color="auto"/>
                    <w:left w:val="none" w:sz="0" w:space="0" w:color="auto"/>
                    <w:bottom w:val="none" w:sz="0" w:space="0" w:color="auto"/>
                    <w:right w:val="none" w:sz="0" w:space="0" w:color="auto"/>
                  </w:divBdr>
                  <w:divsChild>
                    <w:div w:id="993727355">
                      <w:marLeft w:val="0"/>
                      <w:marRight w:val="0"/>
                      <w:marTop w:val="0"/>
                      <w:marBottom w:val="0"/>
                      <w:divBdr>
                        <w:top w:val="none" w:sz="0" w:space="0" w:color="auto"/>
                        <w:left w:val="none" w:sz="0" w:space="0" w:color="auto"/>
                        <w:bottom w:val="none" w:sz="0" w:space="0" w:color="auto"/>
                        <w:right w:val="none" w:sz="0" w:space="0" w:color="auto"/>
                      </w:divBdr>
                      <w:divsChild>
                        <w:div w:id="16391862">
                          <w:marLeft w:val="0"/>
                          <w:marRight w:val="0"/>
                          <w:marTop w:val="0"/>
                          <w:marBottom w:val="0"/>
                          <w:divBdr>
                            <w:top w:val="none" w:sz="0" w:space="0" w:color="auto"/>
                            <w:left w:val="none" w:sz="0" w:space="0" w:color="auto"/>
                            <w:bottom w:val="none" w:sz="0" w:space="0" w:color="auto"/>
                            <w:right w:val="none" w:sz="0" w:space="0" w:color="auto"/>
                          </w:divBdr>
                          <w:divsChild>
                            <w:div w:id="442919630">
                              <w:marLeft w:val="0"/>
                              <w:marRight w:val="0"/>
                              <w:marTop w:val="0"/>
                              <w:marBottom w:val="0"/>
                              <w:divBdr>
                                <w:top w:val="none" w:sz="0" w:space="0" w:color="auto"/>
                                <w:left w:val="none" w:sz="0" w:space="0" w:color="auto"/>
                                <w:bottom w:val="none" w:sz="0" w:space="0" w:color="auto"/>
                                <w:right w:val="none" w:sz="0" w:space="0" w:color="auto"/>
                              </w:divBdr>
                              <w:divsChild>
                                <w:div w:id="1359040498">
                                  <w:marLeft w:val="0"/>
                                  <w:marRight w:val="0"/>
                                  <w:marTop w:val="0"/>
                                  <w:marBottom w:val="0"/>
                                  <w:divBdr>
                                    <w:top w:val="none" w:sz="0" w:space="0" w:color="auto"/>
                                    <w:left w:val="none" w:sz="0" w:space="0" w:color="auto"/>
                                    <w:bottom w:val="none" w:sz="0" w:space="0" w:color="auto"/>
                                    <w:right w:val="none" w:sz="0" w:space="0" w:color="auto"/>
                                  </w:divBdr>
                                  <w:divsChild>
                                    <w:div w:id="684937364">
                                      <w:marLeft w:val="0"/>
                                      <w:marRight w:val="0"/>
                                      <w:marTop w:val="0"/>
                                      <w:marBottom w:val="0"/>
                                      <w:divBdr>
                                        <w:top w:val="none" w:sz="0" w:space="0" w:color="auto"/>
                                        <w:left w:val="none" w:sz="0" w:space="0" w:color="auto"/>
                                        <w:bottom w:val="none" w:sz="0" w:space="0" w:color="auto"/>
                                        <w:right w:val="none" w:sz="0" w:space="0" w:color="auto"/>
                                      </w:divBdr>
                                      <w:divsChild>
                                        <w:div w:id="940987135">
                                          <w:marLeft w:val="0"/>
                                          <w:marRight w:val="0"/>
                                          <w:marTop w:val="0"/>
                                          <w:marBottom w:val="0"/>
                                          <w:divBdr>
                                            <w:top w:val="none" w:sz="0" w:space="0" w:color="auto"/>
                                            <w:left w:val="none" w:sz="0" w:space="0" w:color="auto"/>
                                            <w:bottom w:val="none" w:sz="0" w:space="0" w:color="auto"/>
                                            <w:right w:val="none" w:sz="0" w:space="0" w:color="auto"/>
                                          </w:divBdr>
                                          <w:divsChild>
                                            <w:div w:id="368727154">
                                              <w:marLeft w:val="0"/>
                                              <w:marRight w:val="0"/>
                                              <w:marTop w:val="0"/>
                                              <w:marBottom w:val="0"/>
                                              <w:divBdr>
                                                <w:top w:val="none" w:sz="0" w:space="0" w:color="auto"/>
                                                <w:left w:val="none" w:sz="0" w:space="0" w:color="auto"/>
                                                <w:bottom w:val="none" w:sz="0" w:space="0" w:color="auto"/>
                                                <w:right w:val="none" w:sz="0" w:space="0" w:color="auto"/>
                                              </w:divBdr>
                                              <w:divsChild>
                                                <w:div w:id="1041591958">
                                                  <w:marLeft w:val="0"/>
                                                  <w:marRight w:val="0"/>
                                                  <w:marTop w:val="0"/>
                                                  <w:marBottom w:val="0"/>
                                                  <w:divBdr>
                                                    <w:top w:val="none" w:sz="0" w:space="0" w:color="auto"/>
                                                    <w:left w:val="none" w:sz="0" w:space="0" w:color="auto"/>
                                                    <w:bottom w:val="none" w:sz="0" w:space="0" w:color="auto"/>
                                                    <w:right w:val="none" w:sz="0" w:space="0" w:color="auto"/>
                                                  </w:divBdr>
                                                  <w:divsChild>
                                                    <w:div w:id="239096009">
                                                      <w:marLeft w:val="0"/>
                                                      <w:marRight w:val="0"/>
                                                      <w:marTop w:val="0"/>
                                                      <w:marBottom w:val="0"/>
                                                      <w:divBdr>
                                                        <w:top w:val="none" w:sz="0" w:space="0" w:color="auto"/>
                                                        <w:left w:val="none" w:sz="0" w:space="0" w:color="auto"/>
                                                        <w:bottom w:val="none" w:sz="0" w:space="0" w:color="auto"/>
                                                        <w:right w:val="none" w:sz="0" w:space="0" w:color="auto"/>
                                                      </w:divBdr>
                                                      <w:divsChild>
                                                        <w:div w:id="1338727047">
                                                          <w:marLeft w:val="0"/>
                                                          <w:marRight w:val="0"/>
                                                          <w:marTop w:val="0"/>
                                                          <w:marBottom w:val="0"/>
                                                          <w:divBdr>
                                                            <w:top w:val="none" w:sz="0" w:space="0" w:color="auto"/>
                                                            <w:left w:val="none" w:sz="0" w:space="0" w:color="auto"/>
                                                            <w:bottom w:val="none" w:sz="0" w:space="0" w:color="auto"/>
                                                            <w:right w:val="none" w:sz="0" w:space="0" w:color="auto"/>
                                                          </w:divBdr>
                                                          <w:divsChild>
                                                            <w:div w:id="197356407">
                                                              <w:marLeft w:val="0"/>
                                                              <w:marRight w:val="0"/>
                                                              <w:marTop w:val="0"/>
                                                              <w:marBottom w:val="0"/>
                                                              <w:divBdr>
                                                                <w:top w:val="none" w:sz="0" w:space="0" w:color="auto"/>
                                                                <w:left w:val="none" w:sz="0" w:space="0" w:color="auto"/>
                                                                <w:bottom w:val="none" w:sz="0" w:space="0" w:color="auto"/>
                                                                <w:right w:val="none" w:sz="0" w:space="0" w:color="auto"/>
                                                              </w:divBdr>
                                                              <w:divsChild>
                                                                <w:div w:id="480579765">
                                                                  <w:marLeft w:val="0"/>
                                                                  <w:marRight w:val="0"/>
                                                                  <w:marTop w:val="0"/>
                                                                  <w:marBottom w:val="0"/>
                                                                  <w:divBdr>
                                                                    <w:top w:val="none" w:sz="0" w:space="0" w:color="auto"/>
                                                                    <w:left w:val="none" w:sz="0" w:space="0" w:color="auto"/>
                                                                    <w:bottom w:val="none" w:sz="0" w:space="0" w:color="auto"/>
                                                                    <w:right w:val="none" w:sz="0" w:space="0" w:color="auto"/>
                                                                  </w:divBdr>
                                                                  <w:divsChild>
                                                                    <w:div w:id="6585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48510938">
      <w:bodyDiv w:val="1"/>
      <w:marLeft w:val="0"/>
      <w:marRight w:val="0"/>
      <w:marTop w:val="0"/>
      <w:marBottom w:val="0"/>
      <w:divBdr>
        <w:top w:val="none" w:sz="0" w:space="0" w:color="auto"/>
        <w:left w:val="none" w:sz="0" w:space="0" w:color="auto"/>
        <w:bottom w:val="none" w:sz="0" w:space="0" w:color="auto"/>
        <w:right w:val="none" w:sz="0" w:space="0" w:color="auto"/>
      </w:divBdr>
    </w:div>
    <w:div w:id="1046872151">
      <w:bodyDiv w:val="1"/>
      <w:marLeft w:val="0"/>
      <w:marRight w:val="0"/>
      <w:marTop w:val="0"/>
      <w:marBottom w:val="0"/>
      <w:divBdr>
        <w:top w:val="none" w:sz="0" w:space="0" w:color="auto"/>
        <w:left w:val="none" w:sz="0" w:space="0" w:color="auto"/>
        <w:bottom w:val="none" w:sz="0" w:space="0" w:color="auto"/>
        <w:right w:val="none" w:sz="0" w:space="0" w:color="auto"/>
      </w:divBdr>
      <w:divsChild>
        <w:div w:id="1581406669">
          <w:marLeft w:val="0"/>
          <w:marRight w:val="0"/>
          <w:marTop w:val="0"/>
          <w:marBottom w:val="0"/>
          <w:divBdr>
            <w:top w:val="none" w:sz="0" w:space="0" w:color="auto"/>
            <w:left w:val="none" w:sz="0" w:space="0" w:color="auto"/>
            <w:bottom w:val="none" w:sz="0" w:space="0" w:color="auto"/>
            <w:right w:val="none" w:sz="0" w:space="0" w:color="auto"/>
          </w:divBdr>
          <w:divsChild>
            <w:div w:id="1041242790">
              <w:marLeft w:val="0"/>
              <w:marRight w:val="0"/>
              <w:marTop w:val="0"/>
              <w:marBottom w:val="0"/>
              <w:divBdr>
                <w:top w:val="none" w:sz="0" w:space="0" w:color="auto"/>
                <w:left w:val="none" w:sz="0" w:space="0" w:color="auto"/>
                <w:bottom w:val="none" w:sz="0" w:space="0" w:color="auto"/>
                <w:right w:val="none" w:sz="0" w:space="0" w:color="auto"/>
              </w:divBdr>
              <w:divsChild>
                <w:div w:id="66920839">
                  <w:marLeft w:val="0"/>
                  <w:marRight w:val="0"/>
                  <w:marTop w:val="0"/>
                  <w:marBottom w:val="0"/>
                  <w:divBdr>
                    <w:top w:val="none" w:sz="0" w:space="0" w:color="auto"/>
                    <w:left w:val="none" w:sz="0" w:space="0" w:color="auto"/>
                    <w:bottom w:val="none" w:sz="0" w:space="0" w:color="auto"/>
                    <w:right w:val="none" w:sz="0" w:space="0" w:color="auto"/>
                  </w:divBdr>
                  <w:divsChild>
                    <w:div w:id="1007947210">
                      <w:marLeft w:val="0"/>
                      <w:marRight w:val="0"/>
                      <w:marTop w:val="0"/>
                      <w:marBottom w:val="0"/>
                      <w:divBdr>
                        <w:top w:val="none" w:sz="0" w:space="0" w:color="auto"/>
                        <w:left w:val="none" w:sz="0" w:space="0" w:color="auto"/>
                        <w:bottom w:val="none" w:sz="0" w:space="0" w:color="auto"/>
                        <w:right w:val="none" w:sz="0" w:space="0" w:color="auto"/>
                      </w:divBdr>
                      <w:divsChild>
                        <w:div w:id="415513943">
                          <w:marLeft w:val="0"/>
                          <w:marRight w:val="0"/>
                          <w:marTop w:val="0"/>
                          <w:marBottom w:val="0"/>
                          <w:divBdr>
                            <w:top w:val="none" w:sz="0" w:space="0" w:color="auto"/>
                            <w:left w:val="none" w:sz="0" w:space="0" w:color="auto"/>
                            <w:bottom w:val="none" w:sz="0" w:space="0" w:color="auto"/>
                            <w:right w:val="none" w:sz="0" w:space="0" w:color="auto"/>
                          </w:divBdr>
                          <w:divsChild>
                            <w:div w:id="1592158930">
                              <w:marLeft w:val="0"/>
                              <w:marRight w:val="0"/>
                              <w:marTop w:val="0"/>
                              <w:marBottom w:val="0"/>
                              <w:divBdr>
                                <w:top w:val="none" w:sz="0" w:space="0" w:color="auto"/>
                                <w:left w:val="none" w:sz="0" w:space="0" w:color="auto"/>
                                <w:bottom w:val="none" w:sz="0" w:space="0" w:color="auto"/>
                                <w:right w:val="none" w:sz="0" w:space="0" w:color="auto"/>
                              </w:divBdr>
                              <w:divsChild>
                                <w:div w:id="1038118615">
                                  <w:marLeft w:val="0"/>
                                  <w:marRight w:val="0"/>
                                  <w:marTop w:val="0"/>
                                  <w:marBottom w:val="0"/>
                                  <w:divBdr>
                                    <w:top w:val="none" w:sz="0" w:space="0" w:color="auto"/>
                                    <w:left w:val="none" w:sz="0" w:space="0" w:color="auto"/>
                                    <w:bottom w:val="none" w:sz="0" w:space="0" w:color="auto"/>
                                    <w:right w:val="none" w:sz="0" w:space="0" w:color="auto"/>
                                  </w:divBdr>
                                  <w:divsChild>
                                    <w:div w:id="1625965471">
                                      <w:marLeft w:val="0"/>
                                      <w:marRight w:val="0"/>
                                      <w:marTop w:val="0"/>
                                      <w:marBottom w:val="0"/>
                                      <w:divBdr>
                                        <w:top w:val="none" w:sz="0" w:space="0" w:color="auto"/>
                                        <w:left w:val="none" w:sz="0" w:space="0" w:color="auto"/>
                                        <w:bottom w:val="none" w:sz="0" w:space="0" w:color="auto"/>
                                        <w:right w:val="none" w:sz="0" w:space="0" w:color="auto"/>
                                      </w:divBdr>
                                      <w:divsChild>
                                        <w:div w:id="3161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438049">
      <w:bodyDiv w:val="1"/>
      <w:marLeft w:val="0"/>
      <w:marRight w:val="0"/>
      <w:marTop w:val="0"/>
      <w:marBottom w:val="0"/>
      <w:divBdr>
        <w:top w:val="none" w:sz="0" w:space="0" w:color="auto"/>
        <w:left w:val="none" w:sz="0" w:space="0" w:color="auto"/>
        <w:bottom w:val="none" w:sz="0" w:space="0" w:color="auto"/>
        <w:right w:val="none" w:sz="0" w:space="0" w:color="auto"/>
      </w:divBdr>
    </w:div>
    <w:div w:id="177910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Macro-Enabled_Document2.docm"/><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Word_Macro-Enabled_Document6.docm"/><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Word_Macro-Enabled_Document4.docm"/><Relationship Id="rId25" Type="http://schemas.openxmlformats.org/officeDocument/2006/relationships/package" Target="embeddings/Microsoft_Word_Macro-Enabled_Document8.docm"/><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Macro-Enabled_Document1.docm"/><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Word_Macro-Enabled_Document3.docm"/><Relationship Id="rId23" Type="http://schemas.openxmlformats.org/officeDocument/2006/relationships/package" Target="embeddings/Microsoft_Word_Macro-Enabled_Document7.docm"/><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Word_Macro-Enabled_Document5.docm"/><Relationship Id="rId4" Type="http://schemas.openxmlformats.org/officeDocument/2006/relationships/settings" Target="settings.xml"/><Relationship Id="rId9" Type="http://schemas.openxmlformats.org/officeDocument/2006/relationships/package" Target="embeddings/Microsoft_Word_Macro-Enabled_Document.docm"/><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34B37-2F36-4C9D-A6C5-5B4822A7B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12953</TotalTime>
  <Pages>1</Pages>
  <Words>13285</Words>
  <Characters>75726</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Godfrey</dc:creator>
  <cp:keywords/>
  <dc:description/>
  <cp:lastModifiedBy>Nicholas Godfrey</cp:lastModifiedBy>
  <cp:revision>29</cp:revision>
  <cp:lastPrinted>2020-10-30T03:03:00Z</cp:lastPrinted>
  <dcterms:created xsi:type="dcterms:W3CDTF">2020-10-03T03:15:00Z</dcterms:created>
  <dcterms:modified xsi:type="dcterms:W3CDTF">2020-10-30T04:04:00Z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id="mTqwEo6o"/&gt;&lt;style id="http://www.zotero.org/styles/australian-guide-to-legal-citation" hasBibliography="1" bibliographyStyleHasBeenSet="1"/&gt;&lt;prefs&gt;&lt;pref name="fieldType" value="Field"/&gt;&lt;pref name</vt:lpwstr>
  </property>
  <property fmtid="{D5CDD505-2E9C-101B-9397-08002B2CF9AE}" pid="3" name="ZOTERO_PREF_2">
    <vt:lpwstr>="noteType" value="1"/&gt;&lt;pref name="dontAskDelayCitationUpdates" value="true"/&gt;&lt;/prefs&gt;&lt;/data&gt;</vt:lpwstr>
  </property>
</Properties>
</file>