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5632E0D5" w:rsidR="001C1830" w:rsidRDefault="006F2E50" w:rsidP="001C183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RULES AS CODE AND THE INTERPRETATIVE ROLE OF THE JUDICIARY</w:t>
      </w:r>
    </w:p>
    <w:p w14:paraId="6C6E774F" w14:textId="5395A163"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R</w:t>
      </w:r>
      <w:r w:rsidRPr="00B67F00">
        <w:rPr>
          <w:rFonts w:ascii="Times New Roman" w:hAnsi="Times New Roman" w:cs="Times New Roman"/>
          <w:sz w:val="32"/>
          <w:szCs w:val="32"/>
        </w:rPr>
        <w:t>ESEARCH</w:t>
      </w:r>
      <w:r w:rsidRPr="00B67F00">
        <w:rPr>
          <w:rFonts w:ascii="Times New Roman" w:hAnsi="Times New Roman" w:cs="Times New Roman"/>
          <w:sz w:val="36"/>
          <w:szCs w:val="36"/>
        </w:rPr>
        <w:t xml:space="preserve"> P</w:t>
      </w:r>
      <w:r w:rsidRPr="00B67F00">
        <w:rPr>
          <w:rFonts w:ascii="Times New Roman" w:hAnsi="Times New Roman" w:cs="Times New Roman"/>
          <w:sz w:val="32"/>
          <w:szCs w:val="32"/>
        </w:rPr>
        <w:t>ROPOSAL</w:t>
      </w:r>
      <w:r w:rsidRPr="00B67F00">
        <w:rPr>
          <w:rFonts w:ascii="Times New Roman" w:hAnsi="Times New Roman" w:cs="Times New Roman"/>
          <w:sz w:val="36"/>
          <w:szCs w:val="36"/>
        </w:rPr>
        <w:t xml:space="preserve"> | 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p>
    <w:p w14:paraId="2E5D3D5D" w14:textId="77777777" w:rsidR="00AB3E6B" w:rsidRDefault="00AB3E6B" w:rsidP="001C1830">
      <w:pPr>
        <w:spacing w:line="480" w:lineRule="auto"/>
        <w:jc w:val="center"/>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0"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0"/>
    <w:p w14:paraId="565BF945" w14:textId="71F6184A"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the Rules as Code</w:t>
      </w:r>
      <w:r w:rsidR="00EE31CD">
        <w:rPr>
          <w:rFonts w:ascii="Times New Roman" w:hAnsi="Times New Roman" w:cs="Times New Roman"/>
        </w:rPr>
        <w:t xml:space="preserve"> (</w:t>
      </w:r>
      <w:r w:rsidR="00F53D7E">
        <w:rPr>
          <w:rFonts w:ascii="Times New Roman" w:hAnsi="Times New Roman" w:cs="Times New Roman"/>
        </w:rPr>
        <w:t>“</w:t>
      </w:r>
      <w:r w:rsidR="00EE31CD">
        <w:rPr>
          <w:rFonts w:ascii="Times New Roman" w:hAnsi="Times New Roman" w:cs="Times New Roman"/>
        </w:rPr>
        <w:t>RaC</w:t>
      </w:r>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concept 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CC6104">
        <w:rPr>
          <w:rFonts w:ascii="Times New Roman" w:hAnsi="Times New Roman" w:cs="Times New Roman"/>
        </w:rPr>
        <w:t>digital government</w:t>
      </w:r>
      <w:r w:rsidR="00C16CDC" w:rsidRPr="00FF395A">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RaC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RaC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FF395A">
        <w:rPr>
          <w:rStyle w:val="FootnoteReference"/>
        </w:rPr>
        <w:footnoteReference w:id="2"/>
      </w:r>
      <w:r w:rsidR="006F2E50">
        <w:rPr>
          <w:rFonts w:ascii="Times New Roman" w:hAnsi="Times New Roman" w:cs="Times New Roman"/>
        </w:rPr>
        <w:t xml:space="preserve"> </w:t>
      </w:r>
      <w:r w:rsidR="0045475E">
        <w:rPr>
          <w:rFonts w:ascii="Times New Roman" w:hAnsi="Times New Roman" w:cs="Times New Roman"/>
        </w:rPr>
        <w:t>were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with particular reference to the manners in which the </w:t>
      </w:r>
      <w:r w:rsidR="00BA7082">
        <w:rPr>
          <w:rFonts w:ascii="Times New Roman" w:hAnsi="Times New Roman" w:cs="Times New Roman"/>
        </w:rPr>
        <w:t>resultant application</w:t>
      </w:r>
      <w:r w:rsidR="00BA7082">
        <w:rPr>
          <w:rStyle w:val="FootnoteReference"/>
          <w:rFonts w:ascii="Times New Roman" w:hAnsi="Times New Roman" w:cs="Times New Roman"/>
        </w:rPr>
        <w:footnoteReference w:id="3"/>
      </w:r>
      <w:r w:rsidR="0045475E">
        <w:rPr>
          <w:rFonts w:ascii="Times New Roman" w:hAnsi="Times New Roman" w:cs="Times New Roman"/>
        </w:rPr>
        <w:t xml:space="preserve"> changed from that initially proposed.</w:t>
      </w:r>
      <w:r w:rsidR="00FF395A">
        <w:rPr>
          <w:rFonts w:ascii="Times New Roman" w:hAnsi="Times New Roman" w:cs="Times New Roman"/>
        </w:rPr>
        <w:t xml:space="preserve"> </w:t>
      </w:r>
      <w:r w:rsidR="0045475E">
        <w:rPr>
          <w:rFonts w:ascii="Times New Roman" w:hAnsi="Times New Roman" w:cs="Times New Roman"/>
        </w:rPr>
        <w:t>Section V posits that, in light of the project’s findings, alternative approaches might be better suited than that of the formalist vs non-formalist one initially proposed, focussing in particular on the lessons RaC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lastRenderedPageBreak/>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49FCFA67" w14:textId="3DE85F60" w:rsidR="002228A5" w:rsidRDefault="002228A5" w:rsidP="00AA6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2FB0ED38" w14:textId="2DCE18A9" w:rsidR="00D73D79" w:rsidRPr="00FF395A" w:rsidRDefault="00D73D79" w:rsidP="00FF395A">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Pr>
          <w:rFonts w:ascii="Times New Roman" w:hAnsi="Times New Roman" w:cs="Times New Roman"/>
          <w:i/>
          <w:iCs/>
          <w:sz w:val="24"/>
          <w:szCs w:val="24"/>
        </w:rPr>
        <w:t>Literature Review</w:t>
      </w:r>
    </w:p>
    <w:p w14:paraId="1FD12944" w14:textId="719EC2A1" w:rsidR="00AA551E" w:rsidRDefault="00AA551E" w:rsidP="007B26C3">
      <w:pPr>
        <w:spacing w:line="480" w:lineRule="auto"/>
        <w:jc w:val="both"/>
        <w:rPr>
          <w:rFonts w:ascii="Times New Roman" w:hAnsi="Times New Roman" w:cs="Times New Roman"/>
        </w:rPr>
      </w:pPr>
      <w:r>
        <w:rPr>
          <w:rFonts w:ascii="Times New Roman" w:hAnsi="Times New Roman" w:cs="Times New Roman"/>
        </w:rPr>
        <w:t>This section seeks to outline and critique the relevant literature surrounding Rules as Code. Subsection A explores how current and historical endeavours within the field of computational law have grown and provided valuable lessons for a future implementation of RaC. Subsection B considers one of</w:t>
      </w:r>
      <w:r w:rsidR="005523B9">
        <w:rPr>
          <w:rFonts w:ascii="Times New Roman" w:hAnsi="Times New Roman" w:cs="Times New Roman"/>
        </w:rPr>
        <w:t xml:space="preserve"> the</w:t>
      </w:r>
      <w:r>
        <w:rPr>
          <w:rFonts w:ascii="Times New Roman" w:hAnsi="Times New Roman" w:cs="Times New Roman"/>
        </w:rPr>
        <w:t xml:space="preserve"> key concerns arising from RaC with regard to the interpretative nature of the judiciary, this being the inherence of algorithms to align with </w:t>
      </w:r>
      <w:r w:rsidR="00C0378E">
        <w:rPr>
          <w:rFonts w:ascii="Times New Roman" w:hAnsi="Times New Roman" w:cs="Times New Roman"/>
        </w:rPr>
        <w:t>legal formalism</w:t>
      </w:r>
      <w:r>
        <w:rPr>
          <w:rFonts w:ascii="Times New Roman" w:hAnsi="Times New Roman" w:cs="Times New Roman"/>
        </w:rPr>
        <w:t>. Finally, Subsection C considers the act of interpreting and converting legislation to code with regards to the separation of powers, drawing analogies to multilingual legislation.</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4EB989D5" w:rsidR="0094613C" w:rsidRDefault="00CB7044" w:rsidP="00E67332">
      <w:pPr>
        <w:spacing w:line="480" w:lineRule="auto"/>
        <w:jc w:val="both"/>
        <w:rPr>
          <w:rFonts w:ascii="Times New Roman" w:hAnsi="Times New Roman" w:cs="Times New Roman"/>
        </w:rPr>
      </w:pPr>
      <w:r>
        <w:rPr>
          <w:rFonts w:ascii="Times New Roman" w:hAnsi="Times New Roman" w:cs="Times New Roman"/>
        </w:rPr>
        <w:t>A significant number of</w:t>
      </w:r>
      <w:r w:rsidR="0025612F" w:rsidRPr="00B67F00">
        <w:rPr>
          <w:rFonts w:ascii="Times New Roman" w:hAnsi="Times New Roman" w:cs="Times New Roman"/>
        </w:rPr>
        <w:t xml:space="preserve"> legal systems</w:t>
      </w:r>
      <w:r w:rsidR="00C90773" w:rsidRPr="00B67F00">
        <w:rPr>
          <w:rFonts w:ascii="Times New Roman" w:hAnsi="Times New Roman" w:cs="Times New Roman"/>
        </w:rPr>
        <w:t xml:space="preserve"> throughout history</w:t>
      </w:r>
      <w:r w:rsidR="0025612F" w:rsidRPr="00B67F00">
        <w:rPr>
          <w:rFonts w:ascii="Times New Roman" w:hAnsi="Times New Roman" w:cs="Times New Roman"/>
        </w:rPr>
        <w:t xml:space="preserve"> have</w:t>
      </w:r>
      <w:r w:rsidR="00C90773" w:rsidRPr="00B67F00">
        <w:rPr>
          <w:rFonts w:ascii="Times New Roman" w:hAnsi="Times New Roman" w:cs="Times New Roman"/>
        </w:rPr>
        <w:t xml:space="preserve"> had</w:t>
      </w:r>
      <w:r w:rsidR="00031E20" w:rsidRPr="00B67F00">
        <w:rPr>
          <w:rFonts w:ascii="Times New Roman" w:hAnsi="Times New Roman" w:cs="Times New Roman"/>
        </w:rPr>
        <w:t xml:space="preserve"> </w:t>
      </w:r>
      <w:r w:rsidR="00C90773" w:rsidRPr="00B67F00">
        <w:rPr>
          <w:rFonts w:ascii="Times New Roman" w:hAnsi="Times New Roman" w:cs="Times New Roman"/>
        </w:rPr>
        <w:t>computational potential</w:t>
      </w:r>
      <w:r w:rsidR="00A454CD">
        <w:rPr>
          <w:rFonts w:ascii="Times New Roman" w:hAnsi="Times New Roman" w:cs="Times New Roman"/>
        </w:rPr>
        <w:t>:</w:t>
      </w:r>
      <w:r w:rsidR="00A6519D">
        <w:rPr>
          <w:rFonts w:ascii="Times New Roman" w:hAnsi="Times New Roman" w:cs="Times New Roman"/>
        </w:rPr>
        <w:t xml:space="preserve"> </w:t>
      </w:r>
      <w:r w:rsidR="00A454CD">
        <w:rPr>
          <w:rFonts w:ascii="Times New Roman" w:hAnsi="Times New Roman" w:cs="Times New Roman"/>
        </w:rPr>
        <w:t>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Ur-Nammu</w:t>
      </w:r>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FF395A">
        <w:rPr>
          <w:rStyle w:val="FootnoteReference"/>
        </w:rPr>
        <w:footnoteReference w:id="4"/>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FF395A">
        <w:rPr>
          <w:rStyle w:val="FootnoteReference"/>
        </w:rPr>
        <w:footnoteReference w:id="5"/>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such as that hypothesised by Allen &amp; Engholm</w:t>
      </w:r>
      <w:r w:rsidR="00F70A88" w:rsidRPr="00FF395A">
        <w:rPr>
          <w:rStyle w:val="FootnoteReference"/>
        </w:rPr>
        <w:footnoteReference w:id="6"/>
      </w:r>
      <w:r w:rsidR="00F70A88" w:rsidRPr="00B67F00">
        <w:rPr>
          <w:rFonts w:ascii="Times New Roman" w:hAnsi="Times New Roman" w:cs="Times New Roman"/>
        </w:rPr>
        <w:t>, are considered the origins of the field now known as computational law.</w:t>
      </w:r>
      <w:r w:rsidRPr="00FF395A">
        <w:rPr>
          <w:rStyle w:val="FootnoteReference"/>
        </w:rPr>
        <w:footnoteReference w:id="7"/>
      </w:r>
      <w:r w:rsidR="00720C10">
        <w:rPr>
          <w:rFonts w:ascii="Times New Roman" w:hAnsi="Times New Roman" w:cs="Times New Roman"/>
        </w:rPr>
        <w:t xml:space="preserve"> </w:t>
      </w:r>
    </w:p>
    <w:p w14:paraId="7C9440D1" w14:textId="4F0B61A9" w:rsidR="00DF2A0E" w:rsidRDefault="0094613C" w:rsidP="00E67332">
      <w:pPr>
        <w:spacing w:line="480" w:lineRule="auto"/>
        <w:jc w:val="both"/>
        <w:rPr>
          <w:rFonts w:ascii="Times New Roman" w:hAnsi="Times New Roman" w:cs="Times New Roman"/>
        </w:rPr>
      </w:pPr>
      <w:r>
        <w:rPr>
          <w:rFonts w:ascii="Times New Roman" w:hAnsi="Times New Roman" w:cs="Times New Roman"/>
        </w:rPr>
        <w:lastRenderedPageBreak/>
        <w:t xml:space="preserve">In the 1980s, </w:t>
      </w:r>
      <w:r w:rsidR="00CD2CD2">
        <w:rPr>
          <w:rFonts w:ascii="Times New Roman" w:hAnsi="Times New Roman" w:cs="Times New Roman"/>
        </w:rPr>
        <w:t xml:space="preserve">efforts such as that of </w:t>
      </w:r>
      <w:r w:rsidR="00E313B4">
        <w:rPr>
          <w:rFonts w:ascii="Times New Roman" w:hAnsi="Times New Roman" w:cs="Times New Roman"/>
        </w:rPr>
        <w:t>Sergot et al</w:t>
      </w:r>
      <w:r w:rsidR="00693908">
        <w:rPr>
          <w:rFonts w:ascii="Times New Roman" w:hAnsi="Times New Roman" w:cs="Times New Roman"/>
        </w:rPr>
        <w:t>.</w:t>
      </w:r>
      <w:r w:rsidR="00693908" w:rsidRPr="00FF395A">
        <w:rPr>
          <w:rStyle w:val="FootnoteReference"/>
        </w:rPr>
        <w:footnoteReference w:id="8"/>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FF395A">
        <w:rPr>
          <w:rStyle w:val="FootnoteReference"/>
        </w:rPr>
        <w:footnoteReference w:id="9"/>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5B69BF">
        <w:rPr>
          <w:rFonts w:ascii="Times New Roman" w:hAnsi="Times New Roman" w:cs="Times New Roman"/>
        </w:rPr>
        <w:t xml:space="preserve"> Here, some initial discrepancies between the 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FF395A">
        <w:rPr>
          <w:rStyle w:val="FootnoteReference"/>
        </w:rPr>
        <w:footnoteReference w:id="10"/>
      </w:r>
      <w:r w:rsidR="0067137E">
        <w:rPr>
          <w:rFonts w:ascii="Times New Roman" w:hAnsi="Times New Roman" w:cs="Times New Roman"/>
        </w:rPr>
        <w:t xml:space="preserve"> </w:t>
      </w:r>
      <w:r w:rsidR="00635017">
        <w:rPr>
          <w:rFonts w:ascii="Times New Roman" w:hAnsi="Times New Roman" w:cs="Times New Roman"/>
        </w:rPr>
        <w:t>Further, Leith critiques the logic used by Sergo et al. in their conversion,</w:t>
      </w:r>
      <w:r w:rsidR="00635017" w:rsidRPr="00FF395A">
        <w:rPr>
          <w:rStyle w:val="FootnoteReference"/>
        </w:rPr>
        <w:footnoteReference w:id="11"/>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FF395A">
        <w:rPr>
          <w:rStyle w:val="FootnoteReference"/>
        </w:rPr>
        <w:footnoteReference w:id="12"/>
      </w:r>
      <w:r w:rsidR="0018558A">
        <w:rPr>
          <w:rFonts w:ascii="Times New Roman" w:hAnsi="Times New Roman" w:cs="Times New Roman"/>
        </w:rPr>
        <w:t xml:space="preserve"> though the extra-curial words of French CJ would indicate this concern is unfounded in Australia.</w:t>
      </w:r>
      <w:r w:rsidR="0018558A">
        <w:rPr>
          <w:rStyle w:val="FootnoteReference"/>
          <w:rFonts w:ascii="Times New Roman" w:hAnsi="Times New Roman" w:cs="Times New Roman"/>
        </w:rPr>
        <w:footnoteReference w:id="13"/>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Sergo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FF395A">
        <w:rPr>
          <w:rStyle w:val="FootnoteReference"/>
        </w:rPr>
        <w:footnoteReference w:id="14"/>
      </w:r>
      <w:r w:rsidR="00DF2A0E">
        <w:rPr>
          <w:rFonts w:ascii="Times New Roman" w:hAnsi="Times New Roman" w:cs="Times New Roman"/>
        </w:rPr>
        <w:t xml:space="preserve"> Genesereth notes that </w:t>
      </w:r>
      <w:r w:rsidR="003E1916">
        <w:rPr>
          <w:rFonts w:ascii="Times New Roman" w:hAnsi="Times New Roman" w:cs="Times New Roman"/>
        </w:rPr>
        <w:t>Sergo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FF395A">
        <w:rPr>
          <w:rStyle w:val="FootnoteReference"/>
        </w:rPr>
        <w:footnoteReference w:id="15"/>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r w:rsidR="00DF2A0E" w:rsidRPr="00DF2A0E">
        <w:rPr>
          <w:rFonts w:ascii="Times New Roman" w:hAnsi="Times New Roman" w:cs="Times New Roman"/>
        </w:rPr>
        <w:t xml:space="preserve">RaC,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FF395A">
        <w:rPr>
          <w:rStyle w:val="FootnoteReference"/>
        </w:rPr>
        <w:footnoteReference w:id="16"/>
      </w:r>
      <w:r w:rsidR="00DF2A0E" w:rsidRPr="00DF2A0E">
        <w:rPr>
          <w:rFonts w:ascii="Times New Roman" w:hAnsi="Times New Roman" w:cs="Times New Roman"/>
        </w:rPr>
        <w:t xml:space="preserve"> as well as the inherent formalist nature of algorithms.</w:t>
      </w:r>
      <w:r w:rsidR="0093293D" w:rsidRPr="00FF395A">
        <w:rPr>
          <w:rStyle w:val="FootnoteReference"/>
        </w:rPr>
        <w:footnoteReference w:id="17"/>
      </w:r>
      <w:r w:rsidR="00DF2A0E" w:rsidRPr="00DF2A0E">
        <w:rPr>
          <w:rFonts w:ascii="Times New Roman" w:hAnsi="Times New Roman" w:cs="Times New Roman"/>
        </w:rPr>
        <w:t xml:space="preserve"> Genesereth’s conclusion is that despite these limitations, RaC is still </w:t>
      </w:r>
      <w:r w:rsidR="00F53D7E">
        <w:rPr>
          <w:rFonts w:ascii="Times New Roman" w:hAnsi="Times New Roman" w:cs="Times New Roman"/>
        </w:rPr>
        <w:t>‘</w:t>
      </w:r>
      <w:r w:rsidR="00DF2A0E" w:rsidRPr="00DF2A0E">
        <w:rPr>
          <w:rFonts w:ascii="Times New Roman" w:hAnsi="Times New Roman" w:cs="Times New Roman"/>
        </w:rPr>
        <w:t>the next step in the evolution of legal system</w:t>
      </w:r>
      <w:r w:rsidR="00F53D7E">
        <w:rPr>
          <w:rFonts w:ascii="Times New Roman" w:hAnsi="Times New Roman" w:cs="Times New Roman"/>
        </w:rPr>
        <w:t>’</w:t>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lastRenderedPageBreak/>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FF395A">
        <w:rPr>
          <w:rStyle w:val="FootnoteReference"/>
        </w:rPr>
        <w:footnoteReference w:id="18"/>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FF395A">
        <w:rPr>
          <w:rStyle w:val="FootnoteReference"/>
        </w:rPr>
        <w:footnoteReference w:id="19"/>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recidivism prediction</w:t>
      </w:r>
      <w:r w:rsidR="007D6A24">
        <w:rPr>
          <w:rFonts w:ascii="Times New Roman" w:hAnsi="Times New Roman" w:cs="Times New Roman"/>
        </w:rPr>
        <w:t>.</w:t>
      </w:r>
      <w:r w:rsidR="007D6A24" w:rsidRPr="00FF395A">
        <w:rPr>
          <w:rStyle w:val="FootnoteReference"/>
        </w:rPr>
        <w:footnoteReference w:id="20"/>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RaC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92548">
        <w:rPr>
          <w:rFonts w:ascii="Times New Roman" w:hAnsi="Times New Roman" w:cs="Times New Roman"/>
        </w:rPr>
        <w:t xml:space="preserve">If </w:t>
      </w:r>
      <w:r w:rsidR="00792548" w:rsidRPr="00792548">
        <w:rPr>
          <w:rFonts w:ascii="Times New Roman" w:hAnsi="Times New Roman" w:cs="Times New Roman"/>
          <w:i/>
          <w:iCs/>
        </w:rPr>
        <w:t>x,</w:t>
      </w:r>
      <w:r w:rsidR="00792548" w:rsidRPr="00792548">
        <w:rPr>
          <w:rFonts w:ascii="Times New Roman" w:hAnsi="Times New Roman" w:cs="Times New Roman"/>
        </w:rPr>
        <w:t xml:space="preserve"> then </w:t>
      </w:r>
      <w:r w:rsidR="00792548" w:rsidRPr="00792548">
        <w:rPr>
          <w:rFonts w:ascii="Times New Roman" w:hAnsi="Times New Roman" w:cs="Times New Roman"/>
          <w:i/>
          <w:iCs/>
        </w:rPr>
        <w:t>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FF395A">
        <w:rPr>
          <w:rStyle w:val="FootnoteReference"/>
        </w:rPr>
        <w:footnoteReference w:id="21"/>
      </w:r>
      <w:r w:rsidR="00792548">
        <w:rPr>
          <w:rFonts w:ascii="Times New Roman" w:hAnsi="Times New Roman" w:cs="Times New Roman"/>
        </w:rPr>
        <w:t xml:space="preserve"> </w:t>
      </w:r>
    </w:p>
    <w:p w14:paraId="69733296" w14:textId="7B2D8DC3"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FF395A">
        <w:rPr>
          <w:rStyle w:val="FootnoteReference"/>
        </w:rPr>
        <w:footnoteReference w:id="22"/>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FF395A">
        <w:rPr>
          <w:rStyle w:val="FootnoteReference"/>
        </w:rPr>
        <w:footnoteReference w:id="23"/>
      </w:r>
      <w:r w:rsidR="005B5B97">
        <w:rPr>
          <w:rFonts w:ascii="Times New Roman" w:hAnsi="Times New Roman" w:cs="Times New Roman"/>
        </w:rPr>
        <w:t xml:space="preserve"> and Westpac’s ongoing dispute with AUSTRAC,</w:t>
      </w:r>
      <w:r w:rsidR="005B5B97" w:rsidRPr="00FF395A">
        <w:rPr>
          <w:rStyle w:val="FootnoteReference"/>
        </w:rPr>
        <w:footnoteReference w:id="24"/>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w:t>
      </w:r>
      <w:r w:rsidR="005B5B97">
        <w:rPr>
          <w:rFonts w:ascii="Times New Roman" w:hAnsi="Times New Roman" w:cs="Times New Roman"/>
        </w:rPr>
        <w:lastRenderedPageBreak/>
        <w:t>portion of smaller financial services.</w:t>
      </w:r>
      <w:r w:rsidR="005B5B97" w:rsidRPr="00FF395A">
        <w:rPr>
          <w:rStyle w:val="FootnoteReference"/>
        </w:rPr>
        <w:footnoteReference w:id="25"/>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xml:space="preserve">, resulting in a variety of software solutions which </w:t>
      </w:r>
      <w:r w:rsidR="005B3737">
        <w:rPr>
          <w:rFonts w:ascii="Times New Roman" w:hAnsi="Times New Roman" w:cs="Times New Roman"/>
        </w:rPr>
        <w:t>make up both legal and technical ‘black boxes’ through proprietary protection and software structure respectively,</w:t>
      </w:r>
      <w:r w:rsidR="005B3737">
        <w:rPr>
          <w:rStyle w:val="FootnoteReference"/>
          <w:rFonts w:ascii="Times New Roman" w:hAnsi="Times New Roman" w:cs="Times New Roman"/>
        </w:rPr>
        <w:footnoteReference w:id="26"/>
      </w:r>
      <w:r w:rsidR="005B3737">
        <w:rPr>
          <w:rFonts w:ascii="Times New Roman" w:hAnsi="Times New Roman" w:cs="Times New Roman"/>
        </w:rPr>
        <w:t xml:space="preserve"> </w:t>
      </w:r>
      <w:r w:rsidR="00CA6003">
        <w:rPr>
          <w:rFonts w:ascii="Times New Roman" w:hAnsi="Times New Roman" w:cs="Times New Roman"/>
        </w:rPr>
        <w:t>and therefore cannot be</w:t>
      </w:r>
      <w:r w:rsidR="005B3737">
        <w:rPr>
          <w:rFonts w:ascii="Times New Roman" w:hAnsi="Times New Roman" w:cs="Times New Roman"/>
        </w:rPr>
        <w:t xml:space="preserve"> </w:t>
      </w:r>
      <w:r w:rsidR="00CA6003">
        <w:rPr>
          <w:rFonts w:ascii="Times New Roman" w:hAnsi="Times New Roman" w:cs="Times New Roman"/>
        </w:rPr>
        <w:t>checked by external legal experts.</w:t>
      </w:r>
      <w:r w:rsidR="000753C1" w:rsidRPr="00FF395A">
        <w:rPr>
          <w:rStyle w:val="FootnoteReference"/>
        </w:rPr>
        <w:footnoteReference w:id="27"/>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Rules as Code initiative is being pursued in a variety of forms worldwide,</w:t>
      </w:r>
      <w:r w:rsidR="00BE124C" w:rsidRPr="00FF395A">
        <w:rPr>
          <w:rStyle w:val="FootnoteReference"/>
        </w:rPr>
        <w:footnoteReference w:id="28"/>
      </w:r>
      <w:r w:rsidR="00D31FF9">
        <w:rPr>
          <w:rFonts w:ascii="Times New Roman" w:hAnsi="Times New Roman" w:cs="Times New Roman"/>
        </w:rPr>
        <w:t xml:space="preserve"> though such reforms carry with them risks as well.</w:t>
      </w:r>
    </w:p>
    <w:p w14:paraId="1472B286" w14:textId="3DE1D9EC"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RaC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both commercially and publicly at a rapid pace, providing lessons to be considered in any potential RaC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FF395A">
        <w:rPr>
          <w:rStyle w:val="FootnoteReference"/>
        </w:rPr>
        <w:footnoteReference w:id="29"/>
      </w:r>
      <w:r w:rsidR="00141674">
        <w:rPr>
          <w:rFonts w:ascii="Times New Roman" w:hAnsi="Times New Roman" w:cs="Times New Roman"/>
        </w:rPr>
        <w:t xml:space="preserve"> Liu, Lin &amp; Chen</w:t>
      </w:r>
      <w:r w:rsidR="00141674" w:rsidRPr="00FF395A">
        <w:rPr>
          <w:rStyle w:val="FootnoteReference"/>
        </w:rPr>
        <w:footnoteReference w:id="30"/>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FF395A">
        <w:rPr>
          <w:rStyle w:val="FootnoteReference"/>
        </w:rPr>
        <w:footnoteReference w:id="31"/>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FF395A">
        <w:rPr>
          <w:rStyle w:val="FootnoteReference"/>
        </w:rPr>
        <w:footnoteReference w:id="32"/>
      </w:r>
      <w:r w:rsidR="0081074D" w:rsidRPr="0081074D">
        <w:rPr>
          <w:rStyle w:val="FootnoteReference"/>
          <w:rFonts w:ascii="Times New Roman" w:hAnsi="Times New Roman" w:cs="Times New Roman"/>
        </w:rPr>
        <w:t xml:space="preserve"> </w:t>
      </w:r>
      <w:r w:rsidR="00C738A8">
        <w:rPr>
          <w:rFonts w:ascii="Times New Roman" w:hAnsi="Times New Roman" w:cs="Times New Roman"/>
        </w:rPr>
        <w:t xml:space="preserve">or, in the case of rules engines,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at the time.</w:t>
      </w:r>
      <w:r w:rsidR="00216F5F" w:rsidRPr="00FF395A">
        <w:rPr>
          <w:rStyle w:val="FootnoteReference"/>
        </w:rPr>
        <w:footnoteReference w:id="33"/>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FF395A">
        <w:rPr>
          <w:rStyle w:val="FootnoteReference"/>
        </w:rPr>
        <w:footnoteReference w:id="34"/>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w:t>
      </w:r>
      <w:r w:rsidR="00D8078C">
        <w:rPr>
          <w:rFonts w:ascii="Times New Roman" w:hAnsi="Times New Roman" w:cs="Times New Roman"/>
        </w:rPr>
        <w:lastRenderedPageBreak/>
        <w:t>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algorithm itself.</w:t>
      </w:r>
      <w:r w:rsidR="00DD3FBC" w:rsidRPr="00FF395A">
        <w:rPr>
          <w:rStyle w:val="FootnoteReference"/>
        </w:rPr>
        <w:footnoteReference w:id="35"/>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FF395A">
        <w:rPr>
          <w:rStyle w:val="FootnoteReference"/>
        </w:rPr>
        <w:footnoteReference w:id="36"/>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7D642D03"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While literature proposing technical and social methods of implementing RaC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FF395A">
        <w:rPr>
          <w:rStyle w:val="FootnoteReference"/>
        </w:rPr>
        <w:footnoteReference w:id="37"/>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16F5F">
        <w:rPr>
          <w:rFonts w:ascii="Times New Roman" w:hAnsi="Times New Roman" w:cs="Times New Roman"/>
        </w:rPr>
        <w:t xml:space="preserve"> (TODO THIS IS A GENERALISATION)</w:t>
      </w:r>
      <w:r w:rsidR="00203194" w:rsidRPr="00B67F00">
        <w:rPr>
          <w:rFonts w:ascii="Times New Roman" w:hAnsi="Times New Roman" w:cs="Times New Roman"/>
        </w:rPr>
        <w:t>.</w:t>
      </w:r>
      <w:r w:rsidR="00347F81" w:rsidRPr="00FF395A">
        <w:rPr>
          <w:rStyle w:val="FootnoteReference"/>
        </w:rPr>
        <w:footnoteReference w:id="38"/>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FF395A">
        <w:rPr>
          <w:rStyle w:val="FootnoteReference"/>
        </w:rPr>
        <w:footnoteReference w:id="39"/>
      </w:r>
      <w:r w:rsidR="00203194" w:rsidRPr="00B67F00">
        <w:rPr>
          <w:rFonts w:ascii="Times New Roman" w:hAnsi="Times New Roman" w:cs="Times New Roman"/>
        </w:rPr>
        <w:t xml:space="preserve"> </w:t>
      </w:r>
      <w:r w:rsidR="0095449F" w:rsidRPr="00B67F00">
        <w:rPr>
          <w:rFonts w:ascii="Times New Roman" w:hAnsi="Times New Roman" w:cs="Times New Roman"/>
        </w:rPr>
        <w:t xml:space="preserve">McIntrye </w:t>
      </w:r>
      <w:r w:rsidR="0095449F">
        <w:rPr>
          <w:rFonts w:ascii="Times New Roman" w:hAnsi="Times New Roman" w:cs="Times New Roman"/>
        </w:rPr>
        <w:t>corroborates this notion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clauses for the sake of accommodating RaC</w:t>
      </w:r>
      <w:r w:rsidRPr="00FF395A">
        <w:rPr>
          <w:rStyle w:val="FootnoteReference"/>
        </w:rPr>
        <w:footnoteReference w:id="40"/>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FF395A">
        <w:rPr>
          <w:rStyle w:val="FootnoteReference"/>
        </w:rPr>
        <w:footnoteReference w:id="41"/>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FF395A">
        <w:rPr>
          <w:rStyle w:val="FootnoteReference"/>
        </w:rPr>
        <w:footnoteReference w:id="42"/>
      </w:r>
      <w:r w:rsidR="00A906D9" w:rsidRPr="00B67F00">
        <w:rPr>
          <w:rFonts w:ascii="Times New Roman" w:hAnsi="Times New Roman" w:cs="Times New Roman"/>
        </w:rPr>
        <w:t xml:space="preserve"> </w:t>
      </w:r>
    </w:p>
    <w:p w14:paraId="6FD29053" w14:textId="1EB2A5D3" w:rsidR="00942AF7" w:rsidRDefault="00942AF7" w:rsidP="00AA6743">
      <w:pPr>
        <w:spacing w:line="480" w:lineRule="auto"/>
        <w:jc w:val="both"/>
        <w:rPr>
          <w:rFonts w:ascii="Times New Roman" w:hAnsi="Times New Roman" w:cs="Times New Roman"/>
        </w:rPr>
      </w:pPr>
      <w:r>
        <w:rPr>
          <w:rFonts w:ascii="Times New Roman" w:hAnsi="Times New Roman" w:cs="Times New Roman"/>
        </w:rPr>
        <w:lastRenderedPageBreak/>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16F5F" w:rsidRPr="00FF395A">
        <w:rPr>
          <w:rStyle w:val="FootnoteReference"/>
        </w:rPr>
        <w:footnoteReference w:id="43"/>
      </w:r>
      <w:r w:rsidR="002B6326" w:rsidRPr="00FF395A">
        <w:rPr>
          <w:rStyle w:val="FootnoteReference"/>
        </w:rPr>
        <w:footnoteReference w:id="44"/>
      </w:r>
      <w:r w:rsidR="002B6326">
        <w:rPr>
          <w:rFonts w:ascii="Times New Roman" w:hAnsi="Times New Roman" w:cs="Times New Roman"/>
          <w:i/>
          <w:iCs/>
        </w:rPr>
        <w:t xml:space="preserve"> </w:t>
      </w:r>
      <w:r w:rsidR="005B3737">
        <w:rPr>
          <w:rFonts w:ascii="Times New Roman" w:hAnsi="Times New Roman" w:cs="Times New Roman"/>
        </w:rPr>
        <w:t xml:space="preserve">much of the Australian discussion surrounding </w:t>
      </w:r>
      <w:r w:rsidR="002B6326">
        <w:rPr>
          <w:rFonts w:ascii="Times New Roman" w:hAnsi="Times New Roman" w:cs="Times New Roman"/>
        </w:rPr>
        <w:t xml:space="preserve">the issue </w:t>
      </w:r>
      <w:r w:rsidR="005B3737">
        <w:rPr>
          <w:rFonts w:ascii="Times New Roman" w:hAnsi="Times New Roman" w:cs="Times New Roman"/>
        </w:rPr>
        <w:t xml:space="preserve">refers to </w:t>
      </w:r>
      <w:r w:rsidR="00724428">
        <w:rPr>
          <w:rFonts w:ascii="Times New Roman" w:hAnsi="Times New Roman" w:cs="Times New Roman"/>
        </w:rPr>
        <w:t>Chief Justice Dixon</w:t>
      </w:r>
      <w:r w:rsidR="005B3737">
        <w:rPr>
          <w:rFonts w:ascii="Times New Roman" w:hAnsi="Times New Roman" w:cs="Times New Roman"/>
        </w:rPr>
        <w:t>’s</w:t>
      </w:r>
      <w:r w:rsidR="00724428">
        <w:rPr>
          <w:rFonts w:ascii="Times New Roman" w:hAnsi="Times New Roman" w:cs="Times New Roman"/>
        </w:rPr>
        <w:t xml:space="preserve"> </w:t>
      </w:r>
      <w:r w:rsidR="005B3737">
        <w:rPr>
          <w:rFonts w:ascii="Times New Roman" w:hAnsi="Times New Roman" w:cs="Times New Roman"/>
        </w:rPr>
        <w:t>proclamation</w:t>
      </w:r>
      <w:r w:rsidR="00724428">
        <w:rPr>
          <w:rFonts w:ascii="Times New Roman" w:hAnsi="Times New Roman" w:cs="Times New Roman"/>
        </w:rPr>
        <w:t xml:space="preserve">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FF395A">
        <w:rPr>
          <w:rStyle w:val="FootnoteReference"/>
        </w:rPr>
        <w:footnoteReference w:id="45"/>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FF395A">
        <w:rPr>
          <w:rStyle w:val="FootnoteReference"/>
        </w:rPr>
        <w:footnoteReference w:id="46"/>
      </w:r>
      <w:r w:rsidR="00C42A23">
        <w:rPr>
          <w:rFonts w:ascii="Times New Roman" w:hAnsi="Times New Roman" w:cs="Times New Roman"/>
        </w:rPr>
        <w:t xml:space="preserve"> and statements</w:t>
      </w:r>
      <w:r w:rsidR="00C42A23" w:rsidRPr="00FF395A">
        <w:rPr>
          <w:rStyle w:val="FootnoteReference"/>
        </w:rPr>
        <w:footnoteReference w:id="47"/>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FF395A">
        <w:rPr>
          <w:rStyle w:val="FootnoteReference"/>
        </w:rPr>
        <w:footnoteReference w:id="48"/>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FF395A">
        <w:rPr>
          <w:rStyle w:val="FootnoteReference"/>
        </w:rPr>
        <w:footnoteReference w:id="49"/>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xml:space="preserve">, however, the vast majority of Australian jurists note that by </w:t>
      </w:r>
      <w:r w:rsidR="00DD35BC">
        <w:rPr>
          <w:rFonts w:ascii="Times New Roman" w:hAnsi="Times New Roman" w:cs="Times New Roman"/>
        </w:rPr>
        <w:t xml:space="preserve">the nature of its legal system, the Australian judiciary must adhere to a </w:t>
      </w:r>
      <w:r w:rsidR="00BC52A5">
        <w:rPr>
          <w:rFonts w:ascii="Times New Roman" w:hAnsi="Times New Roman" w:cs="Times New Roman"/>
        </w:rPr>
        <w:t>relatively heuristic, non-formalist jurisprudence.</w:t>
      </w:r>
      <w:r w:rsidR="00C42A23" w:rsidRPr="00FF395A">
        <w:rPr>
          <w:rStyle w:val="FootnoteReference"/>
        </w:rPr>
        <w:footnoteReference w:id="50"/>
      </w:r>
      <w:r w:rsidR="002E79BE">
        <w:rPr>
          <w:rFonts w:ascii="Times New Roman" w:hAnsi="Times New Roman" w:cs="Times New Roman"/>
        </w:rPr>
        <w:t xml:space="preserve"> </w:t>
      </w:r>
      <w:r w:rsidR="00193E41">
        <w:rPr>
          <w:rFonts w:ascii="Times New Roman" w:hAnsi="Times New Roman" w:cs="Times New Roman"/>
        </w:rPr>
        <w:t xml:space="preserve">[TODO Page 66 of Stat Interp Book] </w:t>
      </w:r>
      <w:r w:rsidR="00EB72A2">
        <w:rPr>
          <w:rFonts w:ascii="Times New Roman" w:hAnsi="Times New Roman" w:cs="Times New Roman"/>
        </w:rPr>
        <w:t>Justice Kirby, argues that ‘real’ judges must operate from a place which is ‘neither wholly mechanical, nor excessively creative’,</w:t>
      </w:r>
      <w:r w:rsidR="00EB72A2" w:rsidRPr="00FF395A">
        <w:rPr>
          <w:rStyle w:val="FootnoteReference"/>
        </w:rPr>
        <w:footnoteReference w:id="51"/>
      </w:r>
      <w:r w:rsidR="00EB72A2">
        <w:rPr>
          <w:rFonts w:ascii="Times New Roman" w:hAnsi="Times New Roman" w:cs="Times New Roman"/>
        </w:rPr>
        <w:t xml:space="preserve"> corroborating notion</w:t>
      </w:r>
      <w:r w:rsidR="005B3737">
        <w:rPr>
          <w:rFonts w:ascii="Times New Roman" w:hAnsi="Times New Roman" w:cs="Times New Roman"/>
        </w:rPr>
        <w:t>s</w:t>
      </w:r>
      <w:r w:rsidR="00EB72A2">
        <w:rPr>
          <w:rFonts w:ascii="Times New Roman" w:hAnsi="Times New Roman" w:cs="Times New Roman"/>
        </w:rPr>
        <w:t xml:space="preserve">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FF395A">
        <w:rPr>
          <w:rStyle w:val="FootnoteReference"/>
        </w:rPr>
        <w:footnoteReference w:id="52"/>
      </w:r>
      <w:r w:rsidR="008958ED">
        <w:rPr>
          <w:rFonts w:ascii="Times New Roman" w:hAnsi="Times New Roman" w:cs="Times New Roman"/>
        </w:rPr>
        <w:t xml:space="preserve"> Matczak </w:t>
      </w:r>
      <w:r w:rsidR="006D18EB">
        <w:rPr>
          <w:rFonts w:ascii="Times New Roman" w:hAnsi="Times New Roman" w:cs="Times New Roman"/>
        </w:rPr>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FF395A">
        <w:rPr>
          <w:rStyle w:val="FootnoteReference"/>
        </w:rPr>
        <w:footnoteReference w:id="53"/>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FF395A">
        <w:rPr>
          <w:rStyle w:val="FootnoteReference"/>
        </w:rPr>
        <w:footnoteReference w:id="54"/>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w:t>
      </w:r>
      <w:r w:rsidR="00B11044">
        <w:rPr>
          <w:rFonts w:ascii="Times New Roman" w:hAnsi="Times New Roman" w:cs="Times New Roman"/>
        </w:rPr>
        <w:lastRenderedPageBreak/>
        <w:t xml:space="preserve">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FF395A">
        <w:rPr>
          <w:rStyle w:val="FootnoteReference"/>
        </w:rPr>
        <w:footnoteReference w:id="55"/>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FF395A">
        <w:rPr>
          <w:rStyle w:val="FootnoteReference"/>
        </w:rPr>
        <w:footnoteReference w:id="56"/>
      </w:r>
    </w:p>
    <w:p w14:paraId="672749FF" w14:textId="77777777"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RaC approach to ambiguity both </w:t>
      </w:r>
      <w:r w:rsidR="00500BA7">
        <w:rPr>
          <w:rFonts w:ascii="Times New Roman" w:hAnsi="Times New Roman" w:cs="Times New Roman"/>
        </w:rPr>
        <w:t xml:space="preserve">unintentional, such as failures of legal drafters to account for </w:t>
      </w:r>
      <w:r w:rsidR="00021863">
        <w:rPr>
          <w:rFonts w:ascii="Times New Roman" w:hAnsi="Times New Roman" w:cs="Times New Roman"/>
        </w:rPr>
        <w:t xml:space="preserve">varying interpretations in unusual circumstances, and deliberate, </w:t>
      </w:r>
      <w:r w:rsidR="00374EE7">
        <w:rPr>
          <w:rFonts w:ascii="Times New Roman" w:hAnsi="Times New Roman" w:cs="Times New Roman"/>
        </w:rPr>
        <w:t>referring to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2D2B263D" w14:textId="7B605217" w:rsidR="00374EE7"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FF395A">
        <w:rPr>
          <w:rStyle w:val="FootnoteReference"/>
        </w:rPr>
        <w:footnoteReference w:id="57"/>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FF395A">
        <w:rPr>
          <w:rStyle w:val="FootnoteReference"/>
        </w:rPr>
        <w:footnoteReference w:id="58"/>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FF395A">
        <w:rPr>
          <w:rStyle w:val="FootnoteReference"/>
        </w:rPr>
        <w:footnoteReference w:id="59"/>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FF395A">
        <w:rPr>
          <w:rStyle w:val="FootnoteReference"/>
        </w:rPr>
        <w:footnoteReference w:id="60"/>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RaC,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TODO THIS MIGHT BE BETTER IN ANALYTICAL SECTION</w:t>
      </w:r>
    </w:p>
    <w:bookmarkStart w:id="1" w:name="_MON_1659602237"/>
    <w:bookmarkEnd w:id="1"/>
    <w:p w14:paraId="00451FB3" w14:textId="77777777" w:rsidR="003A71E5" w:rsidRDefault="003A71E5" w:rsidP="003A71E5">
      <w:pPr>
        <w:keepNext/>
        <w:spacing w:line="480" w:lineRule="auto"/>
        <w:jc w:val="both"/>
      </w:pPr>
      <w:r>
        <w:rPr>
          <w:rFonts w:ascii="Times New Roman" w:hAnsi="Times New Roman" w:cs="Times New Roman"/>
        </w:rPr>
        <w:object w:dxaOrig="9026" w:dyaOrig="9659"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81.1pt" o:ole="">
            <v:imagedata r:id="rId7" o:title=""/>
          </v:shape>
          <o:OLEObject Type="Embed" ProgID="Word.DocumentMacroEnabled.12" ShapeID="_x0000_i1025" DrawAspect="Content" ObjectID="_1663480767" r:id="rId8"/>
        </w:object>
      </w:r>
    </w:p>
    <w:p w14:paraId="76DDD15E" w14:textId="367C64EA" w:rsidR="003A71E5" w:rsidRPr="00E32E9B" w:rsidRDefault="003A71E5" w:rsidP="003A71E5">
      <w:pPr>
        <w:pStyle w:val="Caption"/>
        <w:rPr>
          <w:rFonts w:ascii="Times New Roman" w:hAnsi="Times New Roman" w:cs="Times New Roman"/>
          <w:i w:val="0"/>
          <w:iCs w:val="0"/>
        </w:rPr>
      </w:pPr>
      <w:r w:rsidRPr="00E32E9B">
        <w:rPr>
          <w:b/>
          <w:bCs/>
          <w:i w:val="0"/>
          <w:iCs w:val="0"/>
        </w:rPr>
        <w:t xml:space="preserve">Figure </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EF76E3">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vs non-formalist approach to </w:t>
      </w:r>
      <w:r w:rsidRPr="00E32E9B">
        <w:t>Nix v Hedden</w:t>
      </w:r>
      <w:r w:rsidRPr="00E32E9B">
        <w:rPr>
          <w:i w:val="0"/>
          <w:iCs w:val="0"/>
        </w:rPr>
        <w:t>. Compatible with Python 3.</w:t>
      </w:r>
      <w:r w:rsidR="00E0573A">
        <w:rPr>
          <w:i w:val="0"/>
          <w:iCs w:val="0"/>
        </w:rPr>
        <w:br/>
      </w:r>
    </w:p>
    <w:p w14:paraId="0AE611B3" w14:textId="691CB164"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FF395A">
        <w:rPr>
          <w:rStyle w:val="FootnoteReference"/>
        </w:rPr>
        <w:footnoteReference w:id="61"/>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RaC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FF395A">
        <w:rPr>
          <w:rStyle w:val="FootnoteReference"/>
        </w:rPr>
        <w:footnoteReference w:id="62"/>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w:t>
      </w:r>
      <w:r w:rsidR="0012598D" w:rsidRPr="00B67F00">
        <w:rPr>
          <w:rFonts w:ascii="Times New Roman" w:hAnsi="Times New Roman" w:cs="Times New Roman"/>
        </w:rPr>
        <w:lastRenderedPageBreak/>
        <w:t>that just as they expect RaC to influence lawmakers toward reducing logical inconsistencies in their drafting,</w:t>
      </w:r>
      <w:r w:rsidR="00F33EAE" w:rsidRPr="00FF395A">
        <w:rPr>
          <w:rStyle w:val="FootnoteReference"/>
        </w:rPr>
        <w:footnoteReference w:id="63"/>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The OECD and other adopters of Rules as Code</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Rules as Code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FF395A">
        <w:rPr>
          <w:rStyle w:val="FootnoteReference"/>
        </w:rPr>
        <w:footnoteReference w:id="64"/>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RaC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‘RegTech’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FF395A">
        <w:rPr>
          <w:rStyle w:val="FootnoteReference"/>
        </w:rPr>
        <w:footnoteReference w:id="65"/>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‘RegTech’</w:t>
      </w:r>
      <w:r w:rsidR="00FC62EB">
        <w:rPr>
          <w:rFonts w:ascii="Times New Roman" w:hAnsi="Times New Roman" w:cs="Times New Roman"/>
        </w:rPr>
        <w:t xml:space="preserve"> work</w:t>
      </w:r>
      <w:r w:rsidR="005B11FB">
        <w:rPr>
          <w:rFonts w:ascii="Times New Roman" w:hAnsi="Times New Roman" w:cs="Times New Roman"/>
        </w:rPr>
        <w:t>.</w:t>
      </w:r>
      <w:r w:rsidR="00C44FAF" w:rsidRPr="00FF395A">
        <w:rPr>
          <w:rStyle w:val="FootnoteReference"/>
        </w:rPr>
        <w:footnoteReference w:id="66"/>
      </w:r>
    </w:p>
    <w:p w14:paraId="3408721B" w14:textId="0CCE3D9F" w:rsidR="000D37D7" w:rsidRDefault="003A71E5" w:rsidP="00814C14">
      <w:pPr>
        <w:spacing w:line="480" w:lineRule="auto"/>
        <w:jc w:val="both"/>
        <w:rPr>
          <w:rFonts w:ascii="Times New Roman" w:hAnsi="Times New Roman" w:cs="Times New Roman"/>
        </w:rPr>
      </w:pPr>
      <w:r>
        <w:rPr>
          <w:rFonts w:ascii="Times New Roman" w:hAnsi="Times New Roman" w:cs="Times New Roman"/>
        </w:rPr>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Rules as Code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FF395A">
        <w:rPr>
          <w:rStyle w:val="FootnoteReference"/>
        </w:rPr>
        <w:footnoteReference w:id="67"/>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27D04914"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RaC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w:t>
      </w:r>
      <w:r w:rsidR="003362F5">
        <w:rPr>
          <w:rFonts w:ascii="Times New Roman" w:hAnsi="Times New Roman" w:cs="Times New Roman"/>
        </w:rPr>
        <w:t xml:space="preserve"> (“SoP”)</w:t>
      </w:r>
      <w:r w:rsidRPr="00B67F00">
        <w:rPr>
          <w:rFonts w:ascii="Times New Roman" w:hAnsi="Times New Roman" w:cs="Times New Roman"/>
        </w:rPr>
        <w:t xml:space="preserve">. Chapter three of the </w:t>
      </w:r>
      <w:r w:rsidRPr="00B67F00">
        <w:rPr>
          <w:rFonts w:ascii="Times New Roman" w:hAnsi="Times New Roman" w:cs="Times New Roman"/>
          <w:i/>
          <w:iCs/>
        </w:rPr>
        <w:t>Commonwealth Constitution</w:t>
      </w:r>
      <w:r w:rsidRPr="00FF395A">
        <w:rPr>
          <w:rStyle w:val="FootnoteReference"/>
        </w:rPr>
        <w:footnoteReference w:id="68"/>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w:t>
      </w:r>
      <w:r w:rsidRPr="00B67F00">
        <w:rPr>
          <w:rFonts w:ascii="Times New Roman" w:hAnsi="Times New Roman" w:cs="Times New Roman"/>
        </w:rPr>
        <w:lastRenderedPageBreak/>
        <w:t>Commonwealth in the federal courts,</w:t>
      </w:r>
      <w:r w:rsidRPr="00FF395A">
        <w:rPr>
          <w:rStyle w:val="FootnoteReference"/>
        </w:rPr>
        <w:footnoteReference w:id="69"/>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39719D">
        <w:rPr>
          <w:rFonts w:ascii="Times New Roman" w:hAnsi="Times New Roman" w:cs="Times New Roman"/>
        </w:rPr>
        <w:t>,</w:t>
      </w:r>
      <w:r w:rsidR="00756AF0">
        <w:rPr>
          <w:rFonts w:ascii="Times New Roman" w:hAnsi="Times New Roman" w:cs="Times New Roman"/>
        </w:rPr>
        <w:t xml:space="preserve"> considered by many to have originated</w:t>
      </w:r>
      <w:r w:rsidRPr="00B67F00">
        <w:rPr>
          <w:rFonts w:ascii="Times New Roman" w:hAnsi="Times New Roman" w:cs="Times New Roman"/>
        </w:rPr>
        <w:t xml:space="preserve"> in 1607’s </w:t>
      </w:r>
      <w:r w:rsidRPr="00B67F00">
        <w:rPr>
          <w:rFonts w:ascii="Times New Roman" w:hAnsi="Times New Roman" w:cs="Times New Roman"/>
          <w:i/>
          <w:iCs/>
        </w:rPr>
        <w:t xml:space="preserve">Case of Prohibitions, </w:t>
      </w:r>
      <w:r w:rsidRPr="00B67F00">
        <w:rPr>
          <w:rFonts w:ascii="Times New Roman" w:hAnsi="Times New Roman" w:cs="Times New Roman"/>
        </w:rPr>
        <w:t>in which Chief Justice Edward Coke wrested the judicial power, including that of interpreting the law, from King James I.</w:t>
      </w:r>
      <w:r w:rsidR="005B3737" w:rsidRPr="005B3737">
        <w:rPr>
          <w:rStyle w:val="Footer"/>
        </w:rPr>
        <w:t xml:space="preserve"> </w:t>
      </w:r>
      <w:r w:rsidR="005B3737" w:rsidRPr="00FF395A">
        <w:rPr>
          <w:rStyle w:val="FootnoteReference"/>
        </w:rPr>
        <w:footnoteReference w:id="70"/>
      </w:r>
      <w:r w:rsidR="005B3737">
        <w:rPr>
          <w:rFonts w:ascii="Times New Roman" w:hAnsi="Times New Roman" w:cs="Times New Roman"/>
        </w:rPr>
        <w:t xml:space="preserve"> [TODO need to acknowledge that not all agree with this interpretation of the case]</w:t>
      </w:r>
      <w:r w:rsidRPr="00B67F00">
        <w:rPr>
          <w:rFonts w:ascii="Times New Roman" w:hAnsi="Times New Roman" w:cs="Times New Roman"/>
        </w:rPr>
        <w:t xml:space="preserve"> Such a partition between the powers of the judiciary and the remaining arms of government</w:t>
      </w:r>
      <w:r w:rsidR="00C34586">
        <w:rPr>
          <w:rFonts w:ascii="Times New Roman" w:hAnsi="Times New Roman" w:cs="Times New Roman"/>
        </w:rPr>
        <w:t xml:space="preserve"> is a cornerstone of fair Australian governance</w:t>
      </w:r>
      <w:r w:rsidR="008B0568">
        <w:rPr>
          <w:rFonts w:ascii="Times New Roman" w:hAnsi="Times New Roman" w:cs="Times New Roman"/>
        </w:rPr>
        <w:t xml:space="preserve"> free of arbitrary exercise of power,</w:t>
      </w:r>
      <w:r w:rsidR="008B0568" w:rsidRPr="00FF395A">
        <w:rPr>
          <w:rStyle w:val="FootnoteReference"/>
        </w:rPr>
        <w:footnoteReference w:id="71"/>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FF395A">
        <w:rPr>
          <w:rStyle w:val="FootnoteReference"/>
        </w:rPr>
        <w:footnoteReference w:id="72"/>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 would</w:t>
      </w:r>
      <w:r w:rsidR="00D66335">
        <w:rPr>
          <w:rFonts w:ascii="Times New Roman" w:hAnsi="Times New Roman" w:cs="Times New Roman"/>
        </w:rPr>
        <w:t>,</w:t>
      </w:r>
      <w:r w:rsidRPr="00B67F00">
        <w:rPr>
          <w:rFonts w:ascii="Times New Roman" w:hAnsi="Times New Roman" w:cs="Times New Roman"/>
        </w:rPr>
        <w:t xml:space="preserve"> in fact</w:t>
      </w:r>
      <w:r w:rsidR="00D66335">
        <w:rPr>
          <w:rFonts w:ascii="Times New Roman" w:hAnsi="Times New Roman" w:cs="Times New Roman"/>
        </w:rPr>
        <w:t>,</w:t>
      </w:r>
      <w:r w:rsidRPr="00B67F00">
        <w:rPr>
          <w:rFonts w:ascii="Times New Roman" w:hAnsi="Times New Roman" w:cs="Times New Roman"/>
        </w:rPr>
        <w:t xml:space="preserve"> consist of ‘interpreting’ the law in a manner which is reserved for the judiciary, and therefore, if carried out with the authority of the legislature or executive, violate the </w:t>
      </w:r>
      <w:r w:rsidR="003362F5">
        <w:rPr>
          <w:rFonts w:ascii="Times New Roman" w:hAnsi="Times New Roman" w:cs="Times New Roman"/>
        </w:rPr>
        <w:t>SoP</w:t>
      </w:r>
      <w:r w:rsidRPr="00B67F00">
        <w:rPr>
          <w:rFonts w:ascii="Times New Roman" w:hAnsi="Times New Roman" w:cs="Times New Roman"/>
        </w:rPr>
        <w:t>.</w:t>
      </w:r>
    </w:p>
    <w:p w14:paraId="69BA8B6E" w14:textId="6762FF1B"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Amongst the literature addressing digital government, little has yet considered the relationship between the hypothetical programmer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RaC.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RaC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3"/>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4"/>
      </w:r>
      <w:r w:rsidRPr="00B67F00">
        <w:rPr>
          <w:rFonts w:ascii="Times New Roman" w:hAnsi="Times New Roman" w:cs="Times New Roman"/>
        </w:rPr>
        <w:t xml:space="preserve"> though the project’s findings are yet to release.</w:t>
      </w:r>
      <w:r w:rsidRPr="00FF395A">
        <w:rPr>
          <w:rStyle w:val="FootnoteReference"/>
        </w:rPr>
        <w:footnoteReference w:id="75"/>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 xml:space="preserve">for comparison to the process of translating law into a machine-consumable </w:t>
      </w:r>
      <w:r w:rsidR="0014126F" w:rsidRPr="00B67F00">
        <w:rPr>
          <w:rFonts w:ascii="Times New Roman" w:hAnsi="Times New Roman" w:cs="Times New Roman"/>
        </w:rPr>
        <w:lastRenderedPageBreak/>
        <w:t>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equivalent legal text in another language, such that a decision-maker, applying either text…will arrive at the same conclusion regardless of which text is used</w:t>
      </w:r>
      <w:r w:rsidR="00F53D7E">
        <w:rPr>
          <w:rFonts w:ascii="Times New Roman" w:hAnsi="Times New Roman" w:cs="Times New Roman"/>
        </w:rPr>
        <w:t>’</w:t>
      </w:r>
      <w:r w:rsidR="001A3C0C">
        <w:rPr>
          <w:rStyle w:val="FootnoteReference"/>
          <w:rFonts w:ascii="Times New Roman" w:hAnsi="Times New Roman" w:cs="Times New Roman"/>
        </w:rPr>
        <w:footnoteReference w:id="76"/>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FF395A">
        <w:rPr>
          <w:rStyle w:val="FootnoteReference"/>
        </w:rPr>
        <w:footnoteReference w:id="77"/>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72F88931" w:rsidR="0025163F" w:rsidRDefault="00FF2E27" w:rsidP="00E67332">
      <w:pPr>
        <w:spacing w:line="480" w:lineRule="auto"/>
        <w:jc w:val="both"/>
        <w:rPr>
          <w:rFonts w:ascii="Times New Roman" w:hAnsi="Times New Roman" w:cs="Times New Roman"/>
        </w:rPr>
      </w:pPr>
      <w:r>
        <w:rPr>
          <w:rFonts w:ascii="Times New Roman" w:hAnsi="Times New Roman" w:cs="Times New Roman"/>
        </w:rPr>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FF395A">
        <w:rPr>
          <w:rStyle w:val="FootnoteReference"/>
        </w:rPr>
        <w:footnoteReference w:id="78"/>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FF395A">
        <w:rPr>
          <w:rStyle w:val="FootnoteReference"/>
        </w:rPr>
        <w:footnoteReference w:id="79"/>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FF395A">
        <w:rPr>
          <w:rStyle w:val="FootnoteReference"/>
        </w:rPr>
        <w:footnoteReference w:id="80"/>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implementation of Rules as Code.</w:t>
      </w:r>
    </w:p>
    <w:p w14:paraId="1C515A41" w14:textId="7C7364FA"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post-RaC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 xml:space="preserve">confers the power </w:t>
      </w:r>
      <w:r w:rsidR="00DD61DF">
        <w:rPr>
          <w:rFonts w:ascii="Times New Roman" w:hAnsi="Times New Roman" w:cs="Times New Roman"/>
        </w:rPr>
        <w:lastRenderedPageBreak/>
        <w:t>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FF395A">
        <w:rPr>
          <w:rStyle w:val="FootnoteReference"/>
        </w:rPr>
        <w:footnoteReference w:id="81"/>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expect </w:t>
      </w:r>
      <w:r w:rsidR="003362F5">
        <w:rPr>
          <w:rFonts w:ascii="Times New Roman" w:hAnsi="Times New Roman" w:cs="Times New Roman"/>
        </w:rPr>
        <w:t>the same SoP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FF395A">
        <w:rPr>
          <w:rStyle w:val="FootnoteReference"/>
        </w:rPr>
        <w:footnoteReference w:id="82"/>
      </w:r>
      <w:r w:rsidR="001152C3">
        <w:rPr>
          <w:rFonts w:ascii="Times New Roman" w:hAnsi="Times New Roman" w:cs="Times New Roman"/>
        </w:rPr>
        <w:t xml:space="preserve"> the Directorate-General for Translation,</w:t>
      </w:r>
      <w:r w:rsidR="001152C3" w:rsidRPr="00FF395A">
        <w:rPr>
          <w:rStyle w:val="FootnoteReference"/>
        </w:rPr>
        <w:footnoteReference w:id="83"/>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FF395A">
        <w:rPr>
          <w:rStyle w:val="FootnoteReference"/>
        </w:rPr>
        <w:footnoteReference w:id="84"/>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RaC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2B9D86F7"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4"/>
          <w:szCs w:val="24"/>
        </w:rPr>
        <w:t>ETHODOLOGY</w:t>
      </w:r>
    </w:p>
    <w:p w14:paraId="74447583" w14:textId="359B44EE" w:rsidR="006C0C34" w:rsidRDefault="004F253C" w:rsidP="007B26C3">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 xml:space="preserve">into a Rules as Code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r w:rsidR="006C0C34">
        <w:rPr>
          <w:rFonts w:ascii="Times New Roman" w:hAnsi="Times New Roman" w:cs="Times New Roman"/>
        </w:rPr>
        <w:t>Method one seeks to adhere to the formalistic methods analysed by Genesreth</w:t>
      </w:r>
      <w:r w:rsidR="006C0C34" w:rsidRPr="00FF395A">
        <w:rPr>
          <w:rStyle w:val="FootnoteReference"/>
        </w:rPr>
        <w:footnoteReference w:id="85"/>
      </w:r>
      <w:r w:rsidR="006C0C34">
        <w:rPr>
          <w:rFonts w:ascii="Times New Roman" w:hAnsi="Times New Roman" w:cs="Times New Roman"/>
        </w:rPr>
        <w:t xml:space="preserve"> and Sergo et al.</w:t>
      </w:r>
      <w:r w:rsidR="006C0C34" w:rsidRPr="00FF395A">
        <w:rPr>
          <w:rStyle w:val="FootnoteReference"/>
        </w:rPr>
        <w:footnoteReference w:id="86"/>
      </w:r>
      <w:r w:rsidR="006C0C34">
        <w:rPr>
          <w:rFonts w:ascii="Times New Roman" w:hAnsi="Times New Roman" w:cs="Times New Roman"/>
        </w:rPr>
        <w:t xml:space="preserve"> and is most reminiscent of the methods put into place in recent RaC efforts.</w:t>
      </w:r>
      <w:r w:rsidR="006C0C34" w:rsidRPr="00FF395A">
        <w:rPr>
          <w:rStyle w:val="FootnoteReference"/>
        </w:rPr>
        <w:footnoteReference w:id="87"/>
      </w:r>
      <w:r w:rsidR="006C0C34">
        <w:rPr>
          <w:rFonts w:ascii="Times New Roman" w:hAnsi="Times New Roman" w:cs="Times New Roman"/>
        </w:rPr>
        <w:t xml:space="preserve"> It is expected that where previous attempts saw success, method one will fail to adequately account for the ambiguous terms found in the </w:t>
      </w:r>
      <w:r w:rsidR="006C0C34">
        <w:rPr>
          <w:rFonts w:ascii="Times New Roman" w:hAnsi="Times New Roman" w:cs="Times New Roman"/>
          <w:i/>
          <w:iCs/>
        </w:rPr>
        <w:t>National Credit Act</w:t>
      </w:r>
      <w:r w:rsidR="006C0C34">
        <w:rPr>
          <w:rFonts w:ascii="Times New Roman" w:hAnsi="Times New Roman" w:cs="Times New Roman"/>
        </w:rPr>
        <w:t>. In contrast, method two acknowledges the inherent formalism of algorithms, but strives to simulate the non-formalistic approach hypothesised by Green &amp; Viljoen</w:t>
      </w:r>
      <w:r w:rsidR="006C0C34" w:rsidRPr="00FF395A">
        <w:rPr>
          <w:rStyle w:val="FootnoteReference"/>
        </w:rPr>
        <w:footnoteReference w:id="88"/>
      </w:r>
      <w:r w:rsidR="006C0C34">
        <w:rPr>
          <w:rFonts w:ascii="Times New Roman" w:hAnsi="Times New Roman" w:cs="Times New Roman"/>
        </w:rPr>
        <w:t xml:space="preserve"> and Matczak</w:t>
      </w:r>
      <w:r w:rsidR="006C0C34" w:rsidRPr="00FF395A">
        <w:rPr>
          <w:rStyle w:val="FootnoteReference"/>
        </w:rPr>
        <w:footnoteReference w:id="89"/>
      </w:r>
      <w:r w:rsidR="006C0C34">
        <w:rPr>
          <w:rFonts w:ascii="Times New Roman" w:hAnsi="Times New Roman" w:cs="Times New Roman"/>
        </w:rPr>
        <w:t xml:space="preserve"> through consideration of quasi-legislative materials and manual classification techniques explored by Wolfram.</w:t>
      </w:r>
      <w:r w:rsidR="006C0C34" w:rsidRPr="00FF395A">
        <w:rPr>
          <w:rStyle w:val="FootnoteReference"/>
        </w:rPr>
        <w:footnoteReference w:id="90"/>
      </w:r>
      <w:r w:rsidR="006C0C34">
        <w:rPr>
          <w:rFonts w:ascii="Times New Roman" w:hAnsi="Times New Roman" w:cs="Times New Roman"/>
        </w:rPr>
        <w:t xml:space="preserve"> It is expected that this method’s outputs </w:t>
      </w:r>
      <w:r w:rsidR="006C0C34">
        <w:rPr>
          <w:rFonts w:ascii="Times New Roman" w:hAnsi="Times New Roman" w:cs="Times New Roman"/>
        </w:rPr>
        <w:lastRenderedPageBreak/>
        <w:t>will be more predictable and therefore more ‘just’</w:t>
      </w:r>
      <w:r w:rsidR="006C0C34" w:rsidRPr="00FF395A">
        <w:rPr>
          <w:rStyle w:val="FootnoteReference"/>
        </w:rPr>
        <w:footnoteReference w:id="91"/>
      </w:r>
      <w:r w:rsidR="006C0C34">
        <w:rPr>
          <w:rFonts w:ascii="Times New Roman" w:hAnsi="Times New Roman" w:cs="Times New Roman"/>
        </w:rPr>
        <w:t xml:space="preserve"> than that of method one, but also that it will require significantly more assumptions and interpretation of the law, therefore indicating a potential violation of the separation of powers. The type of output of both methods envisioned in the analysis is exemplified above in Figure 1.</w:t>
      </w:r>
      <w:r w:rsidR="00F51080">
        <w:rPr>
          <w:rFonts w:ascii="Times New Roman" w:hAnsi="Times New Roman" w:cs="Times New Roman"/>
        </w:rPr>
        <w:t xml:space="preserve"> [TODO Note that there are a number of varying interpretations of what ‘formalist’ or ‘non-formalist’ theories actually mean – for the purposes of this exercise, the generally accepted aspects of formalism are considered, these being an emphasis on strict interpretation of the technical meaning of the law with adherence only to authorised legal materials]</w:t>
      </w:r>
    </w:p>
    <w:p w14:paraId="7148A70F" w14:textId="77777777"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judicial discretionary decisions in the form of case law</w:t>
      </w:r>
      <w:r w:rsidR="00383400" w:rsidRPr="00FF395A">
        <w:rPr>
          <w:rStyle w:val="FootnoteReference"/>
        </w:rPr>
        <w:footnoteReference w:id="92"/>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FF395A">
        <w:rPr>
          <w:rStyle w:val="FootnoteReference"/>
        </w:rPr>
        <w:footnoteReference w:id="93"/>
      </w:r>
      <w:r w:rsidR="001D223E">
        <w:rPr>
          <w:rFonts w:ascii="Times New Roman" w:hAnsi="Times New Roman" w:cs="Times New Roman"/>
        </w:rPr>
        <w:t xml:space="preserve"> allowing for a full exploration of digital conversion techniques which previous literatures have failed to consider.</w:t>
      </w:r>
      <w:r w:rsidR="001D223E" w:rsidRPr="00FF395A">
        <w:rPr>
          <w:rStyle w:val="FootnoteReference"/>
        </w:rPr>
        <w:footnoteReference w:id="94"/>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FF395A">
        <w:rPr>
          <w:rStyle w:val="FootnoteReference"/>
        </w:rPr>
        <w:footnoteReference w:id="95"/>
      </w:r>
      <w:r w:rsidR="001D223E">
        <w:rPr>
          <w:rFonts w:ascii="Times New Roman" w:hAnsi="Times New Roman" w:cs="Times New Roman"/>
        </w:rPr>
        <w:t xml:space="preserve"> This guidance is neither exhaustive, nor does it guarantee compliance,</w:t>
      </w:r>
      <w:r w:rsidR="0098359F" w:rsidRPr="00FF395A">
        <w:rPr>
          <w:rStyle w:val="FootnoteReference"/>
        </w:rPr>
        <w:footnoteReference w:id="96"/>
      </w:r>
      <w:r w:rsidR="001D223E">
        <w:rPr>
          <w:rFonts w:ascii="Times New Roman" w:hAnsi="Times New Roman" w:cs="Times New Roman"/>
        </w:rPr>
        <w:t xml:space="preserve"> and as such, its use allows for a consideration of the effects of a legal realist’s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 xml:space="preserve">the obligations are not static – what is “reasonable” will be affected by the broader professional and regulatory environment in which [the </w:t>
      </w:r>
      <w:r w:rsidR="001D223E" w:rsidRPr="00B67F00">
        <w:rPr>
          <w:rFonts w:ascii="Times New Roman" w:hAnsi="Times New Roman" w:cs="Times New Roman"/>
        </w:rPr>
        <w:lastRenderedPageBreak/>
        <w:t>financial institution operates]</w:t>
      </w:r>
      <w:r w:rsidR="00F53D7E">
        <w:rPr>
          <w:rFonts w:ascii="Times New Roman" w:hAnsi="Times New Roman" w:cs="Times New Roman"/>
        </w:rPr>
        <w:t>’</w:t>
      </w:r>
      <w:r w:rsidR="001D223E" w:rsidRPr="00E11473">
        <w:rPr>
          <w:rStyle w:val="FootnoteReference"/>
        </w:rPr>
        <w:t xml:space="preserve"> </w:t>
      </w:r>
      <w:r w:rsidR="001D223E" w:rsidRPr="00FF395A">
        <w:rPr>
          <w:rStyle w:val="FootnoteReference"/>
        </w:rPr>
        <w:footnoteReference w:id="97"/>
      </w:r>
      <w:r w:rsidR="001D223E">
        <w:rPr>
          <w:rFonts w:ascii="Times New Roman" w:hAnsi="Times New Roman" w:cs="Times New Roman"/>
        </w:rPr>
        <w:t xml:space="preserve"> is reminiscent of the legal realist’s alignment of ever-evolving societal norms influencing judicial discretion. </w:t>
      </w: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FF395A">
        <w:rPr>
          <w:rStyle w:val="FootnoteReference"/>
        </w:rPr>
        <w:footnoteReference w:id="98"/>
      </w:r>
      <w:r w:rsidR="008E3D78">
        <w:rPr>
          <w:rFonts w:ascii="Times New Roman" w:hAnsi="Times New Roman" w:cs="Times New Roman"/>
        </w:rPr>
        <w:t xml:space="preserve"> This is deemed particularly important in developing an RaC application so as to avoid opacity arising from technical illiteracy.</w:t>
      </w:r>
      <w:r w:rsidR="008E3D78">
        <w:rPr>
          <w:rStyle w:val="FootnoteReference"/>
          <w:rFonts w:ascii="Times New Roman" w:hAnsi="Times New Roman" w:cs="Times New Roman"/>
        </w:rPr>
        <w:footnoteReference w:id="99"/>
      </w:r>
      <w:r w:rsidR="001D02D8">
        <w:rPr>
          <w:rFonts w:ascii="Times New Roman" w:hAnsi="Times New Roman" w:cs="Times New Roman"/>
        </w:rPr>
        <w:t xml:space="preserve"> </w:t>
      </w:r>
    </w:p>
    <w:p w14:paraId="3E3A9C17" w14:textId="222F6D2D"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(“AustLII”) ‘ElectKB’ application</w:t>
      </w:r>
      <w:r w:rsidR="002A2B60">
        <w:rPr>
          <w:rFonts w:ascii="Times New Roman" w:hAnsi="Times New Roman" w:cs="Times New Roman"/>
        </w:rPr>
        <w:t>,</w:t>
      </w:r>
      <w:r>
        <w:rPr>
          <w:rStyle w:val="FootnoteReference"/>
          <w:rFonts w:ascii="Times New Roman" w:hAnsi="Times New Roman" w:cs="Times New Roman"/>
        </w:rPr>
        <w:footnoteReference w:id="100"/>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t xml:space="preserve">Commonwealth Electoral Act 1918 </w:t>
      </w:r>
      <w:r w:rsidR="002A2B60">
        <w:rPr>
          <w:rFonts w:ascii="Times New Roman" w:hAnsi="Times New Roman" w:cs="Times New Roman"/>
        </w:rPr>
        <w:t>(Cth).</w:t>
      </w:r>
      <w:r w:rsidR="002A2B60">
        <w:rPr>
          <w:rStyle w:val="FootnoteReference"/>
          <w:rFonts w:ascii="Times New Roman" w:hAnsi="Times New Roman" w:cs="Times New Roman"/>
        </w:rPr>
        <w:footnoteReference w:id="101"/>
      </w:r>
      <w:r w:rsidRPr="00CB2DF3">
        <w:rPr>
          <w:rFonts w:ascii="Times New Roman" w:hAnsi="Times New Roman" w:cs="Times New Roman"/>
        </w:rPr>
        <w:t xml:space="preserve"> To address concerns raised by Sergo et al. regarding the historical lack of an ‘unknown’ option in Boolean programs,</w:t>
      </w:r>
      <w:r>
        <w:rPr>
          <w:rStyle w:val="FootnoteReference"/>
          <w:rFonts w:ascii="Times New Roman" w:hAnsi="Times New Roman" w:cs="Times New Roman"/>
        </w:rPr>
        <w:footnoteReference w:id="102"/>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‘tribool’</w:t>
      </w:r>
      <w:r w:rsidR="002B47A6">
        <w:rPr>
          <w:rStyle w:val="FootnoteReference"/>
          <w:rFonts w:ascii="Times New Roman" w:hAnsi="Times New Roman" w:cs="Times New Roman"/>
        </w:rPr>
        <w:footnoteReference w:id="103"/>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Pr>
          <w:rStyle w:val="FootnoteReference"/>
          <w:rFonts w:ascii="Times New Roman" w:hAnsi="Times New Roman" w:cs="Times New Roman"/>
        </w:rPr>
        <w:footnoteReference w:id="104"/>
      </w:r>
      <w:r>
        <w:rPr>
          <w:rFonts w:ascii="Times New Roman" w:hAnsi="Times New Roman" w:cs="Times New Roman"/>
        </w:rPr>
        <w:t xml:space="preserve"> </w:t>
      </w:r>
      <w:r w:rsidR="002B47A6">
        <w:rPr>
          <w:rFonts w:ascii="Times New Roman" w:hAnsi="Times New Roman" w:cs="Times New Roman"/>
        </w:rPr>
        <w:t>Influenced by Wolfram’s advocacy for classification-based programming,</w:t>
      </w:r>
      <w:r w:rsidR="002B47A6">
        <w:rPr>
          <w:rStyle w:val="FootnoteReference"/>
          <w:rFonts w:ascii="Times New Roman" w:hAnsi="Times New Roman" w:cs="Times New Roman"/>
        </w:rPr>
        <w:footnoteReference w:id="105"/>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Pr>
          <w:rStyle w:val="FootnoteReference"/>
          <w:rFonts w:ascii="Times New Roman" w:hAnsi="Times New Roman" w:cs="Times New Roman"/>
        </w:rPr>
        <w:footnoteReference w:id="106"/>
      </w:r>
      <w:r>
        <w:rPr>
          <w:rFonts w:ascii="Times New Roman" w:hAnsi="Times New Roman" w:cs="Times New Roman"/>
        </w:rPr>
        <w:t xml:space="preserve"> the general concepts of a variable’s </w:t>
      </w:r>
      <w:r>
        <w:rPr>
          <w:rFonts w:ascii="Times New Roman" w:hAnsi="Times New Roman" w:cs="Times New Roman"/>
        </w:rPr>
        <w:lastRenderedPageBreak/>
        <w:t xml:space="preserve">class, </w:t>
      </w:r>
      <w:r w:rsidR="00BA782B">
        <w:rPr>
          <w:rFonts w:ascii="Times New Roman" w:hAnsi="Times New Roman" w:cs="Times New Roman"/>
        </w:rPr>
        <w:t>object,</w:t>
      </w:r>
      <w:r>
        <w:rPr>
          <w:rFonts w:ascii="Times New Roman" w:hAnsi="Times New Roman" w:cs="Times New Roman"/>
        </w:rPr>
        <w:t xml:space="preserve"> and attribute hierarchy</w:t>
      </w:r>
      <w:r w:rsidR="00BA782B">
        <w:rPr>
          <w:rStyle w:val="FootnoteReference"/>
          <w:rFonts w:ascii="Times New Roman" w:hAnsi="Times New Roman" w:cs="Times New Roman"/>
        </w:rPr>
        <w:footnoteReference w:id="107"/>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71146F77" w14:textId="22D90322" w:rsidR="004430AA" w:rsidRPr="00151CC4" w:rsidRDefault="00EF76E3" w:rsidP="00151CC4">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 and thus more aligned with non-formalism than formalism. Nonetheless, for reasons outlined below,</w:t>
      </w:r>
      <w:r w:rsidR="00151CC4" w:rsidRPr="00151CC4">
        <w:rPr>
          <w:rFonts w:ascii="Times New Roman" w:hAnsi="Times New Roman" w:cs="Times New Roman"/>
        </w:rPr>
        <w:t xml:space="preserve"> this approach should not be deemed a true non-formalist approach. </w:t>
      </w:r>
    </w:p>
    <w:p w14:paraId="01F44D08" w14:textId="77777777" w:rsidR="007028EF" w:rsidRDefault="007028EF" w:rsidP="00151CC4">
      <w:pPr>
        <w:spacing w:line="480" w:lineRule="auto"/>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41D4562D"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w:t>
      </w:r>
      <w:r w:rsidR="008C44E7">
        <w:rPr>
          <w:rFonts w:ascii="Times New Roman" w:hAnsi="Times New Roman" w:cs="Times New Roman"/>
        </w:rPr>
        <w:t xml:space="preserve">designed to emulate the questions a legal expert might ask in considering a scenario, </w:t>
      </w:r>
      <w:r w:rsidRPr="00B60A04">
        <w:rPr>
          <w:rFonts w:ascii="Times New Roman" w:hAnsi="Times New Roman" w:cs="Times New Roman"/>
        </w:rPr>
        <w:t xml:space="preserve">and </w:t>
      </w:r>
      <w:r w:rsidR="008C44E7">
        <w:rPr>
          <w:rFonts w:ascii="Times New Roman" w:hAnsi="Times New Roman" w:cs="Times New Roman"/>
        </w:rPr>
        <w:t xml:space="preserve">user </w:t>
      </w:r>
      <w:r w:rsidRPr="00B60A04">
        <w:rPr>
          <w:rFonts w:ascii="Times New Roman" w:hAnsi="Times New Roman" w:cs="Times New Roman"/>
        </w:rPr>
        <w:t>inputs</w:t>
      </w:r>
      <w:r w:rsidR="008C44E7">
        <w:rPr>
          <w:rFonts w:ascii="Times New Roman" w:hAnsi="Times New Roman" w:cs="Times New Roman"/>
        </w:rPr>
        <w:t xml:space="preserve"> </w:t>
      </w:r>
      <w:r w:rsidRPr="00B60A04">
        <w:rPr>
          <w:rFonts w:ascii="Times New Roman" w:hAnsi="Times New Roman" w:cs="Times New Roman"/>
        </w:rPr>
        <w:t>which generally took the form of ternary unknown-state logic,</w:t>
      </w:r>
      <w:r w:rsidR="00C972AD" w:rsidRPr="00B60A04">
        <w:rPr>
          <w:rStyle w:val="FootnoteReference"/>
          <w:rFonts w:ascii="Times New Roman" w:hAnsi="Times New Roman" w:cs="Times New Roman"/>
        </w:rPr>
        <w:footnoteReference w:id="108"/>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B60A04">
        <w:rPr>
          <w:rStyle w:val="FootnoteReference"/>
          <w:rFonts w:ascii="Times New Roman" w:hAnsi="Times New Roman" w:cs="Times New Roman"/>
        </w:rPr>
        <w:footnoteReference w:id="109"/>
      </w:r>
      <w:r w:rsidR="00C972AD" w:rsidRPr="00B60A04">
        <w:rPr>
          <w:rFonts w:ascii="Times New Roman" w:hAnsi="Times New Roman" w:cs="Times New Roman"/>
        </w:rPr>
        <w:t xml:space="preserve"> or values sans units</w:t>
      </w:r>
      <w:r w:rsidR="008C44E7">
        <w:rPr>
          <w:rFonts w:ascii="Times New Roman" w:hAnsi="Times New Roman" w:cs="Times New Roman"/>
        </w:rPr>
        <w:t>.</w:t>
      </w:r>
      <w:r w:rsidR="00C972AD" w:rsidRPr="00B60A04">
        <w:rPr>
          <w:rStyle w:val="FootnoteReference"/>
          <w:rFonts w:ascii="Times New Roman" w:hAnsi="Times New Roman" w:cs="Times New Roman"/>
        </w:rPr>
        <w:footnoteReference w:id="110"/>
      </w:r>
      <w:r w:rsidR="008C44E7">
        <w:rPr>
          <w:rFonts w:ascii="Times New Roman" w:hAnsi="Times New Roman" w:cs="Times New Roman"/>
        </w:rPr>
        <w:t xml:space="preserve"> </w:t>
      </w:r>
      <w:r w:rsidR="00F66BD4" w:rsidRPr="00B60A04">
        <w:rPr>
          <w:rFonts w:ascii="Times New Roman" w:hAnsi="Times New Roman" w:cs="Times New Roman"/>
        </w:rPr>
        <w:t xml:space="preserve">Throughout the program’s life, these inputs are assigned as values of variables and used to determine which questions are asked and the ultimate determination </w:t>
      </w:r>
      <w:r w:rsidR="00F66BD4" w:rsidRPr="00B60A04">
        <w:rPr>
          <w:rFonts w:ascii="Times New Roman" w:hAnsi="Times New Roman" w:cs="Times New Roman"/>
        </w:rPr>
        <w:lastRenderedPageBreak/>
        <w:t>of the program, which is delivered at the conclusion of the interview. In its current state, the application purports to identify which contraventions have been breached (if any), what the consequences of these contraventions are in terms of civil and criminal penalty units, and any 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2" w:name="_MON_1662987686"/>
    <w:bookmarkEnd w:id="2"/>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6" type="#_x0000_t75" style="width:451.15pt;height:42.55pt" o:ole="">
            <v:imagedata r:id="rId9" o:title=""/>
          </v:shape>
          <o:OLEObject Type="Embed" ProgID="Word.DocumentMacroEnabled.12" ShapeID="_x0000_i1026" DrawAspect="Content" ObjectID="_1663480768" r:id="rId10"/>
        </w:object>
      </w:r>
    </w:p>
    <w:p w14:paraId="61DF5AB0" w14:textId="1E570780"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Pr="006513A2">
        <w:rPr>
          <w:b/>
          <w:bCs/>
          <w:i w:val="0"/>
          <w:iCs w:val="0"/>
        </w:rPr>
        <w:fldChar w:fldCharType="begin"/>
      </w:r>
      <w:r w:rsidRPr="006513A2">
        <w:rPr>
          <w:b/>
          <w:bCs/>
          <w:i w:val="0"/>
          <w:iCs w:val="0"/>
        </w:rPr>
        <w:instrText xml:space="preserve"> SEQ Figure \* ARABIC </w:instrText>
      </w:r>
      <w:r w:rsidRPr="006513A2">
        <w:rPr>
          <w:b/>
          <w:bCs/>
          <w:i w:val="0"/>
          <w:iCs w:val="0"/>
        </w:rPr>
        <w:fldChar w:fldCharType="separate"/>
      </w:r>
      <w:r w:rsidR="00EF76E3">
        <w:rPr>
          <w:b/>
          <w:bCs/>
          <w:i w:val="0"/>
          <w:iCs w:val="0"/>
          <w:noProof/>
        </w:rPr>
        <w:t>2</w:t>
      </w:r>
      <w:r w:rsidRPr="006513A2">
        <w:rPr>
          <w:b/>
          <w:bCs/>
          <w:i w:val="0"/>
          <w:iCs w:val="0"/>
        </w:rPr>
        <w:fldChar w:fldCharType="end"/>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3" w:name="_MON_1662980153"/>
    <w:bookmarkEnd w:id="3"/>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7" type="#_x0000_t75" style="width:451.15pt;height:78.1pt" o:ole="">
            <v:imagedata r:id="rId11" o:title="" cropbottom="-1624f"/>
          </v:shape>
          <o:OLEObject Type="Embed" ProgID="Word.DocumentMacroEnabled.12" ShapeID="_x0000_i1027" DrawAspect="Content" ObjectID="_1663480769" r:id="rId12"/>
        </w:object>
      </w:r>
    </w:p>
    <w:p w14:paraId="2DC8629F" w14:textId="740944E3" w:rsidR="00EE40C8" w:rsidRDefault="00802FF4" w:rsidP="00802FF4">
      <w:pPr>
        <w:pStyle w:val="Caption"/>
        <w:jc w:val="both"/>
        <w:rPr>
          <w:i w:val="0"/>
          <w:iCs w:val="0"/>
        </w:rPr>
      </w:pPr>
      <w:r w:rsidRPr="00802FF4">
        <w:rPr>
          <w:b/>
          <w:bCs/>
          <w:i w:val="0"/>
          <w:iCs w:val="0"/>
        </w:rPr>
        <w:t xml:space="preserve">Figure </w:t>
      </w:r>
      <w:r w:rsidRPr="00802FF4">
        <w:rPr>
          <w:b/>
          <w:bCs/>
          <w:i w:val="0"/>
          <w:iCs w:val="0"/>
        </w:rPr>
        <w:fldChar w:fldCharType="begin"/>
      </w:r>
      <w:r w:rsidRPr="00802FF4">
        <w:rPr>
          <w:b/>
          <w:bCs/>
          <w:i w:val="0"/>
          <w:iCs w:val="0"/>
        </w:rPr>
        <w:instrText xml:space="preserve"> SEQ Figure \* ARABIC </w:instrText>
      </w:r>
      <w:r w:rsidRPr="00802FF4">
        <w:rPr>
          <w:b/>
          <w:bCs/>
          <w:i w:val="0"/>
          <w:iCs w:val="0"/>
        </w:rPr>
        <w:fldChar w:fldCharType="separate"/>
      </w:r>
      <w:r w:rsidR="00EF76E3">
        <w:rPr>
          <w:b/>
          <w:bCs/>
          <w:i w:val="0"/>
          <w:iCs w:val="0"/>
          <w:noProof/>
        </w:rPr>
        <w:t>3</w:t>
      </w:r>
      <w:r w:rsidRPr="00802FF4">
        <w:rPr>
          <w:b/>
          <w:bCs/>
          <w:i w:val="0"/>
          <w:iCs w:val="0"/>
        </w:rPr>
        <w:fldChar w:fldCharType="end"/>
      </w:r>
      <w:r>
        <w:rPr>
          <w:b/>
          <w:bCs/>
          <w:i w:val="0"/>
          <w:iCs w:val="0"/>
        </w:rPr>
        <w:t xml:space="preserve"> </w:t>
      </w:r>
      <w:r>
        <w:rPr>
          <w:i w:val="0"/>
          <w:iCs w:val="0"/>
        </w:rPr>
        <w:t xml:space="preserve">– Each section is coded as a separate </w:t>
      </w:r>
      <w:r w:rsidR="000D7675">
        <w:rPr>
          <w:i w:val="0"/>
          <w:iCs w:val="0"/>
        </w:rPr>
        <w:t>function</w:t>
      </w:r>
      <w:r>
        <w:rPr>
          <w:i w:val="0"/>
          <w:iCs w:val="0"/>
        </w:rPr>
        <w:t xml:space="preserve"> which is called under certain conditions using relevant variables as arguments and returning any modified or new variables.</w:t>
      </w:r>
      <w:r w:rsidR="000D7675">
        <w:rPr>
          <w:i w:val="0"/>
          <w:iCs w:val="0"/>
        </w:rPr>
        <w:t xml:space="preserve"> Section 131 is only called if a contract exists between two entities (the provider and debtor), and under that contract the provider (Entities[0]) is both a credit provider and licensee as defined by the Act, while the Debtor (Entities[1])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w:t>
      </w:r>
      <w:r w:rsidR="00E77EF6">
        <w:rPr>
          <w:i w:val="0"/>
          <w:iCs w:val="0"/>
        </w:rPr>
        <w:t>modifications to variables (such as the summed civil penalty units or properties of the contract) and the section’s local contraventions, which are then added to the list of all contraventions</w:t>
      </w:r>
      <w:r w:rsidR="000D7675">
        <w:rPr>
          <w:i w:val="0"/>
          <w:iCs w:val="0"/>
        </w:rPr>
        <w:t xml:space="preserve">. </w:t>
      </w:r>
    </w:p>
    <w:p w14:paraId="2E5331CE" w14:textId="114321C8" w:rsidR="00B60A04" w:rsidRDefault="00B60A04" w:rsidP="00B60A04"/>
    <w:p w14:paraId="58066E44" w14:textId="731235F3" w:rsidR="00EA0668" w:rsidRDefault="007F6761" w:rsidP="004F551B">
      <w:pPr>
        <w:spacing w:line="480" w:lineRule="auto"/>
        <w:jc w:val="both"/>
      </w:pPr>
      <w:r>
        <w:lastRenderedPageBreak/>
        <w:t>While attempts to code and compare the full application as informed by formalist and non-formalist theories respectively ultimately failed,</w:t>
      </w:r>
      <w:r w:rsidR="00EA0668">
        <w:t xml:space="preserve"> clear distinctions between the approaches still became apparent in the process of encoding specific clauses</w:t>
      </w:r>
      <w:r>
        <w:t>.</w:t>
      </w:r>
      <w:r w:rsidR="00EA0668">
        <w:t xml:space="preserve"> In such cases, code was written with regard to 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3135D9A1" w:rsidR="00EA0668" w:rsidRDefault="00EA0668" w:rsidP="004F551B">
      <w:pPr>
        <w:spacing w:line="480" w:lineRule="auto"/>
        <w:jc w:val="both"/>
      </w:pPr>
      <w:r>
        <w:t>Section 133</w:t>
      </w:r>
      <w:r w:rsidR="00B15342">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contract is unsuitable for the purposes of subsection (1). These subsections are nearly identical and have no functional difference, but s133 also includes an additional subsection which delegates power to the regulations</w:t>
      </w:r>
      <w:r w:rsidR="00B15342">
        <w:rPr>
          <w:rStyle w:val="FootnoteReference"/>
        </w:rPr>
        <w:footnoteReference w:id="111"/>
      </w:r>
      <w:r w:rsidR="00B15342">
        <w:t xml:space="preserve"> to “prescribe particular situations in which a credit contract is taken not to be unsuitable for a consumer”.</w:t>
      </w:r>
      <w:r w:rsidR="00B15342">
        <w:rPr>
          <w:rStyle w:val="FootnoteReference"/>
        </w:rPr>
        <w:footnoteReference w:id="112"/>
      </w:r>
      <w:r w:rsidR="00B15342">
        <w:t xml:space="preserve"> The resultant interpretative question thus became whether the regulations might be empowered to prescribe such situations in which </w:t>
      </w:r>
      <w:r w:rsidR="002A4EB9">
        <w:t xml:space="preserve">a credit contract is not unsuitable for the purposes not just of s133, but also of s131. </w:t>
      </w:r>
      <w:r w:rsidR="00B15342">
        <w:t>Lacking any limiting conditions such as “for the purposes of</w:t>
      </w:r>
      <w:r w:rsidR="002A4EB9">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 relevant explanatory memoranda,</w:t>
      </w:r>
      <w:r w:rsidR="002A4EB9">
        <w:rPr>
          <w:rStyle w:val="FootnoteReference"/>
        </w:rPr>
        <w:footnoteReference w:id="113"/>
      </w:r>
      <w:r w:rsidR="002A4EB9">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Default="002A4EB9" w:rsidP="004F551B">
      <w:pPr>
        <w:spacing w:line="480" w:lineRule="auto"/>
        <w:jc w:val="both"/>
      </w:pPr>
      <w:r>
        <w:lastRenderedPageBreak/>
        <w:t>A similar example arose out of s133(6), which prescribes a criminal penalty of two years imprisonment where a ‘person’ subject to s133(1)</w:t>
      </w:r>
      <w:r>
        <w:rPr>
          <w:rStyle w:val="FootnoteReference"/>
        </w:rPr>
        <w:footnoteReference w:id="114"/>
      </w:r>
      <w:r>
        <w:t xml:space="preserve"> engages in conduct</w:t>
      </w:r>
      <w:r>
        <w:rPr>
          <w:rStyle w:val="FootnoteReference"/>
        </w:rPr>
        <w:footnoteReference w:id="115"/>
      </w:r>
      <w:r>
        <w:t xml:space="preserve"> which contravenes s133(1).</w:t>
      </w:r>
      <w:r>
        <w:rPr>
          <w:rStyle w:val="FootnoteReference"/>
        </w:rPr>
        <w:footnoteReference w:id="116"/>
      </w:r>
      <w:r>
        <w:t xml:space="preserve"> Given that, for the purposes of the Act, a ‘person’ need not be a natural person</w:t>
      </w:r>
      <w:r w:rsidR="00722D98">
        <w:rPr>
          <w:rStyle w:val="FootnoteReference"/>
        </w:rPr>
        <w:footnoteReference w:id="117"/>
      </w:r>
      <w:r w:rsidR="00722D98">
        <w:t xml:space="preserve"> it was necessary to convert this penalty to one which could apply to all entities</w:t>
      </w:r>
      <w:r w:rsidR="007028EF">
        <w:t xml:space="preserve">, an effort which </w:t>
      </w:r>
      <w:r w:rsidR="00805826">
        <w:t>is informed</w:t>
      </w:r>
      <w:r w:rsidR="007028EF">
        <w:t xml:space="preserve"> through </w:t>
      </w:r>
      <w:r w:rsidR="00805826">
        <w:t>rejection of</w:t>
      </w:r>
      <w:r w:rsidR="007028EF">
        <w:t xml:space="preserve"> strict formalism</w:t>
      </w:r>
      <w:r w:rsidR="00DD0BAB">
        <w:t xml:space="preserve"> and </w:t>
      </w:r>
      <w:r w:rsidR="00805826">
        <w:t>consideration of</w:t>
      </w:r>
      <w:r w:rsidR="00DD0BAB">
        <w:t xml:space="preserve"> explanatory memoranda. Where a provision such as s133(6) prescribes imprisonment as a punishment for offence, the </w:t>
      </w:r>
      <w:r w:rsidR="00DD0BAB">
        <w:rPr>
          <w:i/>
          <w:iCs/>
        </w:rPr>
        <w:t xml:space="preserve">Crimes Act 1914 </w:t>
      </w:r>
      <w:r w:rsidR="00DD0BAB">
        <w:t xml:space="preserve">(Cth) (“the </w:t>
      </w:r>
      <w:r w:rsidR="00DD0BAB">
        <w:rPr>
          <w:i/>
          <w:iCs/>
        </w:rPr>
        <w:t>Crimes Act</w:t>
      </w:r>
      <w:r w:rsidR="00DD0BAB">
        <w:t>”) empowers the courts to instead convert the imprisonment period to penalty units per Equation (1):</w:t>
      </w:r>
      <w:r w:rsidR="008F443E">
        <w:rPr>
          <w:rStyle w:val="FootnoteReference"/>
        </w:rPr>
        <w:footnoteReference w:id="118"/>
      </w:r>
    </w:p>
    <w:p w14:paraId="2A02DE63" w14:textId="70870532" w:rsidR="00DD0BAB" w:rsidRDefault="00DD0BAB" w:rsidP="004F551B">
      <w:pPr>
        <w:spacing w:line="480" w:lineRule="auto"/>
        <w:jc w:val="both"/>
      </w:pPr>
      <w:r w:rsidRPr="00B11197">
        <w:rPr>
          <w:rFonts w:eastAsiaTheme="minorEastAsia"/>
          <w:noProof/>
          <w:sz w:val="24"/>
          <w:szCs w:val="24"/>
        </w:rPr>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v:textbox>
                </v:shape>
                <w10:anchorlock/>
              </v:group>
            </w:pict>
          </mc:Fallback>
        </mc:AlternateContent>
      </w:r>
    </w:p>
    <w:p w14:paraId="29C947DE" w14:textId="49BB73A1" w:rsidR="00DD0BAB" w:rsidRDefault="00805826" w:rsidP="004F551B">
      <w:pPr>
        <w:spacing w:line="480" w:lineRule="auto"/>
        <w:jc w:val="both"/>
      </w:pPr>
      <w:r>
        <w:t xml:space="preserve">Section 4(3) of the </w:t>
      </w:r>
      <w:r>
        <w:rPr>
          <w:i/>
          <w:iCs/>
        </w:rPr>
        <w:t xml:space="preserve">Crimes Act </w:t>
      </w:r>
      <w:r>
        <w:t xml:space="preserve">further </w:t>
      </w:r>
      <w:r w:rsidR="00E6172A">
        <w:t>establishes a relationship between</w:t>
      </w:r>
      <w:r>
        <w:t xml:space="preserve"> the maximum pecuniary penalty for a body corporate</w:t>
      </w:r>
      <w:r w:rsidR="00E6172A">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Pr>
          <w:rStyle w:val="FootnoteReference"/>
        </w:rPr>
        <w:footnoteReference w:id="119"/>
      </w:r>
    </w:p>
    <w:p w14:paraId="6C385DB9" w14:textId="32F54CF5" w:rsidR="00EA0668" w:rsidRDefault="00F5099E" w:rsidP="004F551B">
      <w:pPr>
        <w:spacing w:line="480" w:lineRule="auto"/>
        <w:jc w:val="both"/>
      </w:pPr>
      <w:r>
        <w:t>Additional interpretative issues arose</w:t>
      </w:r>
      <w:r w:rsidR="00967D72">
        <w:t xml:space="preserve"> which were better addressed through deferral to caselaw, such as determining whether a breach has occurred under s131 in the absence of any preliminary assessment.</w:t>
      </w:r>
      <w:r w:rsidR="00D04259">
        <w:t xml:space="preserve"> While the lack of an assessment in the relevant circumstances would certainly result in a s128 breach,</w:t>
      </w:r>
      <w:r w:rsidR="00967D72">
        <w:t xml:space="preserve"> </w:t>
      </w:r>
      <w:r w:rsidR="00D04259">
        <w:t xml:space="preserve">the temporal nature of s131(2), enshrined in the phrasing, “the contract will be </w:t>
      </w:r>
      <w:r w:rsidR="00D04259">
        <w:lastRenderedPageBreak/>
        <w:t>unsuitable for the consumer if, at the time of the assessment,” would suggest that no breach would occur under s131(1). This interpretation might seem counterintuitive and at odds with Parliament’s intent,</w:t>
      </w:r>
      <w:r w:rsidR="00D04259">
        <w:rPr>
          <w:rStyle w:val="FootnoteReference"/>
        </w:rPr>
        <w:footnoteReference w:id="120"/>
      </w:r>
      <w:r w:rsidR="00D04259">
        <w:t xml:space="preserve"> as it functionally punishes licensees who conduct insufficient assessments moreso than those who conduct no assessment whatsoever.</w:t>
      </w:r>
      <w:r w:rsidR="00A03648">
        <w:rPr>
          <w:rStyle w:val="FootnoteReference"/>
        </w:rPr>
        <w:footnoteReference w:id="121"/>
      </w:r>
      <w:r w:rsidR="00D04259">
        <w:t xml:space="preserve"> Despite this,</w:t>
      </w:r>
      <w:r w:rsidR="00B16671">
        <w:t xml:space="preserve"> when such facts came before the Federal Court in </w:t>
      </w:r>
      <w:r w:rsidR="00B16671">
        <w:rPr>
          <w:i/>
          <w:iCs/>
        </w:rPr>
        <w:t>Australian Securities and Investments Commission v Cash Store Pty Ltd (in liquidation)</w:t>
      </w:r>
      <w:r w:rsidR="00B16671" w:rsidRPr="00B16671">
        <w:rPr>
          <w:rStyle w:val="FootnoteReference"/>
        </w:rPr>
        <w:footnoteReference w:id="122"/>
      </w:r>
      <w:r w:rsidR="00FC5FB5">
        <w:rPr>
          <w:i/>
          <w:iCs/>
        </w:rPr>
        <w:t xml:space="preserve"> </w:t>
      </w:r>
      <w:r w:rsidR="00FC5FB5">
        <w:t>(“</w:t>
      </w:r>
      <w:r w:rsidR="00FC5FB5">
        <w:rPr>
          <w:i/>
          <w:iCs/>
        </w:rPr>
        <w:t>Cash Store</w:t>
      </w:r>
      <w:r w:rsidR="00FC5FB5">
        <w:t>”)</w:t>
      </w:r>
      <w:r w:rsidR="00B16671">
        <w:t xml:space="preserve"> the licensees, who had failed to make any preliminary assessments, were found to have breached ss128-130, but not s131.</w:t>
      </w:r>
      <w:r w:rsidR="00B16671">
        <w:rPr>
          <w:rStyle w:val="FootnoteReference"/>
        </w:rPr>
        <w:footnoteReference w:id="123"/>
      </w:r>
      <w:r w:rsidR="00B16671">
        <w:t xml:space="preserve"> In translating this decision to the application, the s131 function is thus only called where the ‘assessment.exists’ property is true, as in Figure 4.</w:t>
      </w:r>
    </w:p>
    <w:bookmarkStart w:id="4" w:name="_MON_1663064899"/>
    <w:bookmarkEnd w:id="4"/>
    <w:p w14:paraId="09767229" w14:textId="77777777" w:rsidR="00B16671" w:rsidRDefault="00B16671" w:rsidP="00B16671">
      <w:pPr>
        <w:keepNext/>
        <w:jc w:val="both"/>
      </w:pPr>
      <w:r>
        <w:rPr>
          <w:i/>
          <w:iCs/>
        </w:rPr>
        <w:object w:dxaOrig="9026" w:dyaOrig="680" w14:anchorId="31178D57">
          <v:shape id="_x0000_i1028" type="#_x0000_t75" style="width:451.15pt;height:34.15pt" o:ole="">
            <v:imagedata r:id="rId13" o:title=""/>
          </v:shape>
          <o:OLEObject Type="Embed" ProgID="Word.DocumentMacroEnabled.12" ShapeID="_x0000_i1028" DrawAspect="Content" ObjectID="_1663480770" r:id="rId14"/>
        </w:object>
      </w:r>
    </w:p>
    <w:p w14:paraId="08A2E29D" w14:textId="18E72A0F" w:rsidR="00B16671" w:rsidRPr="00B16671" w:rsidRDefault="00B16671" w:rsidP="00B16671">
      <w:pPr>
        <w:pStyle w:val="Caption"/>
        <w:jc w:val="both"/>
        <w:rPr>
          <w:b/>
          <w:bCs/>
          <w:i w:val="0"/>
          <w:iCs w:val="0"/>
        </w:rPr>
      </w:pPr>
      <w:r w:rsidRPr="00B16671">
        <w:rPr>
          <w:b/>
          <w:bCs/>
          <w:i w:val="0"/>
          <w:iCs w:val="0"/>
        </w:rPr>
        <w:t xml:space="preserve">Figure </w:t>
      </w:r>
      <w:r w:rsidRPr="00B16671">
        <w:rPr>
          <w:b/>
          <w:bCs/>
          <w:i w:val="0"/>
          <w:iCs w:val="0"/>
        </w:rPr>
        <w:fldChar w:fldCharType="begin"/>
      </w:r>
      <w:r w:rsidRPr="00B16671">
        <w:rPr>
          <w:b/>
          <w:bCs/>
          <w:i w:val="0"/>
          <w:iCs w:val="0"/>
        </w:rPr>
        <w:instrText xml:space="preserve"> SEQ Figure \* ARABIC </w:instrText>
      </w:r>
      <w:r w:rsidRPr="00B16671">
        <w:rPr>
          <w:b/>
          <w:bCs/>
          <w:i w:val="0"/>
          <w:iCs w:val="0"/>
        </w:rPr>
        <w:fldChar w:fldCharType="separate"/>
      </w:r>
      <w:r w:rsidR="00EF76E3">
        <w:rPr>
          <w:b/>
          <w:bCs/>
          <w:i w:val="0"/>
          <w:iCs w:val="0"/>
          <w:noProof/>
        </w:rPr>
        <w:t>4</w:t>
      </w:r>
      <w:r w:rsidRPr="00B16671">
        <w:rPr>
          <w:b/>
          <w:bCs/>
          <w:i w:val="0"/>
          <w:iCs w:val="0"/>
        </w:rPr>
        <w:fldChar w:fldCharType="end"/>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5A4F10B5"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lastRenderedPageBreak/>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outside of the scope of this article through incompatibility with the calculative and deterministic nature of algorithms first raised in Section II</w:t>
      </w:r>
      <w:r w:rsidR="00C930F2" w:rsidRPr="001C300E">
        <w:rPr>
          <w:rFonts w:ascii="Times New Roman" w:hAnsi="Times New Roman" w:cs="Times New Roman"/>
        </w:rPr>
        <w:t>,</w:t>
      </w:r>
      <w:r w:rsidRPr="001C300E">
        <w:rPr>
          <w:rStyle w:val="FootnoteReference"/>
          <w:rFonts w:ascii="Times New Roman" w:hAnsi="Times New Roman" w:cs="Times New Roman"/>
        </w:rPr>
        <w:footnoteReference w:id="124"/>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1C300E">
        <w:rPr>
          <w:rStyle w:val="FootnoteReference"/>
          <w:rFonts w:ascii="Times New Roman" w:hAnsi="Times New Roman" w:cs="Times New Roman"/>
        </w:rPr>
        <w:footnoteReference w:id="125"/>
      </w:r>
      <w:r w:rsidR="00ED0565" w:rsidRPr="001C300E">
        <w:rPr>
          <w:rFonts w:ascii="Times New Roman" w:hAnsi="Times New Roman" w:cs="Times New Roman"/>
        </w:rPr>
        <w:t xml:space="preserve"> through calculating the weighted sum of all possible non-formalist considerations</w:t>
      </w:r>
      <w:r w:rsidR="00ED0565" w:rsidRPr="001C300E">
        <w:rPr>
          <w:rStyle w:val="FootnoteReference"/>
          <w:rFonts w:ascii="Times New Roman" w:hAnsi="Times New Roman" w:cs="Times New Roman"/>
        </w:rPr>
        <w:footnoteReference w:id="126"/>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much like the neural networks of machine learning,</w:t>
      </w:r>
      <w:r w:rsidR="00BA7082">
        <w:rPr>
          <w:rStyle w:val="FootnoteReference"/>
          <w:rFonts w:ascii="Times New Roman" w:hAnsi="Times New Roman" w:cs="Times New Roman"/>
        </w:rPr>
        <w:footnoteReference w:id="127"/>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7C3F3B">
        <w:rPr>
          <w:rStyle w:val="FootnoteReference"/>
          <w:rFonts w:ascii="Times New Roman" w:hAnsi="Times New Roman" w:cs="Times New Roman"/>
        </w:rPr>
        <w:footnoteReference w:id="128"/>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v:textbox>
                </v:shape>
                <w10:anchorlock/>
              </v:group>
            </w:pict>
          </mc:Fallback>
        </mc:AlternateContent>
      </w:r>
    </w:p>
    <w:bookmarkStart w:id="5" w:name="_MON_1663089418"/>
    <w:bookmarkEnd w:id="5"/>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29" type="#_x0000_t75" style="width:451.15pt;height:119.2pt" o:ole="">
            <v:imagedata r:id="rId15" o:title=""/>
          </v:shape>
          <o:OLEObject Type="Embed" ProgID="Word.DocumentMacroEnabled.12" ShapeID="_x0000_i1029" DrawAspect="Content" ObjectID="_1663480771" r:id="rId16"/>
        </w:object>
      </w:r>
    </w:p>
    <w:p w14:paraId="7D2A24FB" w14:textId="05B4E17F"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Pr="00EF76E3">
        <w:rPr>
          <w:b/>
          <w:bCs/>
          <w:i w:val="0"/>
          <w:iCs w:val="0"/>
        </w:rPr>
        <w:fldChar w:fldCharType="begin"/>
      </w:r>
      <w:r w:rsidRPr="00EF76E3">
        <w:rPr>
          <w:b/>
          <w:bCs/>
          <w:i w:val="0"/>
          <w:iCs w:val="0"/>
        </w:rPr>
        <w:instrText xml:space="preserve"> SEQ Figure \* ARABIC </w:instrText>
      </w:r>
      <w:r w:rsidRPr="00EF76E3">
        <w:rPr>
          <w:b/>
          <w:bCs/>
          <w:i w:val="0"/>
          <w:iCs w:val="0"/>
        </w:rPr>
        <w:fldChar w:fldCharType="separate"/>
      </w:r>
      <w:r w:rsidRPr="00EF76E3">
        <w:rPr>
          <w:b/>
          <w:bCs/>
          <w:i w:val="0"/>
          <w:iCs w:val="0"/>
          <w:noProof/>
        </w:rPr>
        <w:t>5</w:t>
      </w:r>
      <w:r w:rsidRPr="00EF76E3">
        <w:rPr>
          <w:b/>
          <w:bCs/>
          <w:i w:val="0"/>
          <w:iCs w:val="0"/>
        </w:rPr>
        <w:fldChar w:fldCharType="end"/>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p>
    <w:p w14:paraId="0E38D010" w14:textId="4C244DA8"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t xml:space="preserve">It soon became apparent, however, that no practicable method of determining acceptable weightings and thresholds could be justifiably produced with any academic or legal </w:t>
      </w:r>
      <w:r w:rsidR="006F7A8D">
        <w:rPr>
          <w:rFonts w:ascii="Times New Roman" w:hAnsi="Times New Roman" w:cs="Times New Roman"/>
        </w:rPr>
        <w:t>justification</w:t>
      </w:r>
      <w:r w:rsidRPr="001C300E">
        <w:rPr>
          <w:rFonts w:ascii="Times New Roman" w:hAnsi="Times New Roman" w:cs="Times New Roman"/>
        </w:rPr>
        <w:t xml:space="preserve"> </w:t>
      </w:r>
      <w:r w:rsidR="006F7A8D">
        <w:rPr>
          <w:rFonts w:ascii="Times New Roman" w:hAnsi="Times New Roman" w:cs="Times New Roman"/>
        </w:rPr>
        <w:t>with</w:t>
      </w:r>
      <w:r w:rsidRPr="001C300E">
        <w:rPr>
          <w:rFonts w:ascii="Times New Roman" w:hAnsi="Times New Roman" w:cs="Times New Roman"/>
        </w:rPr>
        <w:t>in the scope of this article. Nonetheless, it is put forward that such efforts would be well-suited in further RaC research. Specifically, such attempts at quantifying legal discretion harken to the limited but relevant literature surrounding attempts to quantify ‘reasonable doubt’ in criminal trials,</w:t>
      </w:r>
      <w:r w:rsidR="001C300E" w:rsidRPr="001C300E">
        <w:rPr>
          <w:rStyle w:val="FootnoteReference"/>
          <w:rFonts w:ascii="Times New Roman" w:hAnsi="Times New Roman" w:cs="Times New Roman"/>
        </w:rPr>
        <w:footnoteReference w:id="129"/>
      </w:r>
      <w:r w:rsidRPr="001C300E">
        <w:rPr>
          <w:rFonts w:ascii="Times New Roman" w:hAnsi="Times New Roman" w:cs="Times New Roman"/>
        </w:rPr>
        <w:t xml:space="preserve"> and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3C9E53E9" w:rsidR="001C300E" w:rsidRDefault="001C300E" w:rsidP="001C300E">
      <w:pPr>
        <w:spacing w:line="480" w:lineRule="auto"/>
        <w:jc w:val="both"/>
        <w:rPr>
          <w:rFonts w:ascii="Times New Roman" w:hAnsi="Times New Roman" w:cs="Times New Roman"/>
        </w:rPr>
      </w:pPr>
      <w:r>
        <w:rPr>
          <w:rFonts w:ascii="Times New Roman" w:hAnsi="Times New Roman" w:cs="Times New Roman"/>
        </w:rPr>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facets of formalism.</w:t>
      </w:r>
      <w:r w:rsidR="006F00A3">
        <w:rPr>
          <w:rStyle w:val="FootnoteReference"/>
          <w:rFonts w:ascii="Times New Roman" w:hAnsi="Times New Roman" w:cs="Times New Roman"/>
        </w:rPr>
        <w:footnoteReference w:id="130"/>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Pr>
          <w:rStyle w:val="FootnoteReference"/>
          <w:rFonts w:ascii="Times New Roman" w:hAnsi="Times New Roman" w:cs="Times New Roman"/>
          <w:sz w:val="24"/>
          <w:szCs w:val="24"/>
        </w:rPr>
        <w:footnoteReference w:id="131"/>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t>
      </w:r>
      <w:r>
        <w:rPr>
          <w:rFonts w:ascii="Times New Roman" w:hAnsi="Times New Roman" w:cs="Times New Roman"/>
        </w:rPr>
        <w:lastRenderedPageBreak/>
        <w:t>with the notion of legal formalism. Attempting to code it in such way, therefore, was soon considered a fool’s errand.</w:t>
      </w:r>
    </w:p>
    <w:p w14:paraId="703332B5" w14:textId="4548D332" w:rsidR="001C300E" w:rsidRPr="00F64D9C"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compliant with the law, and such an application would merely be an extension of this. If, however, such an application was deployed in a legally binding context,</w:t>
      </w:r>
      <w:r>
        <w:rPr>
          <w:rStyle w:val="FootnoteReference"/>
          <w:rFonts w:ascii="Times New Roman" w:hAnsi="Times New Roman" w:cs="Times New Roman"/>
        </w:rPr>
        <w:footnoteReference w:id="132"/>
      </w:r>
      <w:r w:rsidR="006F00A3">
        <w:rPr>
          <w:rFonts w:ascii="Times New Roman" w:hAnsi="Times New Roman" w:cs="Times New Roman"/>
        </w:rPr>
        <w:t xml:space="preserve"> broader questions would need consideration 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0B41584F" w:rsidR="001D02D8" w:rsidRPr="00702FCF" w:rsidRDefault="006F00A3" w:rsidP="006F00A3">
      <w:pPr>
        <w:spacing w:line="480" w:lineRule="auto"/>
        <w:jc w:val="both"/>
        <w:rPr>
          <w:rFonts w:ascii="Times New Roman" w:hAnsi="Times New Roman" w:cs="Times New Roman"/>
        </w:rPr>
      </w:pPr>
      <w:r w:rsidRPr="00702FCF">
        <w:rPr>
          <w:rFonts w:ascii="Times New Roman" w:hAnsi="Times New Roman" w:cs="Times New Roman"/>
        </w:rPr>
        <w:t>Absent a clear solution stemming from comparisons of formalism and non-formalism-influenced coding, it proposed, as alluded to in Section II, that analysing the approaches taken in jurisdictions with multilingual legislation could bare more positive findings.</w:t>
      </w:r>
      <w:r w:rsidR="004F551B" w:rsidRPr="00702FCF">
        <w:rPr>
          <w:rFonts w:ascii="Times New Roman" w:hAnsi="Times New Roman" w:cs="Times New Roman"/>
        </w:rPr>
        <w:t xml:space="preserve"> </w:t>
      </w:r>
      <w:r w:rsidR="00577AE0" w:rsidRPr="00702FCF">
        <w:rPr>
          <w:rFonts w:ascii="Times New Roman" w:hAnsi="Times New Roman" w:cs="Times New Roman"/>
        </w:rPr>
        <w:t xml:space="preserve">Concerning multilingual drafting in the </w:t>
      </w:r>
      <w:r w:rsidR="00577AE0" w:rsidRPr="00702FCF">
        <w:rPr>
          <w:rFonts w:ascii="Times New Roman" w:hAnsi="Times New Roman" w:cs="Times New Roman"/>
        </w:rPr>
        <w:lastRenderedPageBreak/>
        <w:t xml:space="preserve">context of a supranational regime such as the </w:t>
      </w:r>
      <w:r w:rsidR="00727ED7" w:rsidRPr="00702FCF">
        <w:rPr>
          <w:rFonts w:ascii="Times New Roman" w:hAnsi="Times New Roman" w:cs="Times New Roman"/>
        </w:rPr>
        <w:t>EU</w:t>
      </w:r>
      <w:r w:rsidR="00577AE0" w:rsidRPr="00702FCF">
        <w:rPr>
          <w:rFonts w:ascii="Times New Roman" w:hAnsi="Times New Roman" w:cs="Times New Roman"/>
        </w:rPr>
        <w:t>, Solan</w:t>
      </w:r>
      <w:r w:rsidR="00577AE0" w:rsidRPr="00702FCF">
        <w:rPr>
          <w:rStyle w:val="FootnoteReference"/>
          <w:rFonts w:ascii="Times New Roman" w:hAnsi="Times New Roman" w:cs="Times New Roman"/>
        </w:rPr>
        <w:footnoteReference w:id="133"/>
      </w:r>
      <w:r w:rsidR="00577AE0" w:rsidRPr="00702FCF">
        <w:rPr>
          <w:rFonts w:ascii="Times New Roman" w:hAnsi="Times New Roman" w:cs="Times New Roman"/>
        </w:rPr>
        <w:t xml:space="preserve"> identifies three goals: equality of language, fidelity in interpretation and efficiency of translation.</w:t>
      </w:r>
      <w:r w:rsidR="00577AE0" w:rsidRPr="00702FCF">
        <w:rPr>
          <w:rStyle w:val="FootnoteReference"/>
          <w:rFonts w:ascii="Times New Roman" w:hAnsi="Times New Roman" w:cs="Times New Roman"/>
        </w:rPr>
        <w:footnoteReference w:id="134"/>
      </w:r>
      <w:r w:rsidR="00577AE0" w:rsidRPr="00702FCF">
        <w:rPr>
          <w:rFonts w:ascii="Times New Roman" w:hAnsi="Times New Roman" w:cs="Times New Roman"/>
        </w:rPr>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rsidRPr="00702FCF">
        <w:rPr>
          <w:rFonts w:ascii="Times New Roman" w:hAnsi="Times New Roman" w:cs="Times New Roman"/>
        </w:rPr>
        <w:t>EU</w:t>
      </w:r>
      <w:r w:rsidR="00577AE0" w:rsidRPr="00702FCF">
        <w:rPr>
          <w:rFonts w:ascii="Times New Roman" w:hAnsi="Times New Roman" w:cs="Times New Roman"/>
        </w:rPr>
        <w:t>’s declaration that all translations of a law hold equal authority,</w:t>
      </w:r>
      <w:r w:rsidR="00577AE0" w:rsidRPr="00702FCF">
        <w:rPr>
          <w:rStyle w:val="FootnoteReference"/>
          <w:rFonts w:ascii="Times New Roman" w:hAnsi="Times New Roman" w:cs="Times New Roman"/>
        </w:rPr>
        <w:footnoteReference w:id="135"/>
      </w:r>
      <w:r w:rsidR="00577AE0" w:rsidRPr="00702FCF">
        <w:rPr>
          <w:rFonts w:ascii="Times New Roman" w:hAnsi="Times New Roman" w:cs="Times New Roman"/>
        </w:rPr>
        <w:t xml:space="preserve"> this article questions whether such an affirmation should be made with regards to the authority of any conclusions reached by digitised legislation. Similarly, the notion of fidelity is prioritised in both multilingualism and digitisation of legislation, with this article’s considerations of ambiguity and syntactic differences between languages</w:t>
      </w:r>
      <w:r w:rsidR="00577AE0" w:rsidRPr="00702FCF">
        <w:rPr>
          <w:rStyle w:val="FootnoteReference"/>
          <w:rFonts w:ascii="Times New Roman" w:hAnsi="Times New Roman" w:cs="Times New Roman"/>
        </w:rPr>
        <w:footnoteReference w:id="136"/>
      </w:r>
      <w:r w:rsidR="00577AE0" w:rsidRPr="00702FCF">
        <w:rPr>
          <w:rFonts w:ascii="Times New Roman" w:hAnsi="Times New Roman" w:cs="Times New Roman"/>
        </w:rPr>
        <w:t xml:space="preserve">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77777777"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A largely unanswered question amongst RaC endeavours is that of the context in which such a solution might be deployed,</w:t>
      </w:r>
      <w:r w:rsidRPr="00FF395A">
        <w:rPr>
          <w:rStyle w:val="FootnoteReference"/>
        </w:rPr>
        <w:footnoteReference w:id="137"/>
      </w:r>
      <w:r w:rsidRPr="002B70F8">
        <w:rPr>
          <w:rFonts w:ascii="Times New Roman" w:hAnsi="Times New Roman" w:cs="Times New Roman"/>
        </w:rPr>
        <w:t xml:space="preserve">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[TODO outline how some current attempts might compare with standard legislation].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For present purposes, it is posited that a spectrum describing legal authority upon which an RaC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 xml:space="preserve">‘advisory’ section of such a spectrum might be populated by legal textbooks on consumer law or a barrister’s opinion, while the ‘influential’ area would be populated, for example, by ASIC’s regulatory guidelines and explanatory </w:t>
      </w:r>
      <w:r w:rsidR="00AE538D" w:rsidRPr="002B70F8">
        <w:rPr>
          <w:rFonts w:ascii="Times New Roman" w:hAnsi="Times New Roman" w:cs="Times New Roman"/>
        </w:rPr>
        <w:lastRenderedPageBreak/>
        <w:t>memoranda. Within the ‘binding’ portion of the spectrum, one would expect caselaw, regulations and statute.</w:t>
      </w:r>
    </w:p>
    <w:p w14:paraId="34A7C6E0" w14:textId="4E0A05E6"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RaC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‘ElectKB’ application</w:t>
      </w:r>
      <w:r w:rsidR="002B70F8" w:rsidRPr="00160C66">
        <w:rPr>
          <w:rStyle w:val="FootnoteReference"/>
          <w:rFonts w:ascii="Times New Roman" w:hAnsi="Times New Roman" w:cs="Times New Roman"/>
        </w:rPr>
        <w:footnoteReference w:id="138"/>
      </w:r>
      <w:r w:rsidR="002B70F8" w:rsidRPr="00160C66">
        <w:rPr>
          <w:rFonts w:ascii="Times New Roman" w:hAnsi="Times New Roman" w:cs="Times New Roman"/>
        </w:rPr>
        <w:t xml:space="preserve"> gathers information and draws conclusions surrounding an 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A07E0D" w:rsidRPr="00160C66">
        <w:rPr>
          <w:rStyle w:val="FootnoteReference"/>
          <w:rFonts w:ascii="Times New Roman" w:hAnsi="Times New Roman" w:cs="Times New Roman"/>
        </w:rPr>
        <w:footnoteReference w:id="139"/>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interface in which users are asked relevant questions and can respond only with ‘yes’, ‘no’, ‘uncertain’ or ask why a question is relevant. </w:t>
      </w:r>
      <w:r w:rsidR="00C909E9" w:rsidRPr="00160C66">
        <w:rPr>
          <w:rFonts w:ascii="Times New Roman" w:hAnsi="Times New Roman" w:cs="Times New Roman"/>
        </w:rPr>
        <w:t xml:space="preserve">ElectKB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Pr>
          <w:rStyle w:val="FootnoteReference"/>
          <w:rFonts w:ascii="Times New Roman" w:hAnsi="Times New Roman" w:cs="Times New Roman"/>
        </w:rPr>
        <w:footnoteReference w:id="140"/>
      </w:r>
      <w:r w:rsidR="00A07E0D" w:rsidRPr="00160C66">
        <w:rPr>
          <w:rFonts w:ascii="Times New Roman" w:hAnsi="Times New Roman" w:cs="Times New Roman"/>
        </w:rPr>
        <w:t xml:space="preserve"> and thus b</w:t>
      </w:r>
      <w:r w:rsidR="00C909E9" w:rsidRPr="00160C66">
        <w:rPr>
          <w:rFonts w:ascii="Times New Roman" w:hAnsi="Times New Roman" w:cs="Times New Roman"/>
        </w:rPr>
        <w:t>eyond its obvious purpose as a basic proof of concept for RaC applications, ElectKB</w:t>
      </w:r>
      <w:r w:rsidR="00A07E0D" w:rsidRPr="00160C66">
        <w:rPr>
          <w:rFonts w:ascii="Times New Roman" w:hAnsi="Times New Roman" w:cs="Times New Roman"/>
        </w:rPr>
        <w:t>’s sole objective is to advise its user of the relevant law.</w:t>
      </w:r>
      <w:r w:rsidR="009C44D9">
        <w:rPr>
          <w:rStyle w:val="FootnoteReference"/>
          <w:rFonts w:ascii="Times New Roman" w:hAnsi="Times New Roman" w:cs="Times New Roman"/>
        </w:rPr>
        <w:footnoteReference w:id="141"/>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A07E0D" w:rsidRPr="00160C66">
        <w:rPr>
          <w:rStyle w:val="FootnoteReference"/>
          <w:rFonts w:ascii="Times New Roman" w:hAnsi="Times New Roman" w:cs="Times New Roman"/>
        </w:rPr>
        <w:footnoteReference w:id="142"/>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‘robodebt’,</w:t>
      </w:r>
      <w:r w:rsidR="0074091F" w:rsidRPr="00160C66">
        <w:rPr>
          <w:rStyle w:val="FootnoteReference"/>
          <w:rFonts w:ascii="Times New Roman" w:hAnsi="Times New Roman" w:cs="Times New Roman"/>
        </w:rPr>
        <w:footnoteReference w:id="143"/>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160C66" w:rsidRPr="00160C66">
        <w:rPr>
          <w:rStyle w:val="FootnoteReference"/>
          <w:rFonts w:ascii="Times New Roman" w:hAnsi="Times New Roman" w:cs="Times New Roman"/>
        </w:rPr>
        <w:footnoteReference w:id="144"/>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160C66">
        <w:rPr>
          <w:rStyle w:val="FootnoteReference"/>
          <w:rFonts w:ascii="Times New Roman" w:hAnsi="Times New Roman" w:cs="Times New Roman"/>
        </w:rPr>
        <w:footnoteReference w:id="145"/>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w:t>
      </w:r>
      <w:r w:rsidR="0074091F" w:rsidRPr="00160C66">
        <w:rPr>
          <w:rFonts w:ascii="Times New Roman" w:hAnsi="Times New Roman" w:cs="Times New Roman"/>
        </w:rPr>
        <w:lastRenderedPageBreak/>
        <w:t xml:space="preserve">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160C66">
        <w:rPr>
          <w:rStyle w:val="FootnoteReference"/>
          <w:rFonts w:ascii="Times New Roman" w:hAnsi="Times New Roman" w:cs="Times New Roman"/>
        </w:rPr>
        <w:footnoteReference w:id="146"/>
      </w:r>
      <w:r w:rsidR="00FA5461">
        <w:rPr>
          <w:rFonts w:ascii="Times New Roman" w:hAnsi="Times New Roman" w:cs="Times New Roman"/>
        </w:rPr>
        <w:t xml:space="preserve"> </w:t>
      </w:r>
    </w:p>
    <w:p w14:paraId="6230450B" w14:textId="36B325F9"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RaC application could never be taken to have binding outputs without some form of human interventio</w:t>
      </w:r>
      <w:r w:rsidR="003B7661">
        <w:rPr>
          <w:rFonts w:ascii="Times New Roman" w:hAnsi="Times New Roman" w:cs="Times New Roman"/>
        </w:rPr>
        <w:t>n, though this condition is not certain</w:t>
      </w:r>
      <w:r w:rsidR="00926552">
        <w:rPr>
          <w:rFonts w:ascii="Times New Roman" w:hAnsi="Times New Roman" w:cs="Times New Roman"/>
        </w:rPr>
        <w:t xml:space="preserve">. In his dissent, Kerr J argued that the ‘mental process’ element relied upon by the majority, stemming from Finn J in </w:t>
      </w:r>
      <w:r w:rsidR="00926552">
        <w:rPr>
          <w:rFonts w:ascii="Times New Roman" w:hAnsi="Times New Roman" w:cs="Times New Roman"/>
          <w:i/>
          <w:iCs/>
        </w:rPr>
        <w:t>Semunigus v Minister for Immigration and Multicultural Affairs</w:t>
      </w:r>
      <w:r w:rsidR="00926552" w:rsidRPr="00926552">
        <w:rPr>
          <w:rStyle w:val="FootnoteReference"/>
          <w:rFonts w:ascii="Times New Roman" w:hAnsi="Times New Roman" w:cs="Times New Roman"/>
        </w:rPr>
        <w:footnoteReference w:id="147"/>
      </w:r>
      <w:r w:rsidR="00206C14">
        <w:rPr>
          <w:rFonts w:ascii="Times New Roman" w:hAnsi="Times New Roman" w:cs="Times New Roman"/>
          <w:i/>
          <w:iCs/>
        </w:rPr>
        <w:t xml:space="preserve"> </w:t>
      </w:r>
      <w:r w:rsidR="00206C14">
        <w:rPr>
          <w:rFonts w:ascii="Times New Roman" w:hAnsi="Times New Roman" w:cs="Times New Roman"/>
        </w:rPr>
        <w:t>(“</w:t>
      </w:r>
      <w:r w:rsidR="00206C14">
        <w:rPr>
          <w:rFonts w:ascii="Times New Roman" w:hAnsi="Times New Roman" w:cs="Times New Roman"/>
          <w:i/>
          <w:iCs/>
        </w:rPr>
        <w:t>Semunigus</w:t>
      </w:r>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and accepted on appeal to the Full Federal Court,</w:t>
      </w:r>
      <w:r w:rsidR="00926552">
        <w:rPr>
          <w:rStyle w:val="FootnoteReference"/>
          <w:rFonts w:ascii="Times New Roman" w:hAnsi="Times New Roman" w:cs="Times New Roman"/>
        </w:rPr>
        <w:footnoteReference w:id="148"/>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r w:rsidR="00206C14">
        <w:rPr>
          <w:rFonts w:ascii="Times New Roman" w:hAnsi="Times New Roman" w:cs="Times New Roman"/>
          <w:i/>
          <w:iCs/>
        </w:rPr>
        <w:t>Semunigus</w:t>
      </w:r>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Pr>
          <w:rStyle w:val="FootnoteReference"/>
          <w:rFonts w:ascii="Times New Roman" w:hAnsi="Times New Roman" w:cs="Times New Roman"/>
        </w:rPr>
        <w:footnoteReference w:id="149"/>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Pr>
          <w:rStyle w:val="FootnoteReference"/>
          <w:rFonts w:ascii="Times New Roman" w:hAnsi="Times New Roman" w:cs="Times New Roman"/>
        </w:rPr>
        <w:footnoteReference w:id="150"/>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Pr>
          <w:rStyle w:val="FootnoteReference"/>
          <w:rFonts w:ascii="Times New Roman" w:hAnsi="Times New Roman" w:cs="Times New Roman"/>
        </w:rPr>
        <w:footnoteReference w:id="151"/>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Pr>
          <w:rStyle w:val="FootnoteReference"/>
          <w:rFonts w:ascii="Times New Roman" w:hAnsi="Times New Roman" w:cs="Times New Roman"/>
        </w:rPr>
        <w:footnoteReference w:id="152"/>
      </w:r>
      <w:r w:rsidR="008B1A98">
        <w:rPr>
          <w:rFonts w:ascii="Times New Roman" w:hAnsi="Times New Roman" w:cs="Times New Roman"/>
        </w:rPr>
        <w:t xml:space="preserve"> While the High Court refused the opportunity to consider this,</w:t>
      </w:r>
      <w:r w:rsidR="008B1A98">
        <w:rPr>
          <w:rStyle w:val="FootnoteReference"/>
          <w:rFonts w:ascii="Times New Roman" w:hAnsi="Times New Roman" w:cs="Times New Roman"/>
        </w:rPr>
        <w:footnoteReference w:id="153"/>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Pr>
          <w:rStyle w:val="FootnoteReference"/>
          <w:rFonts w:ascii="Times New Roman" w:hAnsi="Times New Roman" w:cs="Times New Roman"/>
        </w:rPr>
        <w:footnoteReference w:id="154"/>
      </w:r>
      <w:r w:rsidR="003634F4">
        <w:rPr>
          <w:rFonts w:ascii="Times New Roman" w:hAnsi="Times New Roman" w:cs="Times New Roman"/>
        </w:rPr>
        <w:t xml:space="preserve"> and given the vast majority of automated systems in administrative decision-making at present,</w:t>
      </w:r>
      <w:r w:rsidR="003634F4">
        <w:rPr>
          <w:rStyle w:val="FootnoteReference"/>
          <w:rFonts w:ascii="Times New Roman" w:hAnsi="Times New Roman" w:cs="Times New Roman"/>
        </w:rPr>
        <w:footnoteReference w:id="155"/>
      </w:r>
      <w:r w:rsidR="003634F4">
        <w:rPr>
          <w:rFonts w:ascii="Times New Roman" w:hAnsi="Times New Roman" w:cs="Times New Roman"/>
        </w:rPr>
        <w:t xml:space="preserve"> it seems unlikely that the </w:t>
      </w:r>
      <w:r w:rsidR="003634F4">
        <w:rPr>
          <w:rFonts w:ascii="Times New Roman" w:hAnsi="Times New Roman" w:cs="Times New Roman"/>
          <w:i/>
          <w:iCs/>
        </w:rPr>
        <w:t xml:space="preserve">Pintarich </w:t>
      </w:r>
      <w:r w:rsidR="003634F4">
        <w:rPr>
          <w:rFonts w:ascii="Times New Roman" w:hAnsi="Times New Roman" w:cs="Times New Roman"/>
        </w:rPr>
        <w:lastRenderedPageBreak/>
        <w:t>decision should be taken to apply to all automated decisions.</w:t>
      </w:r>
      <w:r w:rsidR="00E9200B">
        <w:rPr>
          <w:rStyle w:val="FootnoteReference"/>
          <w:rFonts w:ascii="Times New Roman" w:hAnsi="Times New Roman" w:cs="Times New Roman"/>
        </w:rPr>
        <w:footnoteReference w:id="156"/>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Pr>
          <w:rStyle w:val="FootnoteReference"/>
          <w:rFonts w:ascii="Times New Roman" w:hAnsi="Times New Roman" w:cs="Times New Roman"/>
        </w:rPr>
        <w:footnoteReference w:id="157"/>
      </w:r>
      <w:r w:rsidR="00321CCD">
        <w:rPr>
          <w:rFonts w:ascii="Times New Roman" w:hAnsi="Times New Roman" w:cs="Times New Roman"/>
        </w:rPr>
        <w:t xml:space="preserve"> that, in contrast to Kerr J’s remarks, the facts did not involve the use of “automated ‘intelligent’ decision-making systems such as to lay down the application of some wider legal principle to such systems.”</w:t>
      </w:r>
      <w:r w:rsidR="00321CCD">
        <w:rPr>
          <w:rStyle w:val="FootnoteReference"/>
          <w:rFonts w:ascii="Times New Roman" w:hAnsi="Times New Roman" w:cs="Times New Roman"/>
        </w:rPr>
        <w:footnoteReference w:id="158"/>
      </w:r>
    </w:p>
    <w:p w14:paraId="20233552" w14:textId="031106DF"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EU. In extending such an analogy, a hypothetical binding context within which RaC might be deployed is as a piece of digitised legislation which is wholly equal in authority to its non-digitised counterpart, in much the same way that a given translation of an EU legal text has equal authority to all other translations.</w:t>
      </w:r>
      <w:r w:rsidR="00727ED7">
        <w:rPr>
          <w:rStyle w:val="FootnoteReference"/>
          <w:rFonts w:ascii="Times New Roman" w:hAnsi="Times New Roman" w:cs="Times New Roman"/>
        </w:rPr>
        <w:footnoteReference w:id="159"/>
      </w:r>
      <w:r w:rsidR="005F4A4C" w:rsidRPr="00FC0B34">
        <w:rPr>
          <w:rFonts w:ascii="Times New Roman" w:hAnsi="Times New Roman" w:cs="Times New Roman"/>
        </w:rPr>
        <w:t xml:space="preserve"> </w:t>
      </w:r>
      <w:r w:rsidR="00C31F75" w:rsidRPr="00FC0B34">
        <w:rPr>
          <w:rFonts w:ascii="Times New Roman" w:hAnsi="Times New Roman" w:cs="Times New Roman"/>
        </w:rPr>
        <w:t>As highlighted in Section II, the SoP is arguably present within the EU’s constitutional 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Pr>
          <w:rStyle w:val="FootnoteReference"/>
          <w:rFonts w:ascii="Times New Roman" w:hAnsi="Times New Roman" w:cs="Times New Roman"/>
        </w:rPr>
        <w:footnoteReference w:id="160"/>
      </w:r>
      <w:r w:rsidR="008555DF" w:rsidRPr="00FC0B34">
        <w:rPr>
          <w:rFonts w:ascii="Times New Roman" w:hAnsi="Times New Roman" w:cs="Times New Roman"/>
        </w:rPr>
        <w:t xml:space="preserve"> just as the federal courts of Australia enjoy the power to interpret Commonwealth legislation.</w:t>
      </w:r>
      <w:r w:rsidR="004D7EC5">
        <w:rPr>
          <w:rStyle w:val="FootnoteReference"/>
          <w:rFonts w:ascii="Times New Roman" w:hAnsi="Times New Roman" w:cs="Times New Roman"/>
        </w:rPr>
        <w:footnoteReference w:id="161"/>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FF395A">
        <w:rPr>
          <w:rStyle w:val="FootnoteReference"/>
        </w:rPr>
        <w:footnoteReference w:id="162"/>
      </w:r>
      <w:r w:rsidR="008555DF" w:rsidRPr="00FC0B34">
        <w:rPr>
          <w:rFonts w:ascii="Times New Roman" w:hAnsi="Times New Roman" w:cs="Times New Roman"/>
        </w:rPr>
        <w:t>, an executive body,</w:t>
      </w:r>
      <w:r w:rsidR="008555DF" w:rsidRPr="00FF395A">
        <w:rPr>
          <w:rStyle w:val="FootnoteReference"/>
        </w:rPr>
        <w:footnoteReference w:id="163"/>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Pr>
          <w:rStyle w:val="FootnoteReference"/>
          <w:rFonts w:ascii="Times New Roman" w:hAnsi="Times New Roman" w:cs="Times New Roman"/>
        </w:rPr>
        <w:footnoteReference w:id="164"/>
      </w:r>
      <w:r w:rsidR="00FC0B34" w:rsidRPr="00FC0B34">
        <w:rPr>
          <w:rFonts w:ascii="Times New Roman" w:hAnsi="Times New Roman" w:cs="Times New Roman"/>
        </w:rPr>
        <w:t xml:space="preserve"> in a process which blurs the SoP. In a </w:t>
      </w:r>
      <w:r w:rsidR="00FC0B34" w:rsidRPr="00FC0B34">
        <w:rPr>
          <w:rFonts w:ascii="Times New Roman" w:hAnsi="Times New Roman" w:cs="Times New Roman"/>
        </w:rPr>
        <w:lastRenderedPageBreak/>
        <w:t>departure from the analogy to Australia’s constitutional framework, however, the executive body of the EU, the European Commission, also operates as a legislative body and holds the sole right to legislative initiation.</w:t>
      </w:r>
      <w:r w:rsidR="00FC0B34">
        <w:rPr>
          <w:rStyle w:val="FootnoteReference"/>
          <w:rFonts w:ascii="Times New Roman" w:hAnsi="Times New Roman" w:cs="Times New Roman"/>
        </w:rPr>
        <w:footnoteReference w:id="165"/>
      </w:r>
      <w:r w:rsidR="00FC0B34" w:rsidRPr="00FC0B34">
        <w:rPr>
          <w:rFonts w:ascii="Times New Roman" w:hAnsi="Times New Roman" w:cs="Times New Roman"/>
        </w:rPr>
        <w:t xml:space="preserve"> In this sense, the entire translation process might be deemed to be carried out by the legislature, though the presence of the Directorate-General for Translation, an agency of the European Commission within its capacity as a body of the executive,</w:t>
      </w:r>
      <w:r w:rsidR="00FC0B34">
        <w:rPr>
          <w:rStyle w:val="FootnoteReference"/>
          <w:rFonts w:ascii="Times New Roman" w:hAnsi="Times New Roman" w:cs="Times New Roman"/>
        </w:rPr>
        <w:footnoteReference w:id="166"/>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new drafts which are functionally equivalent to the original law. Encroachment upon the judicial power of interpretation, therefore, is avoided in entirety, and the SoP is upheld.</w:t>
      </w:r>
    </w:p>
    <w:p w14:paraId="34AAAA4A" w14:textId="1444C2B1"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t>Similarly, in an Australian context considering RaC in the place of multilingual legislation, while the executive is forbidden from creating law,</w:t>
      </w:r>
      <w:r>
        <w:rPr>
          <w:rStyle w:val="FootnoteReference"/>
          <w:rFonts w:ascii="Times New Roman" w:hAnsi="Times New Roman" w:cs="Times New Roman"/>
        </w:rPr>
        <w:footnoteReference w:id="167"/>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SoP.</w:t>
      </w:r>
      <w:r>
        <w:rPr>
          <w:rStyle w:val="FootnoteReference"/>
          <w:rFonts w:ascii="Times New Roman" w:hAnsi="Times New Roman" w:cs="Times New Roman"/>
        </w:rPr>
        <w:footnoteReference w:id="168"/>
      </w:r>
      <w:r>
        <w:rPr>
          <w:rFonts w:ascii="Times New Roman" w:hAnsi="Times New Roman" w:cs="Times New Roman"/>
        </w:rPr>
        <w:t xml:space="preserve">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Of course, whether or not such authority should be applied to the output of an RaC application given accurate inputs is an entirely separate question.</w:t>
      </w:r>
    </w:p>
    <w:p w14:paraId="6357B92D" w14:textId="5B2355D8" w:rsidR="00B635C7" w:rsidRDefault="00B635C7" w:rsidP="00D837A9">
      <w:pPr>
        <w:spacing w:line="480" w:lineRule="auto"/>
        <w:jc w:val="both"/>
      </w:pPr>
      <w:r>
        <w:rPr>
          <w:rFonts w:ascii="Times New Roman" w:hAnsi="Times New Roman" w:cs="Times New Roman"/>
        </w:rPr>
        <w:t>Concerns of incorrect conclusions might be soothed</w:t>
      </w:r>
      <w:r w:rsidR="00D837A9">
        <w:rPr>
          <w:rFonts w:ascii="Times New Roman" w:hAnsi="Times New Roman" w:cs="Times New Roman"/>
        </w:rPr>
        <w:t xml:space="preserve"> through an overriding principal that, in the event of dispute, the judiciary may preference a standard legal text over its RaC counterpart. </w:t>
      </w:r>
      <w:r w:rsidR="006F1425">
        <w:rPr>
          <w:rFonts w:ascii="Times New Roman" w:hAnsi="Times New Roman" w:cs="Times New Roman"/>
        </w:rPr>
        <w:t>Despite the EU’s principal of lingual equality in law, e</w:t>
      </w:r>
      <w:r w:rsidR="00754C41">
        <w:t>arly CJEU cases would, at times, preference original legislative drafts over their translations</w:t>
      </w:r>
      <w:r w:rsidR="006F1425">
        <w:t>.</w:t>
      </w:r>
      <w:r w:rsidRPr="00FF395A">
        <w:rPr>
          <w:rStyle w:val="FootnoteReference"/>
        </w:rPr>
        <w:footnoteReference w:id="169"/>
      </w:r>
      <w:r>
        <w:t xml:space="preserve"> </w:t>
      </w:r>
      <w:r>
        <w:rPr>
          <w:i/>
          <w:iCs/>
        </w:rPr>
        <w:t>Stauder v City of Ulm</w:t>
      </w:r>
      <w:r w:rsidR="006F1425">
        <w:t>,</w:t>
      </w:r>
      <w:r w:rsidRPr="00FF395A">
        <w:rPr>
          <w:rStyle w:val="FootnoteReference"/>
        </w:rPr>
        <w:footnoteReference w:id="170"/>
      </w:r>
      <w:r w:rsidR="006F1425">
        <w:t xml:space="preserve"> for example,</w:t>
      </w:r>
      <w:r>
        <w:rPr>
          <w:i/>
          <w:iCs/>
        </w:rPr>
        <w:t xml:space="preserve"> </w:t>
      </w:r>
      <w:r>
        <w:t xml:space="preserve">saw </w:t>
      </w:r>
      <w:r w:rsidR="006F1425">
        <w:t>the original draft of a regulation in</w:t>
      </w:r>
      <w:r>
        <w:t xml:space="preserve"> French accepted over</w:t>
      </w:r>
      <w:r w:rsidR="006F1425">
        <w:t xml:space="preserve"> its equally reasonable</w:t>
      </w:r>
      <w:r>
        <w:t xml:space="preserve"> German and Dutch </w:t>
      </w:r>
      <w:r w:rsidR="006F1425">
        <w:t>translations</w:t>
      </w:r>
      <w:r>
        <w:t xml:space="preserve">, with the </w:t>
      </w:r>
      <w:r>
        <w:lastRenderedPageBreak/>
        <w:t>court concluding that the variation in the latter two must have stemmed from translational errors.</w:t>
      </w:r>
      <w:r w:rsidRPr="00FF395A">
        <w:rPr>
          <w:rStyle w:val="FootnoteReference"/>
        </w:rPr>
        <w:footnoteReference w:id="171"/>
      </w:r>
      <w:r>
        <w:t xml:space="preserve"> Solan notes that this approach is the “functional equivalent of selecting an official language” and that as such, it has been used less in recent years so as to avoid encroaching on the sovereignty and equality of its members.</w:t>
      </w:r>
      <w:r w:rsidRPr="00FF395A">
        <w:rPr>
          <w:rStyle w:val="FootnoteReference"/>
        </w:rPr>
        <w:footnoteReference w:id="172"/>
      </w:r>
      <w:r>
        <w:t xml:space="preserve"> While such concerns are perfectly </w:t>
      </w:r>
      <w:r w:rsidR="00D05024">
        <w:t>valid</w:t>
      </w:r>
      <w:r>
        <w:t xml:space="preserve">, </w:t>
      </w:r>
      <w:r w:rsidR="00D05024">
        <w:t>no such concerns could be reasonably applied to the relationship of digital and non-digital legislation</w:t>
      </w:r>
      <w:r>
        <w:t xml:space="preserve">, and </w:t>
      </w:r>
      <w:r w:rsidR="00D05024">
        <w:t>thus, a principal recognising the latter as more authoritative in the event of a dispute is likely to be uncontroversial</w:t>
      </w:r>
      <w:r w:rsidR="00014D3D">
        <w:t>.</w:t>
      </w:r>
      <w:r w:rsidR="00D05024">
        <w:rPr>
          <w:rStyle w:val="FootnoteReference"/>
        </w:rPr>
        <w:footnoteReference w:id="173"/>
      </w:r>
      <w:r w:rsidR="00014D3D">
        <w:t xml:space="preserve"> </w:t>
      </w:r>
      <w:r w:rsidR="00C31F75">
        <w:t>Indeed, identifying an RaC application as legally inferior to standard legislation could allow it to be deemed ‘delegated legislation’ as prepared by a body of the executive, as opposed to a ‘copy’ and, therefore, interpretation of the given act,</w:t>
      </w:r>
      <w:r w:rsidR="00C31F75">
        <w:rPr>
          <w:rStyle w:val="FootnoteReference"/>
        </w:rPr>
        <w:footnoteReference w:id="174"/>
      </w:r>
      <w:r w:rsidR="00C31F75">
        <w:t xml:space="preserve"> and in this sense, avoid breaching or blurring the SoP beyond those breaches which are already present in the numerous regulations prescribed by administrative bodies.</w:t>
      </w:r>
    </w:p>
    <w:p w14:paraId="46E35107" w14:textId="272E1158" w:rsidR="001C1F2A" w:rsidRDefault="00607F92" w:rsidP="00D837A9">
      <w:pPr>
        <w:spacing w:line="480" w:lineRule="auto"/>
        <w:jc w:val="both"/>
      </w:pPr>
      <w:r>
        <w:t xml:space="preserve">In light of such drafting processes, it </w:t>
      </w:r>
      <w:r w:rsidR="004760AE">
        <w:t>becomes apparent</w:t>
      </w:r>
      <w:r>
        <w:t xml:space="preserve"> how the multilingual approach might inform where an RaC application </w:t>
      </w:r>
      <w:r w:rsidR="004760AE">
        <w:t>could</w:t>
      </w:r>
      <w:r>
        <w:t xml:space="preserve"> fit along the spectrum of legal authority. </w:t>
      </w:r>
      <w:r w:rsidR="001C1F2A">
        <w:t>Following the approach adopted by monolingual nations with diversified populations, the application might be considered merely advisory but lacking legal force,</w:t>
      </w:r>
      <w:r w:rsidR="001C1F2A">
        <w:rPr>
          <w:rStyle w:val="FootnoteReference"/>
        </w:rPr>
        <w:footnoteReference w:id="175"/>
      </w:r>
      <w:r w:rsidR="001C1F2A">
        <w:t xml:space="preserve"> presenting a solution to the status quo issue raised in Section II of inefficiency in development of private compliance systems. While a judicially influential categorisation would be largely redundant given how rarely Chapter III disputes reach the courts,</w:t>
      </w:r>
      <w:r w:rsidR="001C1F2A">
        <w:rPr>
          <w:rStyle w:val="FootnoteReference"/>
        </w:rPr>
        <w:footnoteReference w:id="176"/>
      </w:r>
      <w:r w:rsidR="001C1F2A">
        <w:t xml:space="preserve"> the EU approach sheds light on how an RaC application could be accepted as binding insofar that the SoP is concerned</w:t>
      </w:r>
      <w:r w:rsidR="004760AE">
        <w:t xml:space="preserve">, though </w:t>
      </w:r>
      <w:r w:rsidR="001C1F2A">
        <w:t>whether such a solution should be adopted in practice depends largely upon how accurately it represents the letter of the law.</w:t>
      </w:r>
    </w:p>
    <w:p w14:paraId="411F283E" w14:textId="77777777" w:rsidR="00B635C7" w:rsidRPr="00B635C7" w:rsidRDefault="00B635C7" w:rsidP="00B635C7">
      <w:pPr>
        <w:spacing w:line="480" w:lineRule="auto"/>
        <w:jc w:val="both"/>
        <w:rPr>
          <w:rFonts w:ascii="Times New Roman" w:hAnsi="Times New Roman" w:cs="Times New Roman"/>
        </w:rPr>
      </w:pPr>
    </w:p>
    <w:p w14:paraId="257715FC" w14:textId="77777777" w:rsidR="00AB280C" w:rsidRPr="003427E4" w:rsidRDefault="00AB280C" w:rsidP="00AB280C">
      <w:pPr>
        <w:pStyle w:val="ListParagraph"/>
        <w:numPr>
          <w:ilvl w:val="0"/>
          <w:numId w:val="9"/>
        </w:numPr>
        <w:spacing w:line="480" w:lineRule="auto"/>
        <w:jc w:val="both"/>
        <w:rPr>
          <w:rFonts w:ascii="Times New Roman" w:hAnsi="Times New Roman" w:cs="Times New Roman"/>
          <w:strike/>
        </w:rPr>
      </w:pPr>
      <w:r w:rsidRPr="003427E4">
        <w:rPr>
          <w:rFonts w:ascii="Times New Roman" w:hAnsi="Times New Roman" w:cs="Times New Roman"/>
          <w:strike/>
        </w:rPr>
        <w:lastRenderedPageBreak/>
        <w:t>^^^ Obviously the outputted conclusions of such a system could only be binding so far as the inputs relied upon are accurate. – Is a decision still binding where the facts relied upon are false? TODO</w:t>
      </w:r>
    </w:p>
    <w:p w14:paraId="44A1364B" w14:textId="77777777" w:rsidR="00E44343" w:rsidRPr="00E44343" w:rsidRDefault="00E44343" w:rsidP="00E44343">
      <w:pPr>
        <w:pStyle w:val="ListParagraph"/>
        <w:spacing w:line="480" w:lineRule="auto"/>
        <w:ind w:left="1440"/>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392FED35" w14:textId="14E2F28A" w:rsidR="00E44343" w:rsidRPr="00834C6B" w:rsidRDefault="00E44343" w:rsidP="00E44343">
      <w:pPr>
        <w:spacing w:line="480" w:lineRule="auto"/>
        <w:jc w:val="both"/>
        <w:rPr>
          <w:rFonts w:ascii="Times New Roman" w:hAnsi="Times New Roman" w:cs="Times New Roman"/>
        </w:rPr>
      </w:pPr>
      <w:r w:rsidRPr="003427E4">
        <w:rPr>
          <w:rFonts w:ascii="Times New Roman" w:hAnsi="Times New Roman" w:cs="Times New Roman"/>
          <w:strike/>
        </w:rPr>
        <w:t>In maintaining fidelity throughout the coding process, a combination of the modern approach to statutory interpretation,</w:t>
      </w:r>
      <w:r w:rsidRPr="003427E4">
        <w:rPr>
          <w:rStyle w:val="FootnoteReference"/>
          <w:rFonts w:ascii="Times New Roman" w:hAnsi="Times New Roman" w:cs="Times New Roman"/>
          <w:strike/>
        </w:rPr>
        <w:footnoteReference w:id="177"/>
      </w:r>
      <w:r w:rsidRPr="003427E4">
        <w:rPr>
          <w:rFonts w:ascii="Times New Roman" w:hAnsi="Times New Roman" w:cs="Times New Roman"/>
          <w:strike/>
        </w:rPr>
        <w:t xml:space="preserve"> embodied in </w:t>
      </w:r>
      <w:r w:rsidRPr="003427E4">
        <w:rPr>
          <w:rFonts w:ascii="Times New Roman" w:hAnsi="Times New Roman" w:cs="Times New Roman"/>
          <w:i/>
          <w:iCs/>
          <w:strike/>
        </w:rPr>
        <w:t>Project Blue Sky v Australian Broadcasting Authority</w:t>
      </w:r>
      <w:r w:rsidRPr="003427E4">
        <w:rPr>
          <w:rStyle w:val="FootnoteReference"/>
          <w:rFonts w:ascii="Times New Roman" w:hAnsi="Times New Roman" w:cs="Times New Roman"/>
          <w:strike/>
        </w:rPr>
        <w:footnoteReference w:id="178"/>
      </w:r>
      <w:r w:rsidRPr="003427E4">
        <w:rPr>
          <w:rFonts w:ascii="Times New Roman" w:hAnsi="Times New Roman" w:cs="Times New Roman"/>
          <w:i/>
          <w:iCs/>
          <w:strike/>
        </w:rPr>
        <w:t xml:space="preserve"> </w:t>
      </w:r>
      <w:r w:rsidRPr="003427E4">
        <w:rPr>
          <w:rFonts w:ascii="Times New Roman" w:hAnsi="Times New Roman" w:cs="Times New Roman"/>
          <w:strike/>
        </w:rPr>
        <w:t>(“</w:t>
      </w:r>
      <w:r w:rsidRPr="003427E4">
        <w:rPr>
          <w:rFonts w:ascii="Times New Roman" w:hAnsi="Times New Roman" w:cs="Times New Roman"/>
          <w:i/>
          <w:iCs/>
          <w:strike/>
        </w:rPr>
        <w:t>Project Blue Sky”</w:t>
      </w:r>
      <w:r w:rsidRPr="003427E4">
        <w:rPr>
          <w:rFonts w:ascii="Times New Roman" w:hAnsi="Times New Roman" w:cs="Times New Roman"/>
          <w:strike/>
        </w:rPr>
        <w:t>)</w:t>
      </w:r>
    </w:p>
    <w:p w14:paraId="617F6083" w14:textId="43F02482" w:rsidR="00834C6B" w:rsidRPr="00834C6B" w:rsidRDefault="00230627" w:rsidP="00834C6B">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Theories of legal translation have evolved from mere ruminations of translational theorists to their own widely considered field. Consequently, approaches to legal translation have become more nuanced, acknowledging, for example, the error of attempting to apply the traditionally accepted recipient-oriented translational approach, which threatens “dethronement” of the source text,</w:t>
      </w:r>
      <w:r>
        <w:rPr>
          <w:rStyle w:val="FootnoteReference"/>
          <w:rFonts w:ascii="Times New Roman" w:hAnsi="Times New Roman" w:cs="Times New Roman"/>
        </w:rPr>
        <w:footnoteReference w:id="179"/>
      </w:r>
      <w:r>
        <w:rPr>
          <w:rFonts w:ascii="Times New Roman" w:hAnsi="Times New Roman" w:cs="Times New Roman"/>
        </w:rPr>
        <w:t xml:space="preserve"> to legal texts</w:t>
      </w:r>
      <w:r w:rsidR="00520E50">
        <w:rPr>
          <w:rFonts w:ascii="Times New Roman" w:hAnsi="Times New Roman" w:cs="Times New Roman"/>
        </w:rPr>
        <w:t>.</w:t>
      </w:r>
    </w:p>
    <w:p w14:paraId="06487240" w14:textId="28E06B6F" w:rsidR="00E462F3" w:rsidRDefault="00E462F3" w:rsidP="00A16C74">
      <w:pPr>
        <w:pStyle w:val="ListParagraph"/>
        <w:numPr>
          <w:ilvl w:val="0"/>
          <w:numId w:val="9"/>
        </w:numPr>
        <w:spacing w:line="480" w:lineRule="auto"/>
        <w:jc w:val="both"/>
        <w:rPr>
          <w:rFonts w:ascii="Times New Roman" w:hAnsi="Times New Roman" w:cs="Times New Roman"/>
        </w:rPr>
      </w:pPr>
      <w:r w:rsidRPr="002A65A3">
        <w:rPr>
          <w:rFonts w:ascii="Times New Roman" w:hAnsi="Times New Roman" w:cs="Times New Roman"/>
        </w:rPr>
        <w:t xml:space="preserve">Solan </w:t>
      </w:r>
      <w:r w:rsidR="002A65A3" w:rsidRPr="002A65A3">
        <w:rPr>
          <w:rFonts w:ascii="Times New Roman" w:hAnsi="Times New Roman" w:cs="Times New Roman"/>
        </w:rPr>
        <w:t>shows</w:t>
      </w:r>
      <w:r w:rsidRPr="002A65A3">
        <w:rPr>
          <w:rFonts w:ascii="Times New Roman" w:hAnsi="Times New Roman" w:cs="Times New Roman"/>
        </w:rPr>
        <w:t xml:space="preserve"> that</w:t>
      </w:r>
      <w:r w:rsidR="002A65A3" w:rsidRPr="002A65A3">
        <w:rPr>
          <w:rFonts w:ascii="Times New Roman" w:hAnsi="Times New Roman" w:cs="Times New Roman"/>
        </w:rPr>
        <w:t>, rather than a hinderance, the CJEU has viewed the wide variety of translations available as a “unique kind of evidence of purpose”,</w:t>
      </w:r>
      <w:r w:rsidR="002A65A3">
        <w:rPr>
          <w:rStyle w:val="FootnoteReference"/>
          <w:rFonts w:ascii="Times New Roman" w:hAnsi="Times New Roman" w:cs="Times New Roman"/>
        </w:rPr>
        <w:footnoteReference w:id="180"/>
      </w:r>
      <w:r w:rsidR="002A65A3" w:rsidRPr="002A65A3">
        <w:rPr>
          <w:rFonts w:ascii="Times New Roman" w:hAnsi="Times New Roman" w:cs="Times New Roman"/>
        </w:rPr>
        <w:t xml:space="preserve"> serving as a further tool into the intent of the legislature. Indeed, in this context, and in light of the potential drafting process explored in the prior subsection, the presence of a translation of legislation into logical</w:t>
      </w:r>
      <w:r w:rsidR="002A65A3">
        <w:rPr>
          <w:rFonts w:ascii="Times New Roman" w:hAnsi="Times New Roman" w:cs="Times New Roman"/>
        </w:rPr>
        <w:t xml:space="preserve"> code could help to outline its true intent.</w:t>
      </w:r>
    </w:p>
    <w:p w14:paraId="0633205F" w14:textId="233A768E" w:rsidR="00834C6B" w:rsidRDefault="00834C6B" w:rsidP="00A16C74">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 xml:space="preserve">The initial approach adopted by Canadian legislative translators, for example, was one which saw no interpretative power and a requirement to translate the source text to the ex </w:t>
      </w:r>
    </w:p>
    <w:p w14:paraId="44864B47" w14:textId="489E9125" w:rsidR="002378E1" w:rsidRDefault="002378E1" w:rsidP="00A16C74">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 xml:space="preserve">(cutting down of repetition (ie 133) is justified in context of multilingual translative strategies) – In Canada, legal translators had no interpretative powers and were required to translate the source text to the exact word, even where such translation was superfluous. However, when </w:t>
      </w:r>
      <w:r>
        <w:rPr>
          <w:rFonts w:ascii="Times New Roman" w:hAnsi="Times New Roman" w:cs="Times New Roman"/>
        </w:rPr>
        <w:lastRenderedPageBreak/>
        <w:t>that changed there was no harm seen</w:t>
      </w:r>
      <w:r w:rsidR="00607F92">
        <w:rPr>
          <w:rFonts w:ascii="Times New Roman" w:hAnsi="Times New Roman" w:cs="Times New Roman"/>
        </w:rPr>
        <w:t>, and the Canadian Parliament has established English and French translations as being identical in legal content, intent and effect.</w:t>
      </w:r>
      <w:r>
        <w:rPr>
          <w:rFonts w:ascii="Times New Roman" w:hAnsi="Times New Roman" w:cs="Times New Roman"/>
        </w:rPr>
        <w:t xml:space="preserve"> (Ashgate page 240</w:t>
      </w:r>
      <w:r w:rsidR="00607F92">
        <w:rPr>
          <w:rFonts w:ascii="Times New Roman" w:hAnsi="Times New Roman" w:cs="Times New Roman"/>
        </w:rPr>
        <w:t>, also Didier in Ashgate at 240</w:t>
      </w:r>
      <w:r>
        <w:rPr>
          <w:rFonts w:ascii="Times New Roman" w:hAnsi="Times New Roman" w:cs="Times New Roman"/>
        </w:rPr>
        <w:t>)</w:t>
      </w:r>
    </w:p>
    <w:p w14:paraId="3C06ACB2" w14:textId="77777777" w:rsidR="00E462F3" w:rsidRPr="00E462F3" w:rsidRDefault="00E462F3" w:rsidP="00E462F3">
      <w:pPr>
        <w:pStyle w:val="ListParagraph"/>
        <w:spacing w:line="480" w:lineRule="auto"/>
        <w:jc w:val="both"/>
        <w:rPr>
          <w:rFonts w:ascii="Times New Roman" w:hAnsi="Times New Roman" w:cs="Times New Roman"/>
        </w:rPr>
      </w:pPr>
    </w:p>
    <w:p w14:paraId="7C732FA3" w14:textId="51D39A8F" w:rsidR="00E9200B" w:rsidRPr="00E44343" w:rsidRDefault="00E9200B" w:rsidP="00E44343">
      <w:pPr>
        <w:spacing w:line="480" w:lineRule="auto"/>
        <w:jc w:val="both"/>
        <w:rPr>
          <w:rFonts w:ascii="Times New Roman" w:hAnsi="Times New Roman" w:cs="Times New Roman"/>
        </w:rPr>
      </w:pPr>
      <w:r>
        <w:rPr>
          <w:rFonts w:ascii="Times New Roman" w:hAnsi="Times New Roman" w:cs="Times New Roman"/>
        </w:rPr>
        <w:t>TODO Courts generally cannot provide advice without cause (find authority), however, UK courts have overridden this</w:t>
      </w:r>
      <w:r>
        <w:rPr>
          <w:rStyle w:val="FootnoteReference"/>
          <w:rFonts w:ascii="Times New Roman" w:hAnsi="Times New Roman" w:cs="Times New Roman"/>
        </w:rPr>
        <w:footnoteReference w:id="181"/>
      </w:r>
    </w:p>
    <w:p w14:paraId="2594ACBD" w14:textId="77777777" w:rsidR="00096FD9" w:rsidRPr="00852A53" w:rsidRDefault="00096FD9" w:rsidP="00096FD9">
      <w:pPr>
        <w:pStyle w:val="ListParagraph"/>
        <w:numPr>
          <w:ilvl w:val="0"/>
          <w:numId w:val="8"/>
        </w:numPr>
        <w:rPr>
          <w:strike/>
        </w:rPr>
      </w:pPr>
      <w:r w:rsidRPr="00852A53">
        <w:rPr>
          <w:strike/>
        </w:rPr>
        <w:t>Augustinian interpretation (Using multiple versions of the same law) is popular in multilingual interpretation, but cannot really apply to Australian rules as code.</w:t>
      </w:r>
    </w:p>
    <w:p w14:paraId="73C05D46" w14:textId="77777777" w:rsidR="00096FD9" w:rsidRDefault="00096FD9" w:rsidP="001D223E">
      <w:pPr>
        <w:spacing w:line="480" w:lineRule="auto"/>
      </w:pPr>
    </w:p>
    <w:p w14:paraId="189F48AA" w14:textId="77777777" w:rsidR="00096FD9" w:rsidRDefault="00096FD9" w:rsidP="001D223E">
      <w:pPr>
        <w:spacing w:line="480" w:lineRule="auto"/>
        <w:rPr>
          <w:rFonts w:ascii="Times New Roman" w:hAnsi="Times New Roman" w:cs="Times New Roman"/>
        </w:rPr>
      </w:pPr>
    </w:p>
    <w:p w14:paraId="29E941FD" w14:textId="3694796E"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305EC3E7" w14:textId="0BA00602" w:rsidR="009003EA" w:rsidRDefault="009003EA" w:rsidP="009003EA">
      <w:pPr>
        <w:spacing w:line="480" w:lineRule="auto"/>
        <w:jc w:val="both"/>
        <w:rPr>
          <w:strike/>
          <w:sz w:val="24"/>
          <w:szCs w:val="24"/>
        </w:rPr>
      </w:pPr>
      <w:r w:rsidRPr="009003EA">
        <w:rPr>
          <w:rFonts w:ascii="Times New Roman" w:hAnsi="Times New Roman" w:cs="Times New Roman"/>
          <w:strike/>
          <w:sz w:val="24"/>
          <w:szCs w:val="24"/>
        </w:rPr>
        <w:t xml:space="preserve">This programming approach was consistent with the judicial decision-making process deployed in Chapter III determinations by emulating the object-oriented approach taken in </w:t>
      </w:r>
      <w:r w:rsidRPr="009003EA">
        <w:rPr>
          <w:i/>
          <w:iCs/>
          <w:strike/>
          <w:sz w:val="24"/>
          <w:szCs w:val="24"/>
        </w:rPr>
        <w:t>Australian Securities and Investments Commission v Westpac Banking Corporation,</w:t>
      </w:r>
      <w:r w:rsidRPr="009003EA">
        <w:rPr>
          <w:rStyle w:val="FootnoteReference"/>
          <w:i/>
          <w:iCs/>
          <w:strike/>
          <w:sz w:val="24"/>
          <w:szCs w:val="24"/>
        </w:rPr>
        <w:footnoteReference w:id="182"/>
      </w:r>
      <w:r w:rsidRPr="009003EA">
        <w:rPr>
          <w:strike/>
          <w:sz w:val="24"/>
          <w:szCs w:val="24"/>
        </w:rPr>
        <w:t xml:space="preserve"> in which it was held that, contrary to the primary judge’s view,</w:t>
      </w:r>
      <w:r w:rsidRPr="009003EA">
        <w:rPr>
          <w:rStyle w:val="FootnoteReference"/>
          <w:strike/>
          <w:sz w:val="24"/>
          <w:szCs w:val="24"/>
        </w:rPr>
        <w:footnoteReference w:id="183"/>
      </w:r>
      <w:r w:rsidRPr="009003EA">
        <w:rPr>
          <w:strike/>
          <w:sz w:val="24"/>
          <w:szCs w:val="24"/>
        </w:rPr>
        <w:t xml:space="preserve"> an ‘assessment’ for the purposes of Division 3</w:t>
      </w:r>
      <w:r w:rsidRPr="009003EA">
        <w:rPr>
          <w:rStyle w:val="FootnoteReference"/>
          <w:strike/>
          <w:sz w:val="24"/>
          <w:szCs w:val="24"/>
        </w:rPr>
        <w:footnoteReference w:id="184"/>
      </w:r>
      <w:r w:rsidRPr="009003EA">
        <w:rPr>
          <w:strike/>
          <w:sz w:val="24"/>
          <w:szCs w:val="24"/>
        </w:rPr>
        <w:t xml:space="preserve"> was a legal construct that persisted across provisions regardless of whether it was valid</w:t>
      </w:r>
    </w:p>
    <w:p w14:paraId="1C870B10"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Australia has embraced a non-formalist legal approach by the very nature of its common law system and the modern approach to statutory interpretation, and this has extended beyond the judiciary to the legislature as well.</w:t>
      </w:r>
    </w:p>
    <w:p w14:paraId="03C0355D"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lastRenderedPageBreak/>
        <w:t>Much of the law of the Commonwealth, including the NCCP Act, is written in a way which is simply incompatible with the absolute formalist who abides by the notion that the role of the courts is simply to be the mouthpiece of the law.</w:t>
      </w:r>
    </w:p>
    <w:p w14:paraId="7FCBEE5F"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This became apparent ear</w:t>
      </w:r>
    </w:p>
    <w:p w14:paraId="1513328D" w14:textId="77777777" w:rsidR="00F64D9C" w:rsidRPr="000E274A" w:rsidRDefault="00F64D9C" w:rsidP="009003EA">
      <w:pPr>
        <w:spacing w:line="480" w:lineRule="auto"/>
        <w:jc w:val="both"/>
        <w:rPr>
          <w:rFonts w:ascii="Times New Roman" w:hAnsi="Times New Roman" w:cs="Times New Roman"/>
          <w:sz w:val="24"/>
          <w:szCs w:val="24"/>
        </w:rPr>
      </w:pPr>
    </w:p>
    <w:p w14:paraId="3E8E39ED" w14:textId="77777777" w:rsidR="009003EA" w:rsidRDefault="009003EA" w:rsidP="009003EA">
      <w:pPr>
        <w:spacing w:line="480" w:lineRule="auto"/>
        <w:jc w:val="both"/>
        <w:rPr>
          <w:rFonts w:ascii="Times New Roman" w:hAnsi="Times New Roman" w:cs="Times New Roman"/>
          <w:sz w:val="24"/>
          <w:szCs w:val="24"/>
        </w:rPr>
      </w:pPr>
    </w:p>
    <w:p w14:paraId="6062E5CB" w14:textId="77777777" w:rsidR="001152C3" w:rsidRDefault="001152C3" w:rsidP="001D223E">
      <w:pPr>
        <w:spacing w:line="480" w:lineRule="auto"/>
        <w:rPr>
          <w:rFonts w:ascii="Times New Roman" w:hAnsi="Times New Roman" w:cs="Times New Roman"/>
        </w:rPr>
      </w:pPr>
    </w:p>
    <w:p w14:paraId="1214AF30" w14:textId="790343FA"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 xml:space="preserve">A </w:t>
      </w:r>
      <w:r w:rsidRPr="00157B24">
        <w:rPr>
          <w:rFonts w:ascii="Times New Roman" w:hAnsi="Times New Roman" w:cs="Times New Roman"/>
          <w:i/>
          <w:iCs/>
          <w:sz w:val="24"/>
          <w:szCs w:val="24"/>
        </w:rPr>
        <w:t>Articles/Books/Reports</w:t>
      </w:r>
    </w:p>
    <w:p w14:paraId="0B3ED310" w14:textId="0433CCE1" w:rsidR="00E9200B" w:rsidRPr="00E9200B" w:rsidRDefault="00E9200B" w:rsidP="00141674">
      <w:pPr>
        <w:spacing w:line="480" w:lineRule="auto"/>
        <w:ind w:firstLine="720"/>
        <w:rPr>
          <w:rFonts w:ascii="Times New Roman" w:hAnsi="Times New Roman" w:cs="Times New Roman"/>
          <w:sz w:val="20"/>
          <w:szCs w:val="20"/>
        </w:rPr>
      </w:pPr>
      <w:r w:rsidRPr="00E9200B">
        <w:rPr>
          <w:rFonts w:ascii="Times New Roman" w:hAnsi="Times New Roman" w:cs="Times New Roman"/>
          <w:sz w:val="20"/>
          <w:szCs w:val="24"/>
        </w:rPr>
        <w:t xml:space="preserve">Administrative Review Council, </w:t>
      </w:r>
      <w:r w:rsidRPr="00E9200B">
        <w:rPr>
          <w:rFonts w:ascii="Times New Roman" w:hAnsi="Times New Roman" w:cs="Times New Roman"/>
          <w:i/>
          <w:iCs/>
          <w:sz w:val="20"/>
          <w:szCs w:val="24"/>
        </w:rPr>
        <w:t>Automated Assistance in Administrative Decision Making</w:t>
      </w:r>
      <w:r w:rsidRPr="00E9200B">
        <w:rPr>
          <w:rFonts w:ascii="Times New Roman" w:hAnsi="Times New Roman" w:cs="Times New Roman"/>
          <w:sz w:val="20"/>
          <w:szCs w:val="24"/>
        </w:rPr>
        <w:t xml:space="preserve"> (No 46) vii &lt;https://www.ag.gov.au/legal-system/publications/report-46-automated-assistance-administrative-decision-making-2004&gt;</w:t>
      </w:r>
    </w:p>
    <w:p w14:paraId="24607400" w14:textId="42928D2D" w:rsidR="001F1318" w:rsidRPr="00157B24" w:rsidRDefault="001F1318"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Ainsworth, Janet, King Kui Sin, ‘Lost in Translation? Linguistic Diversity and the Elusive Quest for Plain Meaning in the Law’ in </w:t>
      </w:r>
      <w:r w:rsidRPr="00157B24">
        <w:rPr>
          <w:rFonts w:ascii="Times New Roman" w:hAnsi="Times New Roman" w:cs="Times New Roman"/>
          <w:i/>
          <w:iCs/>
          <w:sz w:val="20"/>
          <w:szCs w:val="20"/>
        </w:rPr>
        <w:t>The Ashgate Handbook of Legal Translation</w:t>
      </w:r>
      <w:r w:rsidRPr="00157B24">
        <w:rPr>
          <w:rFonts w:ascii="Times New Roman" w:hAnsi="Times New Roman" w:cs="Times New Roman"/>
          <w:sz w:val="20"/>
          <w:szCs w:val="20"/>
        </w:rPr>
        <w:t xml:space="preserve"> (Routledge, 2016) 43 &lt;http://www.taylorfrancis.com/books/e/9781315612706&gt;</w:t>
      </w:r>
    </w:p>
    <w:p w14:paraId="2791758A" w14:textId="517F86BA"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Angwin, Julia, and Jeff Larson, ‘ProPublica Responds to Company’s Critique of Machine Bias Story’, </w:t>
      </w:r>
      <w:r w:rsidRPr="00157B24">
        <w:rPr>
          <w:rFonts w:ascii="Times New Roman" w:hAnsi="Times New Roman" w:cs="Times New Roman"/>
          <w:i/>
          <w:iCs/>
          <w:sz w:val="20"/>
          <w:szCs w:val="20"/>
        </w:rPr>
        <w:t>ProPublica</w:t>
      </w:r>
      <w:r w:rsidRPr="00157B24">
        <w:rPr>
          <w:rFonts w:ascii="Times New Roman" w:hAnsi="Times New Roman" w:cs="Times New Roman"/>
          <w:sz w:val="20"/>
          <w:szCs w:val="20"/>
        </w:rPr>
        <w:t xml:space="preserve"> (online, 29 July 2016) &lt;https://www.propublica.org/article/propublica-responds-to-companys-critique-of-machine-bias-story&gt;</w:t>
      </w:r>
    </w:p>
    <w:p w14:paraId="7B76EE8F" w14:textId="72C26B0B"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Allen, Layman, and C Engholm, ‘Normalized Legal Drafting and the Query Method’ (1978) 29 </w:t>
      </w:r>
      <w:r w:rsidRPr="00157B24">
        <w:rPr>
          <w:rFonts w:ascii="Times New Roman" w:hAnsi="Times New Roman" w:cs="Times New Roman"/>
          <w:i/>
          <w:iCs/>
          <w:sz w:val="20"/>
          <w:szCs w:val="20"/>
        </w:rPr>
        <w:t>Journal of Legal Education</w:t>
      </w:r>
      <w:r w:rsidRPr="00157B24">
        <w:rPr>
          <w:rFonts w:ascii="Times New Roman" w:hAnsi="Times New Roman" w:cs="Times New Roman"/>
          <w:sz w:val="20"/>
          <w:szCs w:val="20"/>
        </w:rPr>
        <w:t xml:space="preserve"> 380</w:t>
      </w:r>
    </w:p>
    <w:p w14:paraId="1CAAEF65"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6120FB0E" w14:textId="7AD158E5"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Blackshield, A.R., </w:t>
      </w:r>
      <w:r w:rsidRPr="00157B24">
        <w:rPr>
          <w:rFonts w:ascii="Times New Roman" w:hAnsi="Times New Roman" w:cs="Times New Roman"/>
          <w:i/>
          <w:iCs/>
          <w:sz w:val="20"/>
          <w:szCs w:val="20"/>
        </w:rPr>
        <w:t>Australian Constitutional Law and Theory: Commentary and Materials</w:t>
      </w:r>
      <w:r w:rsidRPr="00157B24">
        <w:rPr>
          <w:rFonts w:ascii="Times New Roman" w:hAnsi="Times New Roman" w:cs="Times New Roman"/>
          <w:sz w:val="20"/>
          <w:szCs w:val="20"/>
        </w:rPr>
        <w:t xml:space="preserve"> (Federation Press, 5th ed. abridged., 2010) 8–12 (‘</w:t>
      </w:r>
      <w:r w:rsidRPr="00157B24">
        <w:rPr>
          <w:rFonts w:ascii="Times New Roman" w:hAnsi="Times New Roman" w:cs="Times New Roman"/>
          <w:i/>
          <w:iCs/>
          <w:sz w:val="20"/>
          <w:szCs w:val="20"/>
        </w:rPr>
        <w:t>Australian Constitutional Law and Theory</w:t>
      </w:r>
      <w:r w:rsidRPr="00157B24">
        <w:rPr>
          <w:rFonts w:ascii="Times New Roman" w:hAnsi="Times New Roman" w:cs="Times New Roman"/>
          <w:sz w:val="20"/>
          <w:szCs w:val="20"/>
        </w:rPr>
        <w:t>’)</w:t>
      </w:r>
    </w:p>
    <w:p w14:paraId="64AEAA84" w14:textId="1169B443"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Commonwealth, Royal Commission into Misconduct in the Banking, Superannuation and Financial Services Industry, </w:t>
      </w:r>
      <w:r w:rsidRPr="00157B24">
        <w:rPr>
          <w:rFonts w:ascii="Times New Roman" w:hAnsi="Times New Roman" w:cs="Times New Roman"/>
          <w:i/>
          <w:iCs/>
          <w:sz w:val="20"/>
          <w:szCs w:val="20"/>
        </w:rPr>
        <w:t>Final Report</w:t>
      </w:r>
      <w:r w:rsidRPr="00157B24">
        <w:rPr>
          <w:rFonts w:ascii="Times New Roman" w:hAnsi="Times New Roman" w:cs="Times New Roman"/>
          <w:sz w:val="20"/>
          <w:szCs w:val="20"/>
        </w:rPr>
        <w:t xml:space="preserve"> (2019)</w:t>
      </w:r>
    </w:p>
    <w:p w14:paraId="1F3520D8" w14:textId="0AFA2D8F" w:rsidR="00F95749" w:rsidRPr="00F95749" w:rsidRDefault="00F95749" w:rsidP="0037367B">
      <w:pPr>
        <w:spacing w:line="480" w:lineRule="auto"/>
        <w:ind w:firstLine="720"/>
        <w:rPr>
          <w:rFonts w:ascii="Times New Roman" w:hAnsi="Times New Roman" w:cs="Times New Roman"/>
          <w:sz w:val="20"/>
          <w:szCs w:val="20"/>
        </w:rPr>
      </w:pPr>
      <w:r w:rsidRPr="00F95749">
        <w:rPr>
          <w:rFonts w:ascii="Times New Roman" w:hAnsi="Times New Roman" w:cs="Times New Roman"/>
          <w:sz w:val="20"/>
          <w:szCs w:val="24"/>
        </w:rPr>
        <w:t>Connelly,</w:t>
      </w:r>
      <w:r>
        <w:rPr>
          <w:rFonts w:ascii="Times New Roman" w:hAnsi="Times New Roman" w:cs="Times New Roman"/>
          <w:sz w:val="20"/>
          <w:szCs w:val="24"/>
        </w:rPr>
        <w:t xml:space="preserve"> Jeff,</w:t>
      </w:r>
      <w:r w:rsidRPr="00F95749">
        <w:rPr>
          <w:rFonts w:ascii="Times New Roman" w:hAnsi="Times New Roman" w:cs="Times New Roman"/>
          <w:sz w:val="20"/>
          <w:szCs w:val="24"/>
        </w:rPr>
        <w:t xml:space="preserve"> ‘Ternary Computing Testbed 3-Trit Computer Architecture’ (2008) 8, 58–59 &lt;http://xyzzy.freeshell.org/trinary/CPE%20Report%20-%20Ternary%20Computing%20Testbed%20-%20RC6a.pdf&gt;</w:t>
      </w:r>
    </w:p>
    <w:p w14:paraId="1BD065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618D26E0" w14:textId="6A872828"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Donaldson, Toby, ‘Python as a First Programming Language for Everyone’ (2003) &lt;http://www.cs.ubc.ca/wccce/Program03/papers/Toby.html&gt;</w:t>
      </w:r>
    </w:p>
    <w:p w14:paraId="0DF9FE72" w14:textId="11CC3154"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Green, Ben, and Salomé Viljoen, ‘Algorithmic Realism: Expanding the Boundaries of Algorithmic Thought’ in </w:t>
      </w:r>
      <w:r w:rsidRPr="00157B24">
        <w:rPr>
          <w:rFonts w:ascii="Times New Roman" w:hAnsi="Times New Roman" w:cs="Times New Roman"/>
          <w:i/>
          <w:iCs/>
          <w:sz w:val="20"/>
          <w:szCs w:val="20"/>
        </w:rPr>
        <w:t>Proceedings of the 2020 Conference on Fairness, Accountability, and Transparency</w:t>
      </w:r>
      <w:r w:rsidRPr="00157B24">
        <w:rPr>
          <w:rFonts w:ascii="Times New Roman" w:hAnsi="Times New Roman" w:cs="Times New Roman"/>
          <w:sz w:val="20"/>
          <w:szCs w:val="20"/>
        </w:rPr>
        <w:t xml:space="preserve"> (ACM, 2020) 19 &lt;http://dl.acm.org/doi/10.1145/3351095.3372840&gt;</w:t>
      </w:r>
    </w:p>
    <w:p w14:paraId="6F8EC516" w14:textId="3C2FB9D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Government Information Services, </w:t>
      </w:r>
      <w:r w:rsidRPr="00157B24">
        <w:rPr>
          <w:rFonts w:ascii="Times New Roman" w:hAnsi="Times New Roman" w:cs="Times New Roman"/>
          <w:i/>
          <w:iCs/>
          <w:sz w:val="20"/>
          <w:szCs w:val="20"/>
        </w:rPr>
        <w:t>Better Rules for Government</w:t>
      </w:r>
      <w:r w:rsidRPr="00157B24">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2FB06107" w14:textId="0D1DB19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Hayek, Friedrich, </w:t>
      </w:r>
      <w:r w:rsidRPr="00157B24">
        <w:rPr>
          <w:rFonts w:ascii="Times New Roman" w:hAnsi="Times New Roman" w:cs="Times New Roman"/>
          <w:i/>
          <w:iCs/>
          <w:sz w:val="20"/>
          <w:szCs w:val="20"/>
        </w:rPr>
        <w:t>Rules and Order</w:t>
      </w:r>
      <w:r w:rsidRPr="00157B24">
        <w:rPr>
          <w:rFonts w:ascii="Times New Roman" w:hAnsi="Times New Roman" w:cs="Times New Roman"/>
          <w:sz w:val="20"/>
          <w:szCs w:val="20"/>
        </w:rPr>
        <w:t xml:space="preserve">, vol 1 (University of Chicago Press, 1973) </w:t>
      </w:r>
    </w:p>
    <w:p w14:paraId="17BC232B" w14:textId="500D659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Horrigan, Bryan, ‘Australian Legal Principles in Practice – Taking Reasoning and Research Seriously’ (1993) 9 </w:t>
      </w:r>
      <w:r w:rsidRPr="00157B24">
        <w:rPr>
          <w:rFonts w:ascii="Times New Roman" w:hAnsi="Times New Roman" w:cs="Times New Roman"/>
          <w:i/>
          <w:iCs/>
          <w:sz w:val="20"/>
          <w:szCs w:val="20"/>
        </w:rPr>
        <w:t>Queensland University of Technology Law Journal</w:t>
      </w:r>
      <w:r w:rsidRPr="00157B24">
        <w:rPr>
          <w:rFonts w:ascii="Times New Roman" w:hAnsi="Times New Roman" w:cs="Times New Roman"/>
          <w:sz w:val="20"/>
          <w:szCs w:val="20"/>
        </w:rPr>
        <w:t xml:space="preserve"> 159</w:t>
      </w:r>
    </w:p>
    <w:p w14:paraId="532BDC72" w14:textId="4097B9B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Hustler, Allen, </w:t>
      </w:r>
      <w:r w:rsidRPr="00157B24">
        <w:rPr>
          <w:rFonts w:ascii="Times New Roman" w:hAnsi="Times New Roman" w:cs="Times New Roman"/>
          <w:i/>
          <w:iCs/>
          <w:sz w:val="20"/>
          <w:szCs w:val="20"/>
        </w:rPr>
        <w:t>Programming Law in Logic</w:t>
      </w:r>
      <w:r w:rsidRPr="00157B24">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1591601E" w14:textId="03203FCD"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Kirby, Michael, ‘“Judicial Activism”? A Riposte to the Counter-Reformation’ 11 </w:t>
      </w:r>
      <w:r w:rsidRPr="00157B24">
        <w:rPr>
          <w:rFonts w:ascii="Times New Roman" w:hAnsi="Times New Roman" w:cs="Times New Roman"/>
          <w:i/>
          <w:iCs/>
          <w:sz w:val="20"/>
          <w:szCs w:val="20"/>
        </w:rPr>
        <w:t>Otago Law Review</w:t>
      </w:r>
      <w:r w:rsidRPr="00157B24">
        <w:rPr>
          <w:rFonts w:ascii="Times New Roman" w:hAnsi="Times New Roman" w:cs="Times New Roman"/>
          <w:sz w:val="20"/>
          <w:szCs w:val="20"/>
        </w:rPr>
        <w:t xml:space="preserve"> 1</w:t>
      </w:r>
    </w:p>
    <w:p w14:paraId="54B4DA34" w14:textId="0DE7ED9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p>
    <w:p w14:paraId="3923E019" w14:textId="133EB2A9"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Lance A Miller, ‘Natural Language Programming: Styles, Strategies, and Contrasts’ (1981) 20(2) </w:t>
      </w:r>
      <w:r w:rsidRPr="00157B24">
        <w:rPr>
          <w:rFonts w:ascii="Times New Roman" w:hAnsi="Times New Roman" w:cs="Times New Roman"/>
          <w:i/>
          <w:iCs/>
          <w:sz w:val="20"/>
          <w:szCs w:val="20"/>
        </w:rPr>
        <w:t>IBM Systems Journal</w:t>
      </w:r>
      <w:r w:rsidRPr="00157B24">
        <w:rPr>
          <w:rFonts w:ascii="Times New Roman" w:hAnsi="Times New Roman" w:cs="Times New Roman"/>
          <w:sz w:val="20"/>
          <w:szCs w:val="20"/>
        </w:rPr>
        <w:t xml:space="preserve"> 184</w:t>
      </w:r>
    </w:p>
    <w:p w14:paraId="6758C9D2" w14:textId="5443619E"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Larson, Jeff et al, ‘How We Analyzed the COMPAS Recidivism Algorithm’, ProPublica (online, 23 May 2016) &lt;https://www.propublica.org/article/how-we-analyzed-the-compas-recidivism-algorithm&gt;</w:t>
      </w:r>
    </w:p>
    <w:p w14:paraId="237EF937" w14:textId="10004E82"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Leiter, Brian, ‘Positivism, Formalism, Realism’, ed Anthony Sebok (1999) 99(4) </w:t>
      </w:r>
      <w:r w:rsidRPr="00157B24">
        <w:rPr>
          <w:rFonts w:ascii="Times New Roman" w:hAnsi="Times New Roman" w:cs="Times New Roman"/>
          <w:i/>
          <w:iCs/>
          <w:sz w:val="20"/>
          <w:szCs w:val="20"/>
        </w:rPr>
        <w:t>Columbia Law Review</w:t>
      </w:r>
      <w:r w:rsidRPr="00157B24">
        <w:rPr>
          <w:rFonts w:ascii="Times New Roman" w:hAnsi="Times New Roman" w:cs="Times New Roman"/>
          <w:sz w:val="20"/>
          <w:szCs w:val="20"/>
        </w:rPr>
        <w:t xml:space="preserve"> 1138</w:t>
      </w:r>
    </w:p>
    <w:p w14:paraId="3058E571" w14:textId="21704FE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Leith, Philip, ‘The Rise and Fall of the Legal Expert System’ (2016) 30(3) </w:t>
      </w:r>
      <w:r w:rsidRPr="00157B24">
        <w:rPr>
          <w:rFonts w:ascii="Times New Roman" w:hAnsi="Times New Roman" w:cs="Times New Roman"/>
          <w:i/>
          <w:iCs/>
          <w:sz w:val="20"/>
          <w:szCs w:val="20"/>
        </w:rPr>
        <w:t>International Review of Law, Computers &amp; Technology</w:t>
      </w:r>
      <w:r w:rsidRPr="00157B24">
        <w:rPr>
          <w:rFonts w:ascii="Times New Roman" w:hAnsi="Times New Roman" w:cs="Times New Roman"/>
          <w:sz w:val="20"/>
          <w:szCs w:val="20"/>
        </w:rPr>
        <w:t xml:space="preserve"> 94</w:t>
      </w:r>
    </w:p>
    <w:p w14:paraId="6CB506FC" w14:textId="1965522B"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Leping, Vambola, et al, ‘Python Prevails’ in </w:t>
      </w:r>
      <w:r w:rsidRPr="00157B24">
        <w:rPr>
          <w:rFonts w:ascii="Times New Roman" w:hAnsi="Times New Roman" w:cs="Times New Roman"/>
          <w:i/>
          <w:iCs/>
          <w:sz w:val="20"/>
          <w:szCs w:val="20"/>
        </w:rPr>
        <w:t>Proceedings of the International Conference on Computer Systems and Technologies and Workshop for PhD Students in Computing</w:t>
      </w:r>
      <w:r w:rsidRPr="00157B24">
        <w:rPr>
          <w:rFonts w:ascii="Times New Roman" w:hAnsi="Times New Roman" w:cs="Times New Roman"/>
          <w:sz w:val="20"/>
          <w:szCs w:val="20"/>
        </w:rPr>
        <w:t xml:space="preserve"> (Association for Computing Machinery, 2009) 1</w:t>
      </w:r>
    </w:p>
    <w:p w14:paraId="5D66E908" w14:textId="6CD39C2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Liu, Han-Wie, Ching-Fu Lin and Yu-Jie Chen, ‘Beyond State v. Loomis: Artificial Intelligence, Government Algorithmization, and Accountability’ (2019) 27(2) </w:t>
      </w:r>
      <w:r w:rsidRPr="00157B24">
        <w:rPr>
          <w:rFonts w:ascii="Times New Roman" w:hAnsi="Times New Roman" w:cs="Times New Roman"/>
          <w:i/>
          <w:iCs/>
          <w:sz w:val="20"/>
          <w:szCs w:val="20"/>
        </w:rPr>
        <w:t>International Journal of Law and Information Technology</w:t>
      </w:r>
      <w:r w:rsidRPr="00157B24">
        <w:rPr>
          <w:rFonts w:ascii="Times New Roman" w:hAnsi="Times New Roman" w:cs="Times New Roman"/>
          <w:sz w:val="20"/>
          <w:szCs w:val="20"/>
        </w:rPr>
        <w:t xml:space="preserve"> 121</w:t>
      </w:r>
    </w:p>
    <w:p w14:paraId="0D1B1390" w14:textId="32B8FBD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Locke, John, </w:t>
      </w:r>
      <w:r w:rsidRPr="00157B24">
        <w:rPr>
          <w:rFonts w:ascii="Times New Roman" w:hAnsi="Times New Roman" w:cs="Times New Roman"/>
          <w:i/>
          <w:iCs/>
          <w:sz w:val="20"/>
          <w:szCs w:val="20"/>
        </w:rPr>
        <w:t>Two Treatises</w:t>
      </w:r>
      <w:r w:rsidRPr="00157B24">
        <w:rPr>
          <w:rFonts w:ascii="Times New Roman" w:hAnsi="Times New Roman" w:cs="Times New Roman"/>
          <w:sz w:val="20"/>
          <w:szCs w:val="20"/>
        </w:rPr>
        <w:t xml:space="preserve"> (Awnsham Churchill, 1689) §137 &lt;https://oll.libertyfund.org/pages/john-locke-two-treatises-1689&gt;</w:t>
      </w:r>
    </w:p>
    <w:p w14:paraId="5006AE99" w14:textId="794D904A"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MacRae, Duncan C, ‘User Control Knowledge in a Tax Consulting System’ (1986) 19(17) </w:t>
      </w:r>
      <w:r w:rsidRPr="00157B24">
        <w:rPr>
          <w:rFonts w:ascii="Times New Roman" w:hAnsi="Times New Roman" w:cs="Times New Roman"/>
          <w:i/>
          <w:iCs/>
          <w:sz w:val="20"/>
          <w:szCs w:val="20"/>
        </w:rPr>
        <w:t>IFAC Proceedings Volumes</w:t>
      </w:r>
      <w:r w:rsidRPr="00157B24">
        <w:rPr>
          <w:rFonts w:ascii="Times New Roman" w:hAnsi="Times New Roman" w:cs="Times New Roman"/>
          <w:sz w:val="20"/>
          <w:szCs w:val="20"/>
        </w:rPr>
        <w:t xml:space="preserve"> 193</w:t>
      </w:r>
    </w:p>
    <w:p w14:paraId="2FA54CC9" w14:textId="18ADAA0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Matczak, Marcin, ‘Why Judicial Formalism Is Incompatible with the Rule of Law’ [2016] </w:t>
      </w:r>
      <w:r w:rsidRPr="00157B24">
        <w:rPr>
          <w:rFonts w:ascii="Times New Roman" w:hAnsi="Times New Roman" w:cs="Times New Roman"/>
          <w:i/>
          <w:iCs/>
          <w:sz w:val="20"/>
          <w:szCs w:val="20"/>
        </w:rPr>
        <w:t>SSRN Electronic Journal</w:t>
      </w:r>
    </w:p>
    <w:p w14:paraId="4726614F" w14:textId="350AEB1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McIntyre, Joe, ‘CSIRO Wants Our Laws Turned into Computer Code. Here’s Why That’s a Bad Idea’, </w:t>
      </w:r>
      <w:r w:rsidRPr="00157B24">
        <w:rPr>
          <w:rFonts w:ascii="Times New Roman" w:hAnsi="Times New Roman" w:cs="Times New Roman"/>
          <w:i/>
          <w:iCs/>
          <w:sz w:val="20"/>
          <w:szCs w:val="20"/>
        </w:rPr>
        <w:t>The Conversation</w:t>
      </w:r>
      <w:r w:rsidRPr="00157B24">
        <w:rPr>
          <w:rFonts w:ascii="Times New Roman" w:hAnsi="Times New Roman" w:cs="Times New Roman"/>
          <w:sz w:val="20"/>
          <w:szCs w:val="20"/>
        </w:rPr>
        <w:t xml:space="preserve"> (20 January 2020) &lt;http://theconversation.com/csiro-wants-our-laws-turned-into-computer-code-heres-why-thats-a-bad-idea-130131&gt;</w:t>
      </w:r>
    </w:p>
    <w:p w14:paraId="643CBE76" w14:textId="6FED478E" w:rsidR="00861183" w:rsidRPr="00157B24" w:rsidRDefault="00861183"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157B24">
        <w:rPr>
          <w:rFonts w:ascii="Times New Roman" w:hAnsi="Times New Roman" w:cs="Times New Roman"/>
          <w:i/>
          <w:iCs/>
          <w:sz w:val="20"/>
          <w:szCs w:val="20"/>
        </w:rPr>
        <w:t>Brooklyn Journal of International Law</w:t>
      </w:r>
      <w:r w:rsidRPr="00157B24">
        <w:rPr>
          <w:rFonts w:ascii="Times New Roman" w:hAnsi="Times New Roman" w:cs="Times New Roman"/>
          <w:sz w:val="20"/>
          <w:szCs w:val="20"/>
        </w:rPr>
        <w:t xml:space="preserve"> 1119</w:t>
      </w:r>
    </w:p>
    <w:p w14:paraId="2B65037E" w14:textId="704D6586"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Michael Genesereth, ‘Computational Law: The Cop in the Backseat’ (CodeX: The Center for Legal Informatics, Stanford University, 2015) 205, 4–5 &lt;http://portal.acm.org/citation.cfm?doid=1165485.1165517&gt;</w:t>
      </w:r>
    </w:p>
    <w:p w14:paraId="5D43BF6E" w14:textId="4ECB811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Mohun, James, and Alex Roberts, ‘Cracking the Code: Rulemaking for Humans and Machines’ (Observatory of Public Sector Innovation, Organsation for Economic Co-operation and Development, 27 May 2020)</w:t>
      </w:r>
    </w:p>
    <w:p w14:paraId="2AB0FA8F" w14:textId="6174EB48" w:rsidR="00CD4D47" w:rsidRPr="00CD4D47" w:rsidRDefault="00CD4D47" w:rsidP="00CD4D47">
      <w:pPr>
        <w:spacing w:line="480" w:lineRule="auto"/>
        <w:ind w:firstLine="720"/>
        <w:rPr>
          <w:rFonts w:ascii="Times New Roman" w:hAnsi="Times New Roman" w:cs="Times New Roman"/>
          <w:sz w:val="20"/>
          <w:szCs w:val="20"/>
        </w:rPr>
      </w:pPr>
      <w:r w:rsidRPr="00CD4D47">
        <w:rPr>
          <w:rFonts w:ascii="Times New Roman" w:hAnsi="Times New Roman" w:cs="Times New Roman"/>
          <w:sz w:val="20"/>
          <w:szCs w:val="24"/>
        </w:rPr>
        <w:t>Morris, Stephen</w:t>
      </w:r>
      <w:r>
        <w:rPr>
          <w:rFonts w:ascii="Times New Roman" w:hAnsi="Times New Roman" w:cs="Times New Roman"/>
          <w:sz w:val="20"/>
          <w:szCs w:val="24"/>
        </w:rPr>
        <w:t>,</w:t>
      </w:r>
      <w:r w:rsidRPr="00CD4D47">
        <w:rPr>
          <w:rFonts w:ascii="Times New Roman" w:hAnsi="Times New Roman" w:cs="Times New Roman"/>
          <w:sz w:val="20"/>
          <w:szCs w:val="24"/>
        </w:rPr>
        <w:t xml:space="preserve"> </w:t>
      </w:r>
      <w:r w:rsidRPr="00CD4D47">
        <w:rPr>
          <w:rFonts w:ascii="Times New Roman" w:hAnsi="Times New Roman" w:cs="Times New Roman"/>
          <w:i/>
          <w:iCs/>
          <w:sz w:val="20"/>
          <w:szCs w:val="24"/>
        </w:rPr>
        <w:t>Object-Oriented Programming under Windows</w:t>
      </w:r>
      <w:r w:rsidRPr="00CD4D47">
        <w:rPr>
          <w:rFonts w:ascii="Times New Roman" w:hAnsi="Times New Roman" w:cs="Times New Roman"/>
          <w:sz w:val="20"/>
          <w:szCs w:val="24"/>
        </w:rPr>
        <w:t xml:space="preserve"> (Elsevier Science &amp; Technology, 1994)</w:t>
      </w:r>
    </w:p>
    <w:p w14:paraId="7023DBB7" w14:textId="77777777" w:rsidR="00CD4D47" w:rsidRPr="00157B24" w:rsidRDefault="00CD4D47" w:rsidP="0037367B">
      <w:pPr>
        <w:spacing w:line="480" w:lineRule="auto"/>
        <w:ind w:firstLine="720"/>
        <w:rPr>
          <w:rFonts w:ascii="Times New Roman" w:hAnsi="Times New Roman" w:cs="Times New Roman"/>
          <w:sz w:val="20"/>
          <w:szCs w:val="20"/>
        </w:rPr>
      </w:pPr>
    </w:p>
    <w:p w14:paraId="319D1FC2" w14:textId="08740CF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Northpointe, ‘Practitioner’s Guide to COMPAS Core’ (Guidance, Northpointe, 19 March 2015)</w:t>
      </w:r>
    </w:p>
    <w:p w14:paraId="6722A8FC" w14:textId="6D239DEC" w:rsidR="005822EE" w:rsidRPr="00157B24" w:rsidRDefault="005822EE" w:rsidP="005822EE">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Posner, Richard A., ‘Nine Theories of Judicial Behavior’ in </w:t>
      </w:r>
      <w:r w:rsidRPr="00157B24">
        <w:rPr>
          <w:rFonts w:ascii="Times New Roman" w:hAnsi="Times New Roman" w:cs="Times New Roman"/>
          <w:i/>
          <w:iCs/>
          <w:sz w:val="20"/>
          <w:szCs w:val="20"/>
        </w:rPr>
        <w:t>How Judges Think</w:t>
      </w:r>
      <w:r w:rsidRPr="00157B24">
        <w:rPr>
          <w:rFonts w:ascii="Times New Roman" w:hAnsi="Times New Roman" w:cs="Times New Roman"/>
          <w:sz w:val="20"/>
          <w:szCs w:val="20"/>
        </w:rPr>
        <w:t xml:space="preserve"> (Harvard University Press, 2008) 19, 42 &lt;https://www.jstor.org/stable/j.ctvjk2w91.4&gt;</w:t>
      </w:r>
    </w:p>
    <w:p w14:paraId="2FF27F4D" w14:textId="5B1A4A6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ProPublica, </w:t>
      </w:r>
      <w:r w:rsidRPr="00157B24">
        <w:rPr>
          <w:rFonts w:ascii="Times New Roman" w:hAnsi="Times New Roman" w:cs="Times New Roman"/>
          <w:i/>
          <w:iCs/>
          <w:sz w:val="20"/>
          <w:szCs w:val="20"/>
        </w:rPr>
        <w:t>COMPAS Recidivism Risk Score Data and Analysis</w:t>
      </w:r>
      <w:r w:rsidRPr="00157B24">
        <w:rPr>
          <w:rFonts w:ascii="Times New Roman" w:hAnsi="Times New Roman" w:cs="Times New Roman"/>
          <w:sz w:val="20"/>
          <w:szCs w:val="20"/>
        </w:rPr>
        <w:t xml:space="preserve"> (Dataset, March 2020) &lt;https://propublica.org/datastore/dataset/compas-recidivism-risk-score-data-and-analysis&gt;</w:t>
      </w:r>
    </w:p>
    <w:p w14:paraId="0B13C3D1"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Roth, Martha T, and Harry A Hoffner, </w:t>
      </w:r>
      <w:r w:rsidRPr="00157B24">
        <w:rPr>
          <w:rFonts w:ascii="Times New Roman" w:hAnsi="Times New Roman" w:cs="Times New Roman"/>
          <w:i/>
          <w:iCs/>
          <w:sz w:val="20"/>
          <w:szCs w:val="20"/>
        </w:rPr>
        <w:t>Law Collections from Mesopotamia and Asia Minor</w:t>
      </w:r>
      <w:r w:rsidRPr="00157B24">
        <w:rPr>
          <w:rFonts w:ascii="Times New Roman" w:hAnsi="Times New Roman" w:cs="Times New Roman"/>
          <w:sz w:val="20"/>
          <w:szCs w:val="20"/>
        </w:rPr>
        <w:t xml:space="preserve"> (Society of Biblical Literature, 2nd ed, 1997)</w:t>
      </w:r>
    </w:p>
    <w:p w14:paraId="104BEF23"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Sam Smith, ‘Regtech Spending to Reach $127 Billion by 2024, as AI Drives Cost Savings’, </w:t>
      </w:r>
      <w:r w:rsidRPr="00157B24">
        <w:rPr>
          <w:rFonts w:ascii="Times New Roman" w:hAnsi="Times New Roman" w:cs="Times New Roman"/>
          <w:i/>
          <w:iCs/>
          <w:sz w:val="20"/>
          <w:szCs w:val="20"/>
        </w:rPr>
        <w:t>Juniper Research</w:t>
      </w:r>
      <w:r w:rsidRPr="00157B24">
        <w:rPr>
          <w:rFonts w:ascii="Times New Roman" w:hAnsi="Times New Roman" w:cs="Times New Roman"/>
          <w:sz w:val="20"/>
          <w:szCs w:val="20"/>
        </w:rPr>
        <w:t xml:space="preserve"> (24 September 2019) &lt;https://www.juniperresearch.com/press/press-releases/regtech-spending-to-reach-$127-billion-by-2024&gt;</w:t>
      </w:r>
    </w:p>
    <w:p w14:paraId="0B99D5B3" w14:textId="721AF27F" w:rsidR="001F1318" w:rsidRPr="00157B24" w:rsidRDefault="001F1318" w:rsidP="001F131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Schizas, Emmanuel et al, </w:t>
      </w:r>
      <w:r w:rsidRPr="00157B24">
        <w:rPr>
          <w:rFonts w:ascii="Times New Roman" w:hAnsi="Times New Roman" w:cs="Times New Roman"/>
          <w:i/>
          <w:iCs/>
          <w:sz w:val="20"/>
          <w:szCs w:val="20"/>
        </w:rPr>
        <w:t>The Global RegTech Industry Benchmark Report</w:t>
      </w:r>
      <w:r w:rsidRPr="00157B24">
        <w:rPr>
          <w:rFonts w:ascii="Times New Roman" w:hAnsi="Times New Roman" w:cs="Times New Roman"/>
          <w:sz w:val="20"/>
          <w:szCs w:val="20"/>
        </w:rPr>
        <w:t xml:space="preserve"> (SSRN Scholarly Paper No ID 3560811, Social Science Research Network, 30 June 2019) &lt;https://papers.ssrn.com/abstract=3560811&gt;</w:t>
      </w:r>
    </w:p>
    <w:p w14:paraId="4C21CCC2" w14:textId="72ADAB84"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Sergot, Marek, et al, ‘The British Nationality Act as a Logic Program’ (1986) 29 </w:t>
      </w:r>
      <w:r w:rsidRPr="00157B24">
        <w:rPr>
          <w:rFonts w:ascii="Times New Roman" w:hAnsi="Times New Roman" w:cs="Times New Roman"/>
          <w:i/>
          <w:iCs/>
          <w:sz w:val="20"/>
          <w:szCs w:val="20"/>
        </w:rPr>
        <w:t>Communications of the ACM</w:t>
      </w:r>
      <w:r w:rsidRPr="00157B24">
        <w:rPr>
          <w:rFonts w:ascii="Times New Roman" w:hAnsi="Times New Roman" w:cs="Times New Roman"/>
          <w:sz w:val="20"/>
          <w:szCs w:val="20"/>
        </w:rPr>
        <w:t xml:space="preserve"> 370</w:t>
      </w:r>
    </w:p>
    <w:p w14:paraId="47B90D69"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Sonja Starr, ‘Evidence-Based Sentencing and the Scientific Rationalization of Discrimination’ (2014) 66(4) </w:t>
      </w:r>
      <w:r w:rsidRPr="00157B24">
        <w:rPr>
          <w:rFonts w:ascii="Times New Roman" w:hAnsi="Times New Roman" w:cs="Times New Roman"/>
          <w:i/>
          <w:iCs/>
          <w:sz w:val="20"/>
          <w:szCs w:val="20"/>
        </w:rPr>
        <w:t>Stanford Law Review</w:t>
      </w:r>
      <w:r w:rsidRPr="00157B24">
        <w:rPr>
          <w:rFonts w:ascii="Times New Roman" w:hAnsi="Times New Roman" w:cs="Times New Roman"/>
          <w:sz w:val="20"/>
          <w:szCs w:val="20"/>
        </w:rPr>
        <w:t xml:space="preserve"> 803</w:t>
      </w:r>
    </w:p>
    <w:p w14:paraId="2144544E"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Susannah Hampton, ‘Opportunities for AI in Regtech’ (Juniper Research, September 2019) 1 &lt;https://www.juniperresearch.com/document-library/white-papers/opportunities-for-ai-in-regtech-whitepaper&gt;</w:t>
      </w:r>
    </w:p>
    <w:p w14:paraId="378FFAEB" w14:textId="26F3561A" w:rsidR="005822EE" w:rsidRPr="00157B24" w:rsidRDefault="005822EE"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Tamanaha, Brian Z., ‘INTRODUCTION’ in </w:t>
      </w:r>
      <w:r w:rsidRPr="00157B24">
        <w:rPr>
          <w:rFonts w:ascii="Times New Roman" w:hAnsi="Times New Roman" w:cs="Times New Roman"/>
          <w:i/>
          <w:iCs/>
          <w:sz w:val="20"/>
          <w:szCs w:val="20"/>
        </w:rPr>
        <w:t>Beyond the Formalist-Realist Divide</w:t>
      </w:r>
      <w:r w:rsidRPr="00157B24">
        <w:rPr>
          <w:rFonts w:ascii="Times New Roman" w:hAnsi="Times New Roman" w:cs="Times New Roman"/>
          <w:sz w:val="20"/>
          <w:szCs w:val="20"/>
        </w:rPr>
        <w:t xml:space="preserve"> (Princeton University Press, 2010) 1 &lt;https://www.jstor.org/stable/j.ctt7rm95.4&gt;</w:t>
      </w:r>
    </w:p>
    <w:p w14:paraId="5DFBAB07" w14:textId="43B22ED1" w:rsidR="001F1318" w:rsidRPr="00157B24" w:rsidRDefault="001F1318"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lastRenderedPageBreak/>
        <w:t xml:space="preserve">Waldron, Jeremy, ‘The Rule of Law’ in Edward N Zalta (ed), </w:t>
      </w:r>
      <w:r w:rsidRPr="00157B24">
        <w:rPr>
          <w:rFonts w:ascii="Times New Roman" w:hAnsi="Times New Roman" w:cs="Times New Roman"/>
          <w:i/>
          <w:iCs/>
          <w:sz w:val="20"/>
          <w:szCs w:val="20"/>
        </w:rPr>
        <w:t>The Stanford Encyclopedia of Philosophy</w:t>
      </w:r>
      <w:r w:rsidRPr="00157B24">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West’s Encyclopedia of American Law</w:t>
      </w:r>
      <w:r w:rsidRPr="00157B24">
        <w:rPr>
          <w:rFonts w:ascii="Times New Roman" w:hAnsi="Times New Roman" w:cs="Times New Roman"/>
          <w:sz w:val="20"/>
          <w:szCs w:val="20"/>
        </w:rPr>
        <w:t xml:space="preserve"> (online at 25 August 2020) ‘formalism’</w:t>
      </w:r>
    </w:p>
    <w:p w14:paraId="55630209" w14:textId="1E08CC9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Westpac Banking Corporation, ‘Westpac Releases Findings into Austrac Statement of Claim’ (4 June 2020)</w:t>
      </w:r>
    </w:p>
    <w:p w14:paraId="5251FA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Wolfram, Stephen, ‘Computational Law, Symbolic Discourse, and the AI Constitution’ in </w:t>
      </w:r>
      <w:r w:rsidRPr="00157B24">
        <w:rPr>
          <w:rFonts w:ascii="Times New Roman" w:hAnsi="Times New Roman" w:cs="Times New Roman"/>
          <w:i/>
          <w:iCs/>
          <w:sz w:val="20"/>
          <w:szCs w:val="20"/>
        </w:rPr>
        <w:t>Ethics of Artificial Intelligence</w:t>
      </w:r>
      <w:r w:rsidRPr="00157B24">
        <w:rPr>
          <w:rFonts w:ascii="Times New Roman" w:hAnsi="Times New Roman" w:cs="Times New Roman"/>
          <w:sz w:val="20"/>
          <w:szCs w:val="20"/>
        </w:rPr>
        <w:t xml:space="preserve"> (Oxford University Press, 2020) 155</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National Airways Pty Ltd v Commonwealth (No 1) (‘Airlines Nationalisation case’)</w:t>
      </w:r>
      <w:r w:rsidRPr="00157B24">
        <w:rPr>
          <w:rFonts w:ascii="Times New Roman" w:hAnsi="Times New Roman" w:cs="Times New Roman"/>
          <w:sz w:val="20"/>
          <w:szCs w:val="20"/>
        </w:rPr>
        <w:t xml:space="preserve"> (1945) 71 CLR 29</w:t>
      </w:r>
    </w:p>
    <w:p w14:paraId="0037C339" w14:textId="76490778"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 Commission v Channic Pty Ltd (No 4) </w:t>
      </w:r>
      <w:r w:rsidRPr="00157B24">
        <w:rPr>
          <w:rFonts w:ascii="Times New Roman" w:hAnsi="Times New Roman" w:cs="Times New Roman"/>
          <w:sz w:val="20"/>
          <w:szCs w:val="20"/>
        </w:rPr>
        <w:t>[2016] FCA 1174</w:t>
      </w:r>
    </w:p>
    <w:p w14:paraId="4CFEECC1" w14:textId="7A40130E"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Securities and Investments Commission v The Cas</w:t>
      </w:r>
      <w:r w:rsidR="00702FCF">
        <w:rPr>
          <w:rFonts w:ascii="Times New Roman" w:hAnsi="Times New Roman" w:cs="Times New Roman"/>
          <w:i/>
          <w:iCs/>
          <w:sz w:val="20"/>
          <w:szCs w:val="20"/>
        </w:rPr>
        <w:t>h</w:t>
      </w:r>
      <w:r w:rsidRPr="00157B24">
        <w:rPr>
          <w:rFonts w:ascii="Times New Roman" w:hAnsi="Times New Roman" w:cs="Times New Roman"/>
          <w:i/>
          <w:iCs/>
          <w:sz w:val="20"/>
          <w:szCs w:val="20"/>
        </w:rPr>
        <w:t xml:space="preserve"> Store</w:t>
      </w:r>
      <w:r w:rsidR="00702FCF">
        <w:rPr>
          <w:rFonts w:ascii="Times New Roman" w:hAnsi="Times New Roman" w:cs="Times New Roman"/>
          <w:i/>
          <w:iCs/>
          <w:sz w:val="20"/>
          <w:szCs w:val="20"/>
        </w:rPr>
        <w:t xml:space="preserve"> Pty Ltd</w:t>
      </w:r>
      <w:r w:rsidRPr="00157B24">
        <w:rPr>
          <w:rFonts w:ascii="Times New Roman" w:hAnsi="Times New Roman" w:cs="Times New Roman"/>
          <w:i/>
          <w:iCs/>
          <w:sz w:val="20"/>
          <w:szCs w:val="20"/>
        </w:rPr>
        <w:t xml:space="preserve"> (in liquidation) </w:t>
      </w:r>
      <w:r w:rsidRPr="00157B24">
        <w:rPr>
          <w:rFonts w:ascii="Times New Roman" w:hAnsi="Times New Roman" w:cs="Times New Roman"/>
          <w:sz w:val="20"/>
          <w:szCs w:val="20"/>
        </w:rPr>
        <w:t>[2014] FCA 926</w:t>
      </w:r>
    </w:p>
    <w:p w14:paraId="302857C9" w14:textId="1BAA5E4B" w:rsidR="002020DF" w:rsidRPr="002020DF" w:rsidRDefault="002020DF" w:rsidP="00AB3E6B">
      <w:pPr>
        <w:spacing w:line="480" w:lineRule="auto"/>
        <w:ind w:firstLine="720"/>
        <w:rPr>
          <w:rFonts w:ascii="Times New Roman" w:hAnsi="Times New Roman" w:cs="Times New Roman"/>
          <w:sz w:val="20"/>
          <w:szCs w:val="20"/>
        </w:rPr>
      </w:pPr>
      <w:r>
        <w:rPr>
          <w:rFonts w:ascii="Times New Roman" w:hAnsi="Times New Roman" w:cs="Times New Roman"/>
          <w:i/>
          <w:iCs/>
          <w:sz w:val="20"/>
          <w:szCs w:val="20"/>
        </w:rPr>
        <w:t xml:space="preserve">Australian Securities and Investments Commission v Westpac Banking Corporation </w:t>
      </w:r>
      <w:r>
        <w:rPr>
          <w:rFonts w:ascii="Times New Roman" w:hAnsi="Times New Roman" w:cs="Times New Roman"/>
          <w:sz w:val="20"/>
          <w:szCs w:val="20"/>
        </w:rPr>
        <w:t>(2020) 380 ALR 262</w:t>
      </w:r>
    </w:p>
    <w:p w14:paraId="5658F5C7" w14:textId="2DD9BF4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Westpac Banking Corporation (Liability Trial) </w:t>
      </w:r>
      <w:r w:rsidRPr="00157B24">
        <w:rPr>
          <w:rFonts w:ascii="Times New Roman" w:hAnsi="Times New Roman" w:cs="Times New Roman"/>
          <w:sz w:val="20"/>
          <w:szCs w:val="20"/>
        </w:rPr>
        <w:t>[2019] FCA 1244</w:t>
      </w:r>
    </w:p>
    <w:p w14:paraId="616C6770" w14:textId="6453112C"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Case of Prohibitions EWHC KB J23</w:t>
      </w:r>
      <w:r w:rsidRPr="00157B24">
        <w:rPr>
          <w:rFonts w:ascii="Times New Roman" w:hAnsi="Times New Roman" w:cs="Times New Roman"/>
          <w:sz w:val="20"/>
          <w:szCs w:val="20"/>
        </w:rPr>
        <w:t xml:space="preserve"> (1607) 77 ER 1342</w:t>
      </w:r>
      <w:r w:rsidRPr="00157B24">
        <w:rPr>
          <w:rFonts w:ascii="Times New Roman" w:hAnsi="Times New Roman" w:cs="Times New Roman"/>
          <w:sz w:val="20"/>
          <w:szCs w:val="20"/>
        </w:rPr>
        <w:fldChar w:fldCharType="end"/>
      </w:r>
    </w:p>
    <w:p w14:paraId="033D49A4" w14:textId="5A53339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Commission of the European Union v United Kingdom of Great Britain and Northern </w:t>
      </w:r>
      <w:r w:rsidRPr="00157B24">
        <w:rPr>
          <w:rFonts w:ascii="Times New Roman" w:hAnsi="Times New Roman" w:cs="Times New Roman"/>
          <w:sz w:val="20"/>
          <w:szCs w:val="20"/>
        </w:rPr>
        <w:t>(C-416/85) [1988] ECR 3127</w:t>
      </w:r>
    </w:p>
    <w:p w14:paraId="44EF5BAF" w14:textId="2D9D200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Elefanten Schuh GmbH v Pierre Jacqmain </w:t>
      </w:r>
      <w:r w:rsidRPr="00157B24">
        <w:rPr>
          <w:rFonts w:ascii="Times New Roman" w:hAnsi="Times New Roman" w:cs="Times New Roman"/>
          <w:sz w:val="20"/>
          <w:szCs w:val="20"/>
        </w:rPr>
        <w:t>(C-150/80) [1981] ECR 1671</w:t>
      </w:r>
    </w:p>
    <w:p w14:paraId="11DE5236" w14:textId="1904AE5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r w:rsidRPr="00157B24">
        <w:rPr>
          <w:rFonts w:ascii="Times New Roman" w:eastAsia="Microsoft JhengHei" w:hAnsi="Times New Roman" w:cs="Times New Roman"/>
          <w:sz w:val="20"/>
          <w:szCs w:val="20"/>
        </w:rPr>
        <w:t xml:space="preserve"> [Free Displacement Co. Ltd. v Changzhou Yingcai Metal Products Co. Ltd., </w:t>
      </w:r>
      <w:r w:rsidRPr="00157B24">
        <w:rPr>
          <w:rFonts w:ascii="Times New Roman" w:eastAsia="Microsoft JhengHei" w:hAnsi="Times New Roman" w:cs="Times New Roman"/>
          <w:sz w:val="20"/>
          <w:szCs w:val="20"/>
        </w:rPr>
        <w:lastRenderedPageBreak/>
        <w:t xml:space="preserve">Shanghai Jianda Fitness Equipment Co. Ltd. – Invention Rights and Discovery Rights Dispute Civil Retrial] [2014], </w:t>
      </w:r>
      <w:r w:rsidRPr="00157B24">
        <w:rPr>
          <w:rFonts w:ascii="Times New Roman" w:eastAsia="Microsoft JhengHei" w:hAnsi="Times New Roman" w:cs="Times New Roman"/>
          <w:sz w:val="20"/>
          <w:szCs w:val="20"/>
        </w:rPr>
        <w:t>最高人民法院</w:t>
      </w:r>
      <w:r w:rsidRPr="00157B24">
        <w:rPr>
          <w:rFonts w:ascii="Times New Roman" w:eastAsia="Microsoft JhengHei" w:hAnsi="Times New Roman" w:cs="Times New Roman"/>
          <w:sz w:val="20"/>
          <w:szCs w:val="20"/>
        </w:rPr>
        <w:t xml:space="preserve"> [Supreme People’s Court, People’s Republic of China], Civil Retrial No. 497, 4 January 2015</w:t>
      </w:r>
    </w:p>
    <w:p w14:paraId="4607B770" w14:textId="31152FA9" w:rsidR="00AB3E6B" w:rsidRPr="00157B24" w:rsidRDefault="00AB3E6B" w:rsidP="00AB3E6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Free Motion Fitness Inc v Cybex International Inc, </w:t>
      </w:r>
      <w:r w:rsidRPr="00157B24">
        <w:rPr>
          <w:rFonts w:ascii="Times New Roman" w:hAnsi="Times New Roman" w:cs="Times New Roman"/>
          <w:sz w:val="20"/>
          <w:szCs w:val="20"/>
        </w:rPr>
        <w:t>423 F 3d 1343 (Fed Cir, 2005)</w:t>
      </w:r>
    </w:p>
    <w:p w14:paraId="33A3C892" w14:textId="765313D7"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Lochner v New York</w:t>
      </w:r>
      <w:r w:rsidR="00AB3E6B" w:rsidRPr="00157B24">
        <w:rPr>
          <w:rFonts w:ascii="Times New Roman" w:hAnsi="Times New Roman" w:cs="Times New Roman"/>
          <w:i/>
          <w:iCs/>
          <w:sz w:val="20"/>
          <w:szCs w:val="20"/>
        </w:rPr>
        <w:t xml:space="preserve"> </w:t>
      </w:r>
      <w:r w:rsidR="00AB3E6B" w:rsidRPr="00157B24">
        <w:rPr>
          <w:rFonts w:ascii="Times New Roman" w:hAnsi="Times New Roman" w:cs="Times New Roman"/>
          <w:sz w:val="20"/>
          <w:szCs w:val="20"/>
        </w:rPr>
        <w:t>198 US 45 (1905)</w:t>
      </w:r>
    </w:p>
    <w:p w14:paraId="57FBA7B3" w14:textId="497EE1E0"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Loomis v Wisconsin </w:t>
      </w:r>
      <w:r w:rsidRPr="00157B24">
        <w:rPr>
          <w:rFonts w:ascii="Times New Roman" w:hAnsi="Times New Roman" w:cs="Times New Roman"/>
          <w:sz w:val="20"/>
          <w:szCs w:val="20"/>
        </w:rPr>
        <w:t>881 NW 2d 749 (Wis, 2016)</w:t>
      </w:r>
    </w:p>
    <w:p w14:paraId="23AC1915" w14:textId="1C4AF1C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New South Wales v Commonwealth</w:t>
      </w:r>
      <w:r w:rsidRPr="00157B24">
        <w:rPr>
          <w:rFonts w:ascii="Times New Roman" w:hAnsi="Times New Roman" w:cs="Times New Roman"/>
          <w:sz w:val="20"/>
          <w:szCs w:val="20"/>
        </w:rPr>
        <w:t xml:space="preserve"> (1915) 20 CLR 54</w:t>
      </w:r>
    </w:p>
    <w:p w14:paraId="3E49D538" w14:textId="575B4A7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Nix v Hedden </w:t>
      </w:r>
      <w:r w:rsidRPr="00157B24">
        <w:rPr>
          <w:rFonts w:ascii="Times New Roman" w:hAnsi="Times New Roman" w:cs="Times New Roman"/>
          <w:sz w:val="20"/>
          <w:szCs w:val="20"/>
        </w:rPr>
        <w:t>149 US 304 (1893)</w:t>
      </w:r>
    </w:p>
    <w:p w14:paraId="64446D7A" w14:textId="3028CEA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Roudolff</w:t>
      </w:r>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(C-803/79 ) [1980] ECR 2015</w:t>
      </w:r>
    </w:p>
    <w:p w14:paraId="04CA9FEB" w14:textId="41FC796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R v Kirby; Ex parte Boilermakers’ Society of Australia</w:t>
      </w:r>
      <w:r w:rsidRPr="00157B24">
        <w:rPr>
          <w:rFonts w:ascii="Times New Roman" w:hAnsi="Times New Roman" w:cs="Times New Roman"/>
          <w:sz w:val="20"/>
          <w:szCs w:val="20"/>
        </w:rPr>
        <w:t xml:space="preserve"> (1956) 94 CLR 254</w:t>
      </w:r>
    </w:p>
    <w:p w14:paraId="0DCA32A6" w14:textId="68F5B141"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Schulte v Deutsche Bausparkasse Badenia </w:t>
      </w:r>
      <w:r w:rsidRPr="00157B24">
        <w:rPr>
          <w:rFonts w:ascii="Times New Roman" w:hAnsi="Times New Roman" w:cs="Times New Roman"/>
          <w:sz w:val="20"/>
          <w:szCs w:val="20"/>
        </w:rPr>
        <w:t>(C-350/03) [2005] ECR I-9215</w:t>
      </w:r>
    </w:p>
    <w:p w14:paraId="349E014D" w14:textId="2CA4B60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Skatteministeriet v Aktieselskabet Forsikrinsselskabet Codan</w:t>
      </w:r>
      <w:r w:rsidRPr="00157B24">
        <w:rPr>
          <w:rFonts w:ascii="Times New Roman" w:hAnsi="Times New Roman" w:cs="Times New Roman"/>
          <w:sz w:val="20"/>
          <w:szCs w:val="20"/>
        </w:rPr>
        <w:t xml:space="preserve"> (C-236/97) [1998] ECR I-8679</w:t>
      </w:r>
    </w:p>
    <w:p w14:paraId="78A6E26A" w14:textId="1413E122"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Smith v United States</w:t>
      </w:r>
      <w:r w:rsidRPr="00157B24">
        <w:rPr>
          <w:rFonts w:ascii="Times New Roman" w:hAnsi="Times New Roman" w:cs="Times New Roman"/>
          <w:sz w:val="20"/>
          <w:szCs w:val="20"/>
        </w:rPr>
        <w:t xml:space="preserve"> 508 US 223</w:t>
      </w:r>
      <w:r w:rsidRPr="00157B24">
        <w:rPr>
          <w:rFonts w:ascii="Times New Roman" w:hAnsi="Times New Roman" w:cs="Times New Roman"/>
          <w:sz w:val="20"/>
          <w:szCs w:val="20"/>
        </w:rPr>
        <w:fldChar w:fldCharType="end"/>
      </w:r>
      <w:r w:rsidRPr="00157B24">
        <w:rPr>
          <w:rFonts w:ascii="Times New Roman" w:hAnsi="Times New Roman" w:cs="Times New Roman"/>
          <w:sz w:val="20"/>
          <w:szCs w:val="20"/>
        </w:rPr>
        <w:t xml:space="preserve"> (1993)</w:t>
      </w:r>
    </w:p>
    <w:p w14:paraId="6C5601BF" w14:textId="1AF3B8C6" w:rsidR="001A2F99"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Waterside Workers’ Federation of Australia v J W Alexander Ltd</w:t>
      </w:r>
      <w:r w:rsidRPr="00157B24">
        <w:rPr>
          <w:rFonts w:ascii="Times New Roman" w:hAnsi="Times New Roman" w:cs="Times New Roman"/>
          <w:sz w:val="20"/>
          <w:szCs w:val="20"/>
        </w:rPr>
        <w:t xml:space="preserve"> (1918) 25 CLR 434</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799B9BBE" w14:textId="409D04FA" w:rsidR="00161898" w:rsidRPr="00157B24" w:rsidRDefault="00161898"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British Nationality Act 1981 </w:t>
      </w:r>
      <w:r w:rsidRPr="00157B24">
        <w:rPr>
          <w:rFonts w:ascii="Times New Roman" w:hAnsi="Times New Roman" w:cs="Times New Roman"/>
          <w:sz w:val="20"/>
          <w:szCs w:val="20"/>
        </w:rPr>
        <w:t>(UK)</w:t>
      </w:r>
    </w:p>
    <w:p w14:paraId="57054C17" w14:textId="18AF0AF9"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Code civil des français </w:t>
      </w:r>
      <w:r w:rsidRPr="00157B24">
        <w:rPr>
          <w:rFonts w:ascii="Times New Roman" w:hAnsi="Times New Roman" w:cs="Times New Roman"/>
          <w:sz w:val="20"/>
          <w:szCs w:val="20"/>
        </w:rPr>
        <w:t>[Civil code of the French] (France)</w:t>
      </w:r>
    </w:p>
    <w:p w14:paraId="0E44C182" w14:textId="5A74CE32" w:rsidR="000E269B"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Commonwealth of Australia Constitution</w:t>
      </w:r>
    </w:p>
    <w:p w14:paraId="4E1733B2" w14:textId="6D92D3C5" w:rsidR="00B83B65" w:rsidRPr="00B83B65" w:rsidRDefault="00B83B65" w:rsidP="000E269B">
      <w:pPr>
        <w:spacing w:line="480" w:lineRule="auto"/>
        <w:ind w:firstLine="720"/>
        <w:rPr>
          <w:rFonts w:ascii="Times New Roman" w:hAnsi="Times New Roman" w:cs="Times New Roman"/>
          <w:sz w:val="20"/>
          <w:szCs w:val="20"/>
        </w:rPr>
      </w:pPr>
      <w:r w:rsidRPr="00B83B65">
        <w:rPr>
          <w:rFonts w:ascii="Times New Roman" w:hAnsi="Times New Roman" w:cs="Times New Roman"/>
          <w:i/>
          <w:iCs/>
          <w:sz w:val="20"/>
          <w:szCs w:val="20"/>
        </w:rPr>
        <w:t>Crimes Act 1914</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3747D70B" w14:textId="459206D7" w:rsidR="00B83B65" w:rsidRDefault="00161898" w:rsidP="00B83B65">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National Consumer Credit Protection Act 2009</w:t>
      </w:r>
      <w:r w:rsidRPr="00157B24">
        <w:rPr>
          <w:rFonts w:ascii="Times New Roman" w:hAnsi="Times New Roman" w:cs="Times New Roman"/>
          <w:sz w:val="20"/>
          <w:szCs w:val="20"/>
        </w:rPr>
        <w:t xml:space="preserve"> (Cth)</w:t>
      </w:r>
    </w:p>
    <w:p w14:paraId="0E1D5048" w14:textId="386FCDB4" w:rsidR="002020DF" w:rsidRPr="002020DF" w:rsidRDefault="002020DF" w:rsidP="00B83B65">
      <w:pPr>
        <w:spacing w:line="480" w:lineRule="auto"/>
        <w:ind w:firstLine="720"/>
        <w:rPr>
          <w:rFonts w:ascii="Times New Roman" w:hAnsi="Times New Roman" w:cs="Times New Roman"/>
          <w:sz w:val="20"/>
          <w:szCs w:val="20"/>
        </w:rPr>
      </w:pPr>
      <w:r w:rsidRPr="002020DF">
        <w:rPr>
          <w:rFonts w:ascii="Times New Roman" w:hAnsi="Times New Roman" w:cs="Times New Roman"/>
          <w:i/>
          <w:iCs/>
          <w:sz w:val="20"/>
          <w:szCs w:val="20"/>
        </w:rPr>
        <w:t>National Consumer Credit Protection Regulations 2010</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127306F8" w14:textId="77777777" w:rsidR="00157B24" w:rsidRPr="00157B24" w:rsidRDefault="00157B24" w:rsidP="0037367B">
      <w:pPr>
        <w:spacing w:line="480" w:lineRule="auto"/>
        <w:jc w:val="center"/>
        <w:rPr>
          <w:rFonts w:ascii="Times New Roman" w:hAnsi="Times New Roman" w:cs="Times New Roman"/>
          <w:sz w:val="20"/>
          <w:szCs w:val="20"/>
        </w:rPr>
      </w:pPr>
    </w:p>
    <w:p w14:paraId="2DFFA67A" w14:textId="491A5671"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lastRenderedPageBreak/>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6F1D56EC" w14:textId="539C8229"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Regulation (EEC) No 1 determining the languages to be used by the European Economic Community </w:t>
      </w:r>
      <w:r w:rsidRPr="00157B24">
        <w:rPr>
          <w:rFonts w:ascii="Times New Roman" w:hAnsi="Times New Roman" w:cs="Times New Roman"/>
          <w:sz w:val="20"/>
          <w:szCs w:val="20"/>
        </w:rPr>
        <w:t>(1958) OJ 17</w:t>
      </w:r>
    </w:p>
    <w:p w14:paraId="58F3E058" w14:textId="7A9988AD"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017DD5E7" w14:textId="61DF0A5E" w:rsidR="0037367B" w:rsidRPr="00157B24" w:rsidRDefault="001A2F99"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09D15BAF" w14:textId="456C545B" w:rsidR="00B83B65" w:rsidRPr="00B83B65" w:rsidRDefault="00506773" w:rsidP="00161898">
      <w:pPr>
        <w:spacing w:line="480" w:lineRule="auto"/>
        <w:ind w:firstLine="720"/>
        <w:rPr>
          <w:rFonts w:ascii="Times New Roman" w:hAnsi="Times New Roman" w:cs="Times New Roman"/>
          <w:i/>
          <w:iCs/>
          <w:sz w:val="20"/>
          <w:szCs w:val="20"/>
        </w:rPr>
      </w:pPr>
      <w:r w:rsidRPr="00506773">
        <w:rPr>
          <w:rFonts w:ascii="Times New Roman" w:hAnsi="Times New Roman" w:cs="Times New Roman"/>
          <w:i/>
          <w:iCs/>
          <w:sz w:val="20"/>
          <w:szCs w:val="20"/>
        </w:rPr>
        <w:t>Australian Securities &amp; Investments Commission</w:t>
      </w:r>
      <w:r w:rsidRPr="00B83B65">
        <w:rPr>
          <w:rFonts w:ascii="Times New Roman" w:hAnsi="Times New Roman" w:cs="Times New Roman"/>
          <w:i/>
          <w:iCs/>
          <w:sz w:val="20"/>
          <w:szCs w:val="20"/>
        </w:rPr>
        <w:t xml:space="preserve"> </w:t>
      </w:r>
      <w:r w:rsidR="00B83B65" w:rsidRPr="00B83B65">
        <w:rPr>
          <w:rFonts w:ascii="Times New Roman" w:hAnsi="Times New Roman" w:cs="Times New Roman"/>
          <w:i/>
          <w:iCs/>
          <w:sz w:val="20"/>
          <w:szCs w:val="20"/>
        </w:rPr>
        <w:t>Credit (Unsuitability—Credit Cards) Instrument 2018/753</w:t>
      </w:r>
    </w:p>
    <w:p w14:paraId="595A3830" w14:textId="1640C3AA" w:rsidR="00BA7082" w:rsidRDefault="001F1318" w:rsidP="00BA7082">
      <w:pPr>
        <w:spacing w:line="480" w:lineRule="auto"/>
        <w:ind w:firstLine="720"/>
        <w:rPr>
          <w:rFonts w:ascii="Times New Roman" w:hAnsi="Times New Roman" w:cs="Times New Roman"/>
          <w:sz w:val="20"/>
          <w:szCs w:val="20"/>
        </w:rPr>
      </w:pPr>
      <w:bookmarkStart w:id="6" w:name="_Hlk52722212"/>
      <w:r w:rsidRPr="00157B24">
        <w:rPr>
          <w:rFonts w:ascii="Times New Roman" w:hAnsi="Times New Roman" w:cs="Times New Roman"/>
          <w:sz w:val="20"/>
          <w:szCs w:val="20"/>
        </w:rPr>
        <w:t>Australian Securities &amp; Investments Commission, Regulatory Guide 209: Credit Licensing: Responsible Lending Conduct</w:t>
      </w:r>
    </w:p>
    <w:bookmarkEnd w:id="6"/>
    <w:p w14:paraId="3DE392D3" w14:textId="5E847920" w:rsidR="00506773" w:rsidRPr="00506773" w:rsidRDefault="00506773" w:rsidP="00161898">
      <w:pPr>
        <w:spacing w:line="480" w:lineRule="auto"/>
        <w:ind w:firstLine="720"/>
        <w:rPr>
          <w:rFonts w:ascii="Times New Roman" w:hAnsi="Times New Roman" w:cs="Times New Roman"/>
          <w:sz w:val="20"/>
          <w:szCs w:val="20"/>
        </w:rPr>
      </w:pPr>
      <w:r w:rsidRPr="00506773">
        <w:rPr>
          <w:rFonts w:ascii="Times New Roman" w:hAnsi="Times New Roman" w:cs="Times New Roman"/>
          <w:sz w:val="20"/>
          <w:szCs w:val="20"/>
        </w:rPr>
        <w:t xml:space="preserve">Australian Taxation Office, </w:t>
      </w:r>
      <w:r w:rsidRPr="00506773">
        <w:rPr>
          <w:rFonts w:ascii="Times New Roman" w:hAnsi="Times New Roman" w:cs="Times New Roman"/>
          <w:i/>
          <w:iCs/>
          <w:sz w:val="20"/>
          <w:szCs w:val="20"/>
        </w:rPr>
        <w:t xml:space="preserve">Decision Impact Statement on Pintarich v Deputy Commission of Taxation [2018] FCAFC 79 </w:t>
      </w:r>
      <w:r w:rsidRPr="00506773">
        <w:rPr>
          <w:rFonts w:ascii="Times New Roman" w:hAnsi="Times New Roman" w:cs="Times New Roman"/>
          <w:sz w:val="20"/>
          <w:szCs w:val="20"/>
        </w:rPr>
        <w:t>(4 April 2019).</w:t>
      </w:r>
    </w:p>
    <w:p w14:paraId="6935E7D2" w14:textId="54766ED0" w:rsidR="00C972AD" w:rsidRPr="00C972AD" w:rsidRDefault="00C972AD" w:rsidP="00C972AD">
      <w:pPr>
        <w:spacing w:line="480" w:lineRule="auto"/>
        <w:ind w:firstLine="720"/>
        <w:rPr>
          <w:rFonts w:ascii="Times New Roman" w:hAnsi="Times New Roman" w:cs="Times New Roman"/>
          <w:sz w:val="20"/>
          <w:szCs w:val="20"/>
        </w:rPr>
      </w:pPr>
      <w:r w:rsidRPr="00C972AD">
        <w:rPr>
          <w:rFonts w:ascii="Times New Roman" w:hAnsi="Times New Roman" w:cs="Times New Roman"/>
          <w:sz w:val="20"/>
          <w:szCs w:val="24"/>
        </w:rPr>
        <w:t xml:space="preserve">‘Datetime — Basic Date and Time Types’, </w:t>
      </w:r>
      <w:r w:rsidRPr="00C972AD">
        <w:rPr>
          <w:rFonts w:ascii="Times New Roman" w:hAnsi="Times New Roman" w:cs="Times New Roman"/>
          <w:i/>
          <w:iCs/>
          <w:sz w:val="20"/>
          <w:szCs w:val="24"/>
        </w:rPr>
        <w:t>Python 3.8.6 documentation</w:t>
      </w:r>
      <w:r w:rsidRPr="00C972AD">
        <w:rPr>
          <w:rFonts w:ascii="Times New Roman" w:hAnsi="Times New Roman" w:cs="Times New Roman"/>
          <w:sz w:val="20"/>
          <w:szCs w:val="24"/>
        </w:rPr>
        <w:t xml:space="preserve"> (Documentation, 29 September 2020) &lt;https://docs.python.org/3/library/datetime.html&gt;</w:t>
      </w:r>
    </w:p>
    <w:p w14:paraId="756520E8" w14:textId="2118C6ED" w:rsidR="001152C3" w:rsidRPr="001152C3" w:rsidRDefault="001152C3" w:rsidP="00161898">
      <w:pPr>
        <w:spacing w:line="480" w:lineRule="auto"/>
        <w:ind w:firstLine="720"/>
        <w:rPr>
          <w:rFonts w:ascii="Times New Roman" w:hAnsi="Times New Roman" w:cs="Times New Roman"/>
          <w:sz w:val="20"/>
          <w:szCs w:val="20"/>
        </w:rPr>
      </w:pPr>
      <w:r w:rsidRPr="001152C3">
        <w:rPr>
          <w:rFonts w:ascii="Times New Roman" w:hAnsi="Times New Roman" w:cs="Times New Roman"/>
          <w:sz w:val="20"/>
          <w:szCs w:val="24"/>
        </w:rPr>
        <w:t xml:space="preserve">Directorate-General for Communication, ‘Translation’, </w:t>
      </w:r>
      <w:r w:rsidRPr="001152C3">
        <w:rPr>
          <w:rFonts w:ascii="Times New Roman" w:hAnsi="Times New Roman" w:cs="Times New Roman"/>
          <w:i/>
          <w:iCs/>
          <w:sz w:val="20"/>
          <w:szCs w:val="24"/>
        </w:rPr>
        <w:t>European Commission</w:t>
      </w:r>
      <w:r w:rsidR="009470A6">
        <w:rPr>
          <w:rFonts w:ascii="Times New Roman" w:hAnsi="Times New Roman" w:cs="Times New Roman"/>
          <w:sz w:val="20"/>
          <w:szCs w:val="24"/>
        </w:rPr>
        <w:t xml:space="preserve"> </w:t>
      </w:r>
      <w:r w:rsidRPr="001152C3">
        <w:rPr>
          <w:rFonts w:ascii="Times New Roman" w:hAnsi="Times New Roman" w:cs="Times New Roman"/>
          <w:sz w:val="20"/>
          <w:szCs w:val="24"/>
        </w:rPr>
        <w:t>&lt;https://ec.europa.eu/info/departments/translation_en&gt;</w:t>
      </w:r>
    </w:p>
    <w:p w14:paraId="50BCEC36" w14:textId="06262CB3" w:rsidR="005822EE" w:rsidRPr="00157B24" w:rsidRDefault="005822EE"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Dixon J, “Concerning Judicial Method” (1956) 29 ALJ 468, 472</w:t>
      </w:r>
    </w:p>
    <w:p w14:paraId="018D77DE" w14:textId="2B3C32E7"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Default="00B83B65" w:rsidP="00161898">
      <w:pPr>
        <w:spacing w:line="480" w:lineRule="auto"/>
        <w:ind w:firstLine="720"/>
        <w:rPr>
          <w:rFonts w:ascii="Times New Roman" w:hAnsi="Times New Roman" w:cs="Times New Roman"/>
          <w:sz w:val="20"/>
          <w:szCs w:val="20"/>
        </w:rPr>
      </w:pPr>
      <w:r w:rsidRPr="00B83B65">
        <w:rPr>
          <w:rFonts w:ascii="Times New Roman" w:hAnsi="Times New Roman" w:cs="Times New Roman"/>
          <w:sz w:val="20"/>
          <w:szCs w:val="20"/>
        </w:rPr>
        <w:t xml:space="preserve">Explanatory Memorandum, </w:t>
      </w:r>
      <w:r w:rsidRPr="00392B16">
        <w:rPr>
          <w:rFonts w:ascii="Times New Roman" w:hAnsi="Times New Roman" w:cs="Times New Roman"/>
          <w:sz w:val="20"/>
          <w:szCs w:val="20"/>
        </w:rPr>
        <w:t>Crimes Legislation Amendment Bill 1987</w:t>
      </w:r>
      <w:r w:rsidRPr="00B83B65">
        <w:rPr>
          <w:rFonts w:ascii="Times New Roman" w:hAnsi="Times New Roman" w:cs="Times New Roman"/>
          <w:sz w:val="20"/>
          <w:szCs w:val="20"/>
        </w:rPr>
        <w:t xml:space="preserve"> (Cth)</w:t>
      </w:r>
    </w:p>
    <w:p w14:paraId="16987F40" w14:textId="4D9EFEEA" w:rsidR="004B7FAB" w:rsidRDefault="004B7FAB" w:rsidP="00161898">
      <w:pPr>
        <w:spacing w:line="480" w:lineRule="auto"/>
        <w:ind w:firstLine="720"/>
        <w:rPr>
          <w:rFonts w:ascii="Times New Roman" w:hAnsi="Times New Roman" w:cs="Times New Roman"/>
          <w:sz w:val="20"/>
          <w:szCs w:val="20"/>
        </w:rPr>
      </w:pPr>
      <w:r w:rsidRPr="004B7FAB">
        <w:rPr>
          <w:rFonts w:ascii="Times New Roman" w:hAnsi="Times New Roman" w:cs="Times New Roman"/>
          <w:sz w:val="20"/>
          <w:szCs w:val="20"/>
        </w:rPr>
        <w:t>Explanatory Memorandum, National Consumer Credit Protection Bill 2009 (Cth)</w:t>
      </w:r>
    </w:p>
    <w:p w14:paraId="67A62CA6" w14:textId="7B2976DF" w:rsidR="00BA7082" w:rsidRPr="00BA7082" w:rsidRDefault="00BA7082" w:rsidP="00161898">
      <w:pPr>
        <w:spacing w:line="480" w:lineRule="auto"/>
        <w:ind w:firstLine="720"/>
        <w:rPr>
          <w:rFonts w:ascii="Times New Roman" w:hAnsi="Times New Roman" w:cs="Times New Roman"/>
          <w:sz w:val="20"/>
          <w:szCs w:val="20"/>
        </w:rPr>
      </w:pPr>
      <w:r w:rsidRPr="00BA7082">
        <w:rPr>
          <w:rFonts w:ascii="Times New Roman" w:hAnsi="Times New Roman" w:cs="Times New Roman"/>
          <w:sz w:val="20"/>
          <w:szCs w:val="24"/>
        </w:rPr>
        <w:lastRenderedPageBreak/>
        <w:t>Godfrey,</w:t>
      </w:r>
      <w:r w:rsidR="00DA6A3D">
        <w:rPr>
          <w:rFonts w:ascii="Times New Roman" w:hAnsi="Times New Roman" w:cs="Times New Roman"/>
          <w:sz w:val="20"/>
          <w:szCs w:val="24"/>
        </w:rPr>
        <w:t xml:space="preserve"> Nicholas,</w:t>
      </w:r>
      <w:r w:rsidRPr="00BA7082">
        <w:rPr>
          <w:rFonts w:ascii="Times New Roman" w:hAnsi="Times New Roman" w:cs="Times New Roman"/>
          <w:sz w:val="20"/>
          <w:szCs w:val="24"/>
        </w:rPr>
        <w:t xml:space="preserve"> </w:t>
      </w:r>
      <w:r w:rsidRPr="00BA7082">
        <w:rPr>
          <w:rFonts w:ascii="Times New Roman" w:hAnsi="Times New Roman" w:cs="Times New Roman"/>
          <w:i/>
          <w:iCs/>
          <w:sz w:val="20"/>
          <w:szCs w:val="24"/>
        </w:rPr>
        <w:t>Rules as Code - Banking Compliance</w:t>
      </w:r>
      <w:r w:rsidRPr="00BA7082">
        <w:rPr>
          <w:rFonts w:ascii="Times New Roman" w:hAnsi="Times New Roman" w:cs="Times New Roman"/>
          <w:sz w:val="20"/>
          <w:szCs w:val="24"/>
        </w:rPr>
        <w:t xml:space="preserve"> (2020) &lt;https://github.com/NicGodfrey/Rules-As-Code_Banking-Compliance&gt;</w:t>
      </w:r>
    </w:p>
    <w:p w14:paraId="4CD73A15" w14:textId="6D1792B7" w:rsidR="004430AA" w:rsidRPr="004430AA" w:rsidRDefault="004430AA" w:rsidP="00161898">
      <w:pPr>
        <w:spacing w:line="480" w:lineRule="auto"/>
        <w:ind w:firstLine="720"/>
        <w:rPr>
          <w:rFonts w:ascii="Times New Roman" w:hAnsi="Times New Roman" w:cs="Times New Roman"/>
          <w:sz w:val="20"/>
          <w:szCs w:val="20"/>
        </w:rPr>
      </w:pPr>
      <w:r w:rsidRPr="004430AA">
        <w:rPr>
          <w:rFonts w:ascii="Times New Roman" w:hAnsi="Times New Roman" w:cs="Times New Roman"/>
          <w:sz w:val="20"/>
          <w:szCs w:val="24"/>
        </w:rPr>
        <w:t>Jenks,</w:t>
      </w:r>
      <w:r w:rsidR="00F95749">
        <w:rPr>
          <w:rFonts w:ascii="Times New Roman" w:hAnsi="Times New Roman" w:cs="Times New Roman"/>
          <w:sz w:val="20"/>
          <w:szCs w:val="24"/>
        </w:rPr>
        <w:t xml:space="preserve"> Grant,</w:t>
      </w:r>
      <w:r w:rsidRPr="004430AA">
        <w:rPr>
          <w:rFonts w:ascii="Times New Roman" w:hAnsi="Times New Roman" w:cs="Times New Roman"/>
          <w:sz w:val="20"/>
          <w:szCs w:val="24"/>
        </w:rPr>
        <w:t xml:space="preserve"> </w:t>
      </w:r>
      <w:r w:rsidRPr="004430AA">
        <w:rPr>
          <w:rFonts w:ascii="Times New Roman" w:hAnsi="Times New Roman" w:cs="Times New Roman"/>
          <w:i/>
          <w:iCs/>
          <w:sz w:val="20"/>
          <w:szCs w:val="24"/>
        </w:rPr>
        <w:t>Tribool: Three-Valued Logic Data Type.</w:t>
      </w:r>
      <w:r w:rsidRPr="004430AA">
        <w:rPr>
          <w:rFonts w:ascii="Times New Roman" w:hAnsi="Times New Roman" w:cs="Times New Roman"/>
          <w:sz w:val="20"/>
          <w:szCs w:val="24"/>
        </w:rPr>
        <w:t xml:space="preserve"> (online at 29 September 2020) &lt;http://www.grantjenks.com/docs/tribool/&gt; (‘</w:t>
      </w:r>
      <w:r w:rsidRPr="004430AA">
        <w:rPr>
          <w:rFonts w:ascii="Times New Roman" w:hAnsi="Times New Roman" w:cs="Times New Roman"/>
          <w:i/>
          <w:iCs/>
          <w:sz w:val="20"/>
          <w:szCs w:val="24"/>
        </w:rPr>
        <w:t>Tribool</w:t>
      </w:r>
      <w:r w:rsidRPr="004430AA">
        <w:rPr>
          <w:rFonts w:ascii="Times New Roman" w:hAnsi="Times New Roman" w:cs="Times New Roman"/>
          <w:sz w:val="20"/>
          <w:szCs w:val="24"/>
        </w:rPr>
        <w:t>’)</w:t>
      </w:r>
    </w:p>
    <w:p w14:paraId="17011AB2" w14:textId="34D31D2F" w:rsidR="0037367B"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Fisca, ‘From Law to Code — OpenFisca Documentation’, </w:t>
      </w:r>
      <w:r w:rsidRPr="00157B24">
        <w:rPr>
          <w:rFonts w:ascii="Times New Roman" w:hAnsi="Times New Roman" w:cs="Times New Roman"/>
          <w:i/>
          <w:iCs/>
          <w:sz w:val="20"/>
          <w:szCs w:val="20"/>
        </w:rPr>
        <w:t>Open Fisca</w:t>
      </w:r>
      <w:r w:rsidRPr="00157B24">
        <w:rPr>
          <w:rFonts w:ascii="Times New Roman" w:hAnsi="Times New Roman" w:cs="Times New Roman"/>
          <w:sz w:val="20"/>
          <w:szCs w:val="20"/>
        </w:rPr>
        <w:t xml:space="preserve"> (Wiki) &lt;https://openfisca.org/doc/coding-the-legislation/index.html&gt;</w:t>
      </w:r>
    </w:p>
    <w:p w14:paraId="23A9954A" w14:textId="630F13C0"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Fisca, ‘OpenFisca’, </w:t>
      </w:r>
      <w:r w:rsidRPr="00157B24">
        <w:rPr>
          <w:rFonts w:ascii="Times New Roman" w:hAnsi="Times New Roman" w:cs="Times New Roman"/>
          <w:i/>
          <w:iCs/>
          <w:sz w:val="20"/>
          <w:szCs w:val="20"/>
        </w:rPr>
        <w:t>Open Fisca</w:t>
      </w:r>
      <w:r w:rsidRPr="00157B24">
        <w:rPr>
          <w:rFonts w:ascii="Times New Roman" w:hAnsi="Times New Roman" w:cs="Times New Roman"/>
          <w:sz w:val="20"/>
          <w:szCs w:val="20"/>
        </w:rPr>
        <w:t xml:space="preserve"> (Wiki) &lt;https://openfisca.org/&gt;</w:t>
      </w:r>
    </w:p>
    <w:p w14:paraId="6D968608" w14:textId="7AEE7D55"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‘Rules as Code – Test, Learn, Repeat’, </w:t>
      </w:r>
      <w:r w:rsidRPr="00157B24">
        <w:rPr>
          <w:rFonts w:ascii="Times New Roman" w:hAnsi="Times New Roman" w:cs="Times New Roman"/>
          <w:i/>
          <w:iCs/>
          <w:sz w:val="20"/>
          <w:szCs w:val="20"/>
        </w:rPr>
        <w:t>Digital.NSW</w:t>
      </w:r>
      <w:r w:rsidRPr="00157B24">
        <w:rPr>
          <w:rFonts w:ascii="Times New Roman" w:hAnsi="Times New Roman" w:cs="Times New Roman"/>
          <w:sz w:val="20"/>
          <w:szCs w:val="20"/>
        </w:rPr>
        <w:t xml:space="preserve"> &lt;https://www.digital.nsw.gov.au/article/rules-code-test-learn-repeat&gt;</w:t>
      </w:r>
    </w:p>
    <w:p w14:paraId="1064B45B" w14:textId="1DF22588"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Stanford Law School, ‘Hammurabi’, </w:t>
      </w:r>
      <w:r w:rsidRPr="00157B24">
        <w:rPr>
          <w:rFonts w:ascii="Times New Roman" w:hAnsi="Times New Roman" w:cs="Times New Roman"/>
          <w:i/>
          <w:iCs/>
          <w:sz w:val="20"/>
          <w:szCs w:val="20"/>
        </w:rPr>
        <w:t>Stanford Law School</w:t>
      </w:r>
      <w:r w:rsidRPr="00157B24">
        <w:rPr>
          <w:rFonts w:ascii="Times New Roman" w:hAnsi="Times New Roman" w:cs="Times New Roman"/>
          <w:sz w:val="20"/>
          <w:szCs w:val="20"/>
        </w:rPr>
        <w:t xml:space="preserve"> &lt;https://law.stanford.edu/projects/hammurabi/&gt;</w:t>
      </w:r>
    </w:p>
    <w:p w14:paraId="50E412C6" w14:textId="573FEB87"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‘Statement of Claim’, </w:t>
      </w:r>
      <w:r w:rsidRPr="00157B24">
        <w:rPr>
          <w:rFonts w:ascii="Times New Roman" w:hAnsi="Times New Roman" w:cs="Times New Roman"/>
          <w:i/>
          <w:iCs/>
          <w:sz w:val="20"/>
          <w:szCs w:val="20"/>
        </w:rPr>
        <w:t>Chief Executive Officer of the Australian Transaction Reports and Analysis Centre v Westpac Banking Corporation</w:t>
      </w:r>
      <w:r w:rsidRPr="00157B24">
        <w:rPr>
          <w:rFonts w:ascii="Times New Roman" w:hAnsi="Times New Roman" w:cs="Times New Roman"/>
          <w:sz w:val="20"/>
          <w:szCs w:val="20"/>
        </w:rPr>
        <w:t xml:space="preserve"> (Federal Court of Australia, 20 November 2019)</w:t>
      </w:r>
    </w:p>
    <w:p w14:paraId="4AD9C1F6" w14:textId="4E81E248" w:rsidR="00141674" w:rsidRDefault="005822EE"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“Swearing in of Sir Own Dixon as Chief Justice” (1952) 85 CLR xi, xiv</w:t>
      </w:r>
    </w:p>
    <w:p w14:paraId="0BF58965" w14:textId="77777777" w:rsidR="007F30E7" w:rsidRPr="00157B24" w:rsidRDefault="007F30E7" w:rsidP="00AB3E6B">
      <w:pPr>
        <w:spacing w:line="480" w:lineRule="auto"/>
        <w:ind w:firstLine="720"/>
        <w:rPr>
          <w:rFonts w:ascii="Times New Roman" w:hAnsi="Times New Roman" w:cs="Times New Roman"/>
          <w:sz w:val="20"/>
          <w:szCs w:val="20"/>
        </w:rPr>
      </w:pPr>
    </w:p>
    <w:sectPr w:rsidR="007F30E7" w:rsidRPr="00157B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21A74" w14:textId="77777777" w:rsidR="007A530D" w:rsidRDefault="007A530D" w:rsidP="00A106C8">
      <w:pPr>
        <w:spacing w:after="0" w:line="240" w:lineRule="auto"/>
      </w:pPr>
      <w:r>
        <w:separator/>
      </w:r>
    </w:p>
  </w:endnote>
  <w:endnote w:type="continuationSeparator" w:id="0">
    <w:p w14:paraId="22298715" w14:textId="77777777" w:rsidR="007A530D" w:rsidRDefault="007A530D"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6F7A8D" w:rsidRDefault="006F7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6F7A8D" w:rsidRDefault="006F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B6A33" w14:textId="77777777" w:rsidR="007A530D" w:rsidRDefault="007A530D" w:rsidP="00A106C8">
      <w:pPr>
        <w:spacing w:after="0" w:line="240" w:lineRule="auto"/>
      </w:pPr>
      <w:r>
        <w:separator/>
      </w:r>
    </w:p>
  </w:footnote>
  <w:footnote w:type="continuationSeparator" w:id="0">
    <w:p w14:paraId="439CC4DA" w14:textId="77777777" w:rsidR="007A530D" w:rsidRDefault="007A530D" w:rsidP="00A106C8">
      <w:pPr>
        <w:spacing w:after="0" w:line="240" w:lineRule="auto"/>
      </w:pPr>
      <w:r>
        <w:continuationSeparator/>
      </w:r>
    </w:p>
  </w:footnote>
  <w:footnote w:id="1">
    <w:p w14:paraId="2C85C447" w14:textId="11B2452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6F7A8D">
        <w:rPr>
          <w:rFonts w:ascii="Times New Roman" w:hAnsi="Times New Roman" w:cs="Times New Roman"/>
        </w:rPr>
        <w:fldChar w:fldCharType="end"/>
      </w:r>
    </w:p>
  </w:footnote>
  <w:footnote w:id="2">
    <w:p w14:paraId="07EF7C00" w14:textId="19A4774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2009</w:t>
      </w:r>
      <w:r w:rsidRPr="006F7A8D">
        <w:rPr>
          <w:rFonts w:ascii="Times New Roman" w:hAnsi="Times New Roman" w:cs="Times New Roman"/>
        </w:rPr>
        <w:t xml:space="preserve"> (Cth).</w:t>
      </w:r>
    </w:p>
  </w:footnote>
  <w:footnote w:id="3">
    <w:p w14:paraId="090ED469" w14:textId="015CF7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Accessible at Nicholas Godfrey, </w:t>
      </w:r>
      <w:r w:rsidRPr="006F7A8D">
        <w:rPr>
          <w:rFonts w:ascii="Times New Roman" w:hAnsi="Times New Roman" w:cs="Times New Roman"/>
          <w:i/>
          <w:iCs/>
          <w:szCs w:val="24"/>
        </w:rPr>
        <w:t>Rules as Code - Banking Compliance</w:t>
      </w:r>
      <w:r w:rsidRPr="006F7A8D">
        <w:rPr>
          <w:rFonts w:ascii="Times New Roman" w:hAnsi="Times New Roman" w:cs="Times New Roman"/>
          <w:szCs w:val="24"/>
        </w:rPr>
        <w:t xml:space="preserve"> (2020) &lt;https://github.com/NicGodfrey/Rules-As-Code_Banking-Compliance&gt;.</w:t>
      </w:r>
      <w:r w:rsidRPr="006F7A8D">
        <w:rPr>
          <w:rFonts w:ascii="Times New Roman" w:hAnsi="Times New Roman" w:cs="Times New Roman"/>
        </w:rPr>
        <w:fldChar w:fldCharType="end"/>
      </w:r>
    </w:p>
  </w:footnote>
  <w:footnote w:id="4">
    <w:p w14:paraId="5DE75FF2" w14:textId="357744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13–22.","noteIndex":4},"citationItems":[{"id":73,"uris":["http://zotero.org/users/6782581/items/J8UBSSBN"],"uri":["http://zotero.org/users/6782581/items/J8UBSSBN"],"itemData":{"id":73,"type":"book","edition":"2nd","publisher":"Society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Martha T Roth and Harry A Hoffner, </w:t>
      </w:r>
      <w:r w:rsidRPr="006F7A8D">
        <w:rPr>
          <w:rFonts w:ascii="Times New Roman" w:hAnsi="Times New Roman" w:cs="Times New Roman"/>
          <w:i/>
          <w:iCs/>
        </w:rPr>
        <w:t>Law Collections from Mesopotamia and Asia Minor</w:t>
      </w:r>
      <w:r w:rsidRPr="006F7A8D">
        <w:rPr>
          <w:rFonts w:ascii="Times New Roman" w:hAnsi="Times New Roman" w:cs="Times New Roman"/>
        </w:rPr>
        <w:t xml:space="preserve"> (Society of Biblical Literature, 2nd ed, 1997) 13–22.</w:t>
      </w:r>
      <w:r w:rsidRPr="006F7A8D">
        <w:rPr>
          <w:rFonts w:ascii="Times New Roman" w:hAnsi="Times New Roman" w:cs="Times New Roman"/>
        </w:rPr>
        <w:fldChar w:fldCharType="end"/>
      </w:r>
    </w:p>
  </w:footnote>
  <w:footnote w:id="5">
    <w:p w14:paraId="4EB26EC7" w14:textId="2D2B70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Stephen Wolfram, ‘Computational Law, Symbolic Discourse, and the AI Constitution’ in </w:t>
      </w:r>
      <w:r w:rsidRPr="006F7A8D">
        <w:rPr>
          <w:rFonts w:ascii="Times New Roman" w:hAnsi="Times New Roman" w:cs="Times New Roman"/>
          <w:i/>
          <w:iCs/>
        </w:rPr>
        <w:t>Ethics of Artificial Intelligence</w:t>
      </w:r>
      <w:r w:rsidRPr="006F7A8D">
        <w:rPr>
          <w:rFonts w:ascii="Times New Roman" w:hAnsi="Times New Roman" w:cs="Times New Roman"/>
        </w:rPr>
        <w:t xml:space="preserve"> (Oxford University Press, 2020) 155, 155.</w:t>
      </w:r>
      <w:r w:rsidRPr="006F7A8D">
        <w:rPr>
          <w:rFonts w:ascii="Times New Roman" w:hAnsi="Times New Roman" w:cs="Times New Roman"/>
        </w:rPr>
        <w:fldChar w:fldCharType="end"/>
      </w:r>
    </w:p>
  </w:footnote>
  <w:footnote w:id="6">
    <w:p w14:paraId="22FF920B" w14:textId="4C6EBD49" w:rsidR="006F7A8D" w:rsidRPr="006F7A8D" w:rsidRDefault="006F7A8D" w:rsidP="00F70A8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380.","noteIndex":6},"citationItems":[{"id":44,"uris":["http://zotero.org/users/6782581/items/UJXJJU2E"],"uri":["http://zotero.org/users/6782581/items/UJXJJU2E"],"itemData":{"id":44,"type":"article-journal","container-title":"Journal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Layman Allen and C Engholm, ‘Normalized Legal Drafting and the Query Method’ (1978) 29 </w:t>
      </w:r>
      <w:r w:rsidRPr="006F7A8D">
        <w:rPr>
          <w:rFonts w:ascii="Times New Roman" w:hAnsi="Times New Roman" w:cs="Times New Roman"/>
          <w:i/>
          <w:iCs/>
        </w:rPr>
        <w:t>Journal of Legal Education</w:t>
      </w:r>
      <w:r w:rsidRPr="006F7A8D">
        <w:rPr>
          <w:rFonts w:ascii="Times New Roman" w:hAnsi="Times New Roman" w:cs="Times New Roman"/>
        </w:rPr>
        <w:t xml:space="preserve"> 380.</w:t>
      </w:r>
      <w:r w:rsidRPr="006F7A8D">
        <w:rPr>
          <w:rFonts w:ascii="Times New Roman" w:hAnsi="Times New Roman" w:cs="Times New Roman"/>
        </w:rPr>
        <w:fldChar w:fldCharType="end"/>
      </w:r>
    </w:p>
  </w:footnote>
  <w:footnote w:id="7">
    <w:p w14:paraId="3EE98533" w14:textId="36BDC2C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 Who links them?</w:t>
      </w:r>
    </w:p>
  </w:footnote>
  <w:footnote w:id="8">
    <w:p w14:paraId="7EAA2E5E" w14:textId="15D4DC9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Marek Sergot et al, ‘The British Nationality Act as a Logic Program’ (1986) 29 </w:t>
      </w:r>
      <w:r w:rsidRPr="006F7A8D">
        <w:rPr>
          <w:rFonts w:ascii="Times New Roman" w:hAnsi="Times New Roman" w:cs="Times New Roman"/>
          <w:i/>
          <w:iCs/>
        </w:rPr>
        <w:t>Communications of the ACM</w:t>
      </w:r>
      <w:r w:rsidRPr="006F7A8D">
        <w:rPr>
          <w:rFonts w:ascii="Times New Roman" w:hAnsi="Times New Roman" w:cs="Times New Roman"/>
        </w:rPr>
        <w:t xml:space="preserve"> 370; See also Allen Hustler, </w:t>
      </w:r>
      <w:r w:rsidRPr="006F7A8D">
        <w:rPr>
          <w:rFonts w:ascii="Times New Roman" w:hAnsi="Times New Roman" w:cs="Times New Roman"/>
          <w:i/>
          <w:iCs/>
        </w:rPr>
        <w:t>Programming Law in Logic</w:t>
      </w:r>
      <w:r w:rsidRPr="006F7A8D">
        <w:rPr>
          <w:rFonts w:ascii="Times New Roman" w:hAnsi="Times New Roman" w:cs="Times New Roman"/>
        </w:rPr>
        <w:t xml:space="preserve"> (Research Report No CS-82-13, May 1982) &lt;http://www.softwarepreservation.org/projects/prolog/waterloo/doc/Hustler-Programming_Law_in_Logic-CS_82_13_Waterloo-1982.pdf&gt;; Duncan C MacRae, ‘User Control Knowledge in a Tax Consulting System’ (1986) 19(17) </w:t>
      </w:r>
      <w:r w:rsidRPr="006F7A8D">
        <w:rPr>
          <w:rFonts w:ascii="Times New Roman" w:hAnsi="Times New Roman" w:cs="Times New Roman"/>
          <w:i/>
          <w:iCs/>
        </w:rPr>
        <w:t>IFAC Proceedings Volumes</w:t>
      </w:r>
      <w:r w:rsidRPr="006F7A8D">
        <w:rPr>
          <w:rFonts w:ascii="Times New Roman" w:hAnsi="Times New Roman" w:cs="Times New Roman"/>
        </w:rPr>
        <w:t xml:space="preserve"> 193.</w:t>
      </w:r>
      <w:r w:rsidRPr="006F7A8D">
        <w:rPr>
          <w:rFonts w:ascii="Times New Roman" w:hAnsi="Times New Roman" w:cs="Times New Roman"/>
        </w:rPr>
        <w:fldChar w:fldCharType="end"/>
      </w:r>
    </w:p>
  </w:footnote>
  <w:footnote w:id="9">
    <w:p w14:paraId="15EAB0C3" w14:textId="5224F1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1981 </w:t>
      </w:r>
      <w:r w:rsidRPr="006F7A8D">
        <w:rPr>
          <w:rFonts w:ascii="Times New Roman" w:hAnsi="Times New Roman" w:cs="Times New Roman"/>
        </w:rPr>
        <w:t>(UK).</w:t>
      </w:r>
    </w:p>
  </w:footnote>
  <w:footnote w:id="10">
    <w:p w14:paraId="2E2FA8A3" w14:textId="6987E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{"citationID":"8GIQqmTC","properties":{"formattedCitation":"Sergot et al (n 8) 379\\uc0\\u8211{}380.","plainCitation":"Sergot et al (n 8) 379–380.","noteIndex":10},"citationItems":[{"id":46,"uris":["http://zotero.org/users/6782581/items/WIX843XU"],"uri":["http://zotero.org/users/6782581/items/WIX843XU"],"itemData":{"id":46,"type":"article-journal","container-title":"Communications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1">
    <w:p w14:paraId="6FDEBD46" w14:textId="03114E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100–101.","noteIndex":11},"citationItems":[{"id":178,"uris":["http://zotero.org/users/6782581/items/B5KX5Y77"],"uri":["http://zotero.org/users/6782581/items/B5KX5Y77"],"itemData":{"id":178,"type":"article-journal","container-title":"International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Philip Leith, ‘The Rise and Fall of the Legal Expert System’ (2016) 30(3) </w:t>
      </w:r>
      <w:r w:rsidRPr="006F7A8D">
        <w:rPr>
          <w:rFonts w:ascii="Times New Roman" w:hAnsi="Times New Roman" w:cs="Times New Roman"/>
          <w:i/>
          <w:iCs/>
        </w:rPr>
        <w:t>International Review of Law, Computers &amp; Technology</w:t>
      </w:r>
      <w:r w:rsidRPr="006F7A8D">
        <w:rPr>
          <w:rFonts w:ascii="Times New Roman" w:hAnsi="Times New Roman" w:cs="Times New Roman"/>
        </w:rPr>
        <w:t xml:space="preserve"> 94, 100–101.</w:t>
      </w:r>
      <w:r w:rsidRPr="006F7A8D">
        <w:rPr>
          <w:rFonts w:ascii="Times New Roman" w:hAnsi="Times New Roman" w:cs="Times New Roman"/>
        </w:rPr>
        <w:fldChar w:fldCharType="end"/>
      </w:r>
    </w:p>
  </w:footnote>
  <w:footnote w:id="12">
    <w:p w14:paraId="72386B5F" w14:textId="22E4931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{"citationID":"F3peXTeB","properties":{"formattedCitation":"Ibid 100.","plainCitation":"Ibid 100.","noteIndex":12},"citationItems":[{"id":178,"uris":["http://zotero.org/users/6782581/items/B5KX5Y77"],"uri":["http://zotero.org/users/6782581/items/B5KX5Y77"],"itemData":{"id":178,"type":"article-journal","container-title":"International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100.</w:t>
      </w:r>
      <w:r w:rsidRPr="006F7A8D">
        <w:rPr>
          <w:rFonts w:ascii="Times New Roman" w:hAnsi="Times New Roman" w:cs="Times New Roman"/>
        </w:rPr>
        <w:fldChar w:fldCharType="end"/>
      </w:r>
    </w:p>
  </w:footnote>
  <w:footnote w:id="13">
    <w:p w14:paraId="656519FF" w14:textId="28403E2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13},"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Robert French, ‘Statutory Interpretation and Rationality in Administrative Law’ (2015) 6–7 &lt;http://www.austlii.edu.au/au/journals/AIAdminLawF/2015/20.pdf&gt;.</w:t>
      </w:r>
      <w:r w:rsidRPr="006F7A8D">
        <w:rPr>
          <w:rFonts w:ascii="Times New Roman" w:hAnsi="Times New Roman" w:cs="Times New Roman"/>
        </w:rPr>
        <w:fldChar w:fldCharType="end"/>
      </w:r>
    </w:p>
  </w:footnote>
  <w:footnote w:id="14">
    <w:p w14:paraId="78258910" w14:textId="1A93FFB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{"citationID":"9zLRUtCp","properties":{"formattedCitation":"Sergot et al (n 8) 385.","plainCitation":"Sergot et al (n 8) 385.","noteIndex":14},"citationItems":[{"id":46,"uris":["http://zotero.org/users/6782581/items/WIX843XU"],"uri":["http://zotero.org/users/6782581/items/WIX843XU"],"itemData":{"id":46,"type":"article-journal","container-title":"Communications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 385.</w:t>
      </w:r>
      <w:r w:rsidRPr="006F7A8D">
        <w:rPr>
          <w:rFonts w:ascii="Times New Roman" w:hAnsi="Times New Roman" w:cs="Times New Roman"/>
        </w:rPr>
        <w:fldChar w:fldCharType="end"/>
      </w:r>
    </w:p>
  </w:footnote>
  <w:footnote w:id="15">
    <w:p w14:paraId="5B6AAA68" w14:textId="221CD619" w:rsidR="006F7A8D" w:rsidRPr="006F7A8D" w:rsidRDefault="006F7A8D" w:rsidP="00DF2A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15},"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6F7A8D">
        <w:rPr>
          <w:rFonts w:ascii="Times New Roman" w:hAnsi="Times New Roman" w:cs="Times New Roman"/>
        </w:rPr>
        <w:fldChar w:fldCharType="end"/>
      </w:r>
    </w:p>
  </w:footnote>
  <w:footnote w:id="16">
    <w:p w14:paraId="5C96E3B5" w14:textId="3552FE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{"citationID":"hbeTWT0C","properties":{"formattedCitation":"Ibid 6.","plainCitation":"Ibid 6.","noteIndex":16},"citationItems":[{"id":26,"uris":["http://zotero.org/users/6782581/items/5C598D4E"],"uri":["http://zotero.org/users/6782581/items/5C598D4E"],"itemData":{"id":26,"type":"paper-conference","DOI":"10.1145/1165485.1165517","event-place":"Stanford,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6.</w:t>
      </w:r>
      <w:r w:rsidRPr="006F7A8D">
        <w:rPr>
          <w:rFonts w:ascii="Times New Roman" w:hAnsi="Times New Roman" w:cs="Times New Roman"/>
        </w:rPr>
        <w:fldChar w:fldCharType="end"/>
      </w:r>
    </w:p>
  </w:footnote>
  <w:footnote w:id="17">
    <w:p w14:paraId="6B0D3908" w14:textId="47F5442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{"citationID":"XkxOri0V","properties":{"formattedCitation":"Ibid 5\\uc0\\u8211{}6.","plainCitation":"Ibid 5–6.","noteIndex":17},"citationItems":[{"id":26,"uris":["http://zotero.org/users/6782581/items/5C598D4E"],"uri":["http://zotero.org/users/6782581/items/5C598D4E"],"itemData":{"id":26,"type":"paper-conference","DOI":"10.1145/1165485.1165517","event-place":"Stanford,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5–6.</w:t>
      </w:r>
      <w:r w:rsidRPr="006F7A8D">
        <w:rPr>
          <w:rFonts w:ascii="Times New Roman" w:hAnsi="Times New Roman" w:cs="Times New Roman"/>
        </w:rPr>
        <w:fldChar w:fldCharType="end"/>
      </w:r>
    </w:p>
  </w:footnote>
  <w:footnote w:id="18">
    <w:p w14:paraId="5E879571" w14:textId="789CF79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{"citationID":"GQdenm0k","properties":{"formattedCitation":"Wolfram (n 5).","plainCitation":"Wolfram (n 5).","noteIndex":18},"citationItems":[{"id":104,"uris":["http://zotero.org/users/6782581/items/28QHAVCI"],"uri":["http://zotero.org/users/6782581/items/28QHAVCI"],"itemData":{"id":104,"type":"chapter","container-title":"Ethics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Wolfram (n 5).</w:t>
      </w:r>
      <w:r w:rsidRPr="006F7A8D">
        <w:rPr>
          <w:rFonts w:ascii="Times New Roman" w:hAnsi="Times New Roman" w:cs="Times New Roman"/>
        </w:rPr>
        <w:fldChar w:fldCharType="end"/>
      </w:r>
    </w:p>
  </w:footnote>
  <w:footnote w:id="19">
    <w:p w14:paraId="517D404A" w14:textId="295D12E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Programming.","noteIndex":19},"citationItems":[{"id":104,"uris":["http://zotero.org/users/6782581/items/28QHAVCI"],"uri":["http://zotero.org/users/6782581/items/28QHAVCI"],"itemData":{"id":104,"type":"chapter","container-title":"Ethics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156–158; See also Lance A Miller, ‘Natural Language Programming: Styles, Strategies, and Contrasts’ (1981) 20(2) </w:t>
      </w:r>
      <w:r w:rsidRPr="006F7A8D">
        <w:rPr>
          <w:rFonts w:ascii="Times New Roman" w:hAnsi="Times New Roman" w:cs="Times New Roman"/>
          <w:i/>
          <w:iCs/>
          <w:szCs w:val="24"/>
        </w:rPr>
        <w:t>IBM Systems Journal</w:t>
      </w:r>
      <w:r w:rsidRPr="006F7A8D">
        <w:rPr>
          <w:rFonts w:ascii="Times New Roman" w:hAnsi="Times New Roman" w:cs="Times New Roman"/>
          <w:szCs w:val="24"/>
        </w:rPr>
        <w:t xml:space="preserve"> 184 (‘Natural Language Programming’) for early explorations into Natural Language Programming.</w:t>
      </w:r>
      <w:r w:rsidRPr="006F7A8D">
        <w:rPr>
          <w:rFonts w:ascii="Times New Roman" w:hAnsi="Times New Roman" w:cs="Times New Roman"/>
        </w:rPr>
        <w:fldChar w:fldCharType="end"/>
      </w:r>
    </w:p>
  </w:footnote>
  <w:footnote w:id="20">
    <w:p w14:paraId="4C3ADC65" w14:textId="32FF12F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the use of the COMPAS algorithm in </w:t>
      </w:r>
      <w:r w:rsidRPr="006F7A8D">
        <w:rPr>
          <w:rFonts w:ascii="Times New Roman" w:hAnsi="Times New Roman" w:cs="Times New Roman"/>
          <w:i/>
          <w:iCs/>
        </w:rPr>
        <w:t xml:space="preserve">Loomis v Wisconsin </w:t>
      </w:r>
      <w:r w:rsidRPr="006F7A8D">
        <w:rPr>
          <w:rFonts w:ascii="Times New Roman" w:hAnsi="Times New Roman" w:cs="Times New Roman"/>
        </w:rPr>
        <w:t xml:space="preserve">881 NW 2d 749 (Wis, 2016). See also Liu, Han-Wie, Ching-Fu Lin and Yu-Jie Chen, ‘Beyond State v. Loomis: Artificial Intelligence, Government Algorithmization, and Accountability’ (2019) 27(2) </w:t>
      </w:r>
      <w:r w:rsidRPr="006F7A8D">
        <w:rPr>
          <w:rFonts w:ascii="Times New Roman" w:hAnsi="Times New Roman" w:cs="Times New Roman"/>
          <w:i/>
          <w:iCs/>
        </w:rPr>
        <w:t>International Journal of Law and Information Technology</w:t>
      </w:r>
      <w:r w:rsidRPr="006F7A8D">
        <w:rPr>
          <w:rFonts w:ascii="Times New Roman" w:hAnsi="Times New Roman" w:cs="Times New Roman"/>
        </w:rPr>
        <w:t xml:space="preserve"> 121. </w:t>
      </w:r>
    </w:p>
  </w:footnote>
  <w:footnote w:id="21">
    <w:p w14:paraId="4E1F530F" w14:textId="63D4A3C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&lt;https://law.stanford.edu/projects/hammurabi/&gt;.","noteIndex":21},"citationItems":[{"id":1,"uris":["http://zotero.org/users/6782581/items/CE9X6PPW"],"uri":["http://zotero.org/users/6782581/items/CE9X6PPW"],"itemData":{"id":1,"type":"report","genre":"Discovery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Government Information Services, </w:t>
      </w:r>
      <w:r w:rsidRPr="006F7A8D">
        <w:rPr>
          <w:rFonts w:ascii="Times New Roman" w:hAnsi="Times New Roman" w:cs="Times New Roman"/>
          <w:i/>
          <w:iCs/>
        </w:rPr>
        <w:t>Better Rules for Government</w:t>
      </w:r>
      <w:r w:rsidRPr="006F7A8D">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6F7A8D">
        <w:rPr>
          <w:rFonts w:ascii="Times New Roman" w:hAnsi="Times New Roman" w:cs="Times New Roman"/>
          <w:i/>
          <w:iCs/>
        </w:rPr>
        <w:t>Open Fisca</w:t>
      </w:r>
      <w:r w:rsidRPr="006F7A8D">
        <w:rPr>
          <w:rFonts w:ascii="Times New Roman" w:hAnsi="Times New Roman" w:cs="Times New Roman"/>
        </w:rPr>
        <w:t xml:space="preserve"> (Wiki) &lt;https://openfisca.org/doc/coding-the-legislation/index.html&gt;; Stanford Law School, ‘Hammurabi’, </w:t>
      </w:r>
      <w:r w:rsidRPr="006F7A8D">
        <w:rPr>
          <w:rFonts w:ascii="Times New Roman" w:hAnsi="Times New Roman" w:cs="Times New Roman"/>
          <w:i/>
          <w:iCs/>
        </w:rPr>
        <w:t>Stanford Law School</w:t>
      </w:r>
      <w:r w:rsidRPr="006F7A8D">
        <w:rPr>
          <w:rFonts w:ascii="Times New Roman" w:hAnsi="Times New Roman" w:cs="Times New Roman"/>
        </w:rPr>
        <w:t xml:space="preserve"> &lt;https://law.stanford.edu/projects/hammurabi/&gt;.</w:t>
      </w:r>
      <w:r w:rsidRPr="006F7A8D">
        <w:rPr>
          <w:rFonts w:ascii="Times New Roman" w:hAnsi="Times New Roman" w:cs="Times New Roman"/>
        </w:rPr>
        <w:fldChar w:fldCharType="end"/>
      </w:r>
    </w:p>
  </w:footnote>
  <w:footnote w:id="22">
    <w:p w14:paraId="64DDFF6A" w14:textId="3CE8AB4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Way’).","noteIndex":22},"citationItems":[{"id":108,"uris":["http://zotero.org/users/6782581/items/LPANZMLD"],"uri":["http://zotero.org/users/6782581/items/LPANZMLD"],"itemData":{"id":108,"type":"article","abstract":"Opportunities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6F7A8D">
        <w:rPr>
          <w:rFonts w:ascii="Times New Roman" w:hAnsi="Times New Roman" w:cs="Times New Roman"/>
          <w:i/>
          <w:iCs/>
        </w:rPr>
        <w:t>Juniper Research</w:t>
      </w:r>
      <w:r w:rsidRPr="006F7A8D">
        <w:rPr>
          <w:rFonts w:ascii="Times New Roman" w:hAnsi="Times New Roman" w:cs="Times New Roman"/>
        </w:rPr>
        <w:t xml:space="preserve"> (24 September 2019) &lt;https://www.juniperresearch.com/press/press-releases/regtech-spending-to-reach-$127-billion-by-2024&gt;. See also Emmanuel Schizas et al, </w:t>
      </w:r>
      <w:r w:rsidRPr="006F7A8D">
        <w:rPr>
          <w:rFonts w:ascii="Times New Roman" w:hAnsi="Times New Roman" w:cs="Times New Roman"/>
          <w:i/>
          <w:iCs/>
        </w:rPr>
        <w:t>The Global RegTech Industry Benchmark Report</w:t>
      </w:r>
      <w:r w:rsidRPr="006F7A8D">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6F7A8D">
        <w:rPr>
          <w:rFonts w:ascii="Times New Roman" w:hAnsi="Times New Roman" w:cs="Times New Roman"/>
        </w:rPr>
        <w:fldChar w:fldCharType="end"/>
      </w:r>
    </w:p>
  </w:footnote>
  <w:footnote w:id="23">
    <w:p w14:paraId="05B80447" w14:textId="7E86CE0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Commonwealth, Royal Commission into Misconduct in the Banking, Superannuation and Financial Services Industry, </w:t>
      </w:r>
      <w:r w:rsidRPr="006F7A8D">
        <w:rPr>
          <w:rFonts w:ascii="Times New Roman" w:hAnsi="Times New Roman" w:cs="Times New Roman"/>
          <w:i/>
          <w:iCs/>
        </w:rPr>
        <w:t>Final Report</w:t>
      </w:r>
      <w:r w:rsidRPr="006F7A8D">
        <w:rPr>
          <w:rFonts w:ascii="Times New Roman" w:hAnsi="Times New Roman" w:cs="Times New Roman"/>
        </w:rPr>
        <w:t xml:space="preserve"> (2019). </w:t>
      </w:r>
    </w:p>
  </w:footnote>
  <w:footnote w:id="24">
    <w:p w14:paraId="7D029E35" w14:textId="54176D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‘Statement of Claim’, </w:t>
      </w:r>
      <w:r w:rsidRPr="006F7A8D">
        <w:rPr>
          <w:rFonts w:ascii="Times New Roman" w:hAnsi="Times New Roman" w:cs="Times New Roman"/>
          <w:i/>
          <w:iCs/>
        </w:rPr>
        <w:t>Chief Executive Officer of the Australian Transaction Reports and Analysis Centre v Westpac Banking Corporation</w:t>
      </w:r>
      <w:r w:rsidRPr="006F7A8D">
        <w:rPr>
          <w:rFonts w:ascii="Times New Roman" w:hAnsi="Times New Roman" w:cs="Times New Roman"/>
        </w:rPr>
        <w:t xml:space="preserve"> (Federal Court of Australia, 20 November 2019).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failures.","noteIndex":24},"citationItems":[{"id":180,"uris":["http://zotero.org/users/6782581/items/PMCA8XAW"],"uri":["http://zotero.org/users/6782581/items/PMCA8XAW"],"itemData":{"id":180,"type":"article","language":"en","source":"Zotero","title":"Westpac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Westpac Banking Corporation, ‘Westpac Releases Findings into Austrac Statement of Claim’ (4 June 2020) for Westpac’s acknowledgement of compliance failures.</w:t>
      </w:r>
      <w:r w:rsidRPr="006F7A8D">
        <w:rPr>
          <w:rFonts w:ascii="Times New Roman" w:hAnsi="Times New Roman" w:cs="Times New Roman"/>
        </w:rPr>
        <w:fldChar w:fldCharType="end"/>
      </w:r>
    </w:p>
  </w:footnote>
  <w:footnote w:id="25">
    <w:p w14:paraId="66770FD7" w14:textId="4165B64E" w:rsidR="006F7A8D" w:rsidRPr="006F7A8D" w:rsidRDefault="006F7A8D" w:rsidP="005B5B9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6">
    <w:p w14:paraId="1DA472A5" w14:textId="524E5F76" w:rsidR="005B3737" w:rsidRDefault="005B3737">
      <w:pPr>
        <w:pStyle w:val="FootnoteText"/>
      </w:pPr>
      <w:r>
        <w:rPr>
          <w:rStyle w:val="FootnoteReference"/>
        </w:rPr>
        <w:footnoteRef/>
      </w:r>
      <w:r>
        <w:t xml:space="preserve"> TODO</w:t>
      </w:r>
    </w:p>
  </w:footnote>
  <w:footnote w:id="27">
    <w:p w14:paraId="0093AA1E" w14:textId="56D94F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EXPAND ON THIS BY UNPACKING LOOMIS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{"citationID":"ycmw5MCv","properties":{"formattedCitation":"Mohun and Roberts (n 1) 21.","plainCitation":"Mohun and Roberts (n 1) 21.","noteIndex":26},"citationItems":[{"id":19,"uris":["http://zotero.org/users/6782581/items/HWX5UKVU"],"uri":["http://zotero.org/users/6782581/items/HWX5UKVU"],"itemData":{"id":19,"type":"article","publisher":"Observatory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21.</w:t>
      </w:r>
      <w:r w:rsidRPr="006F7A8D">
        <w:rPr>
          <w:rFonts w:ascii="Times New Roman" w:hAnsi="Times New Roman" w:cs="Times New Roman"/>
        </w:rPr>
        <w:fldChar w:fldCharType="end"/>
      </w:r>
      <w:r w:rsidRPr="006F7A8D">
        <w:rPr>
          <w:rFonts w:ascii="Times New Roman" w:hAnsi="Times New Roman" w:cs="Times New Roman"/>
        </w:rPr>
        <w:t xml:space="preserve"> Though not a ‘Rules as Code’ solution, such concerns over proprietarily ‘opaque’ software being relied upon for legal decision-making were realised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w:t>
      </w:r>
    </w:p>
  </w:footnote>
  <w:footnote w:id="28">
    <w:p w14:paraId="6EB1D80C" w14:textId="0AFF387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{"citationID":"HmsSCMtt","properties":{"formattedCitation":"Ibid 68\\uc0\\u8211{}69. See also Government Information Services (n 21);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&lt;https://www.oeffentliche-it.de/publikationen?doc=104099&amp;title=Recht+Digital+-+Maschinenverst%C3%A4ndlich+und+automatisierbar&gt;.","plainCitation":"Ibid 68–69. See also Government Information Services (n 21);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27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68–69. See also Government Information Services (n 21); Open Fisca, ‘OpenFisca’, </w:t>
      </w:r>
      <w:r w:rsidRPr="006F7A8D">
        <w:rPr>
          <w:rFonts w:ascii="Times New Roman" w:hAnsi="Times New Roman" w:cs="Times New Roman"/>
          <w:i/>
          <w:iCs/>
          <w:szCs w:val="24"/>
        </w:rPr>
        <w:t>Open Fisca</w:t>
      </w:r>
      <w:r w:rsidRPr="006F7A8D">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6F7A8D">
        <w:rPr>
          <w:rFonts w:ascii="Times New Roman" w:hAnsi="Times New Roman" w:cs="Times New Roman"/>
        </w:rPr>
        <w:fldChar w:fldCharType="end"/>
      </w:r>
    </w:p>
  </w:footnote>
  <w:footnote w:id="29">
    <w:p w14:paraId="08E9829C" w14:textId="61B6C3E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803.","noteIndex":28},"citationItems":[{"id":34,"uris":["http://zotero.org/users/6782581/items/2ZVZMK7S"],"uri":["http://zotero.org/users/6782581/items/2ZVZMK7S"],"itemData":{"id":34,"type":"article-journal","container-title":"Stanford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Sonja Starr, ‘Evidence-Based Sentencing and the Scientific Rationalization of Discrimination’ (2014) 66(4) </w:t>
      </w:r>
      <w:r w:rsidRPr="006F7A8D">
        <w:rPr>
          <w:rFonts w:ascii="Times New Roman" w:hAnsi="Times New Roman" w:cs="Times New Roman"/>
          <w:i/>
          <w:iCs/>
        </w:rPr>
        <w:t>Stanford Law Review</w:t>
      </w:r>
      <w:r w:rsidRPr="006F7A8D">
        <w:rPr>
          <w:rFonts w:ascii="Times New Roman" w:hAnsi="Times New Roman" w:cs="Times New Roman"/>
        </w:rPr>
        <w:t xml:space="preserve"> 803.</w:t>
      </w:r>
      <w:r w:rsidRPr="006F7A8D">
        <w:rPr>
          <w:rFonts w:ascii="Times New Roman" w:hAnsi="Times New Roman" w:cs="Times New Roman"/>
        </w:rPr>
        <w:fldChar w:fldCharType="end"/>
      </w:r>
    </w:p>
  </w:footnote>
  <w:footnote w:id="30">
    <w:p w14:paraId="1574C1D7" w14:textId="3F6ADD0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Liu, Han-Wie, Ching-Fu Lin and Yu-Jie Chen (n 17).</w:t>
      </w:r>
    </w:p>
  </w:footnote>
  <w:footnote w:id="31">
    <w:p w14:paraId="3B432EB6" w14:textId="05B34D4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‘How We Analyzed the COMPAS Recidivism Algorithm’, ProPublica (online, 23 May 2016) &lt;https://www.propublica.org/article/how-we-analyzed-the-compas-recidivism-algorithm&gt;; ProPublica, </w:t>
      </w:r>
      <w:r w:rsidRPr="006F7A8D">
        <w:rPr>
          <w:rFonts w:ascii="Times New Roman" w:hAnsi="Times New Roman" w:cs="Times New Roman"/>
          <w:i/>
          <w:iCs/>
        </w:rPr>
        <w:t>COMPAS Recidivism Risk Score Data and Analysis</w:t>
      </w:r>
      <w:r w:rsidRPr="006F7A8D">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6F7A8D">
        <w:rPr>
          <w:rFonts w:ascii="Times New Roman" w:hAnsi="Times New Roman" w:cs="Times New Roman"/>
          <w:i/>
          <w:iCs/>
        </w:rPr>
        <w:t>ProPublica</w:t>
      </w:r>
      <w:r w:rsidRPr="006F7A8D">
        <w:rPr>
          <w:rFonts w:ascii="Times New Roman" w:hAnsi="Times New Roman" w:cs="Times New Roman"/>
        </w:rPr>
        <w:t xml:space="preserve"> (online, 29 July 2016) &lt;https://www.propublica.org/article/propublica-responds-to-companys-critique-of-machine-bias-story&gt;. </w:t>
      </w:r>
    </w:p>
  </w:footnote>
  <w:footnote w:id="32">
    <w:p w14:paraId="2081A2F7" w14:textId="0A3F447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{"citationID":"EJoC2k8c","properties":{"formattedCitation":"Starr (n 28) 836\\uc0\\u8211{}837.","plainCitation":"Starr (n 28) 836–837.","noteIndex":31},"citationItems":[{"id":34,"uris":["http://zotero.org/users/6782581/items/2ZVZMK7S"],"uri":["http://zotero.org/users/6782581/items/2ZVZMK7S"],"itemData":{"id":34,"type":"article-journal","container-title":"Stanford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836–837.</w:t>
      </w:r>
      <w:r w:rsidRPr="006F7A8D">
        <w:rPr>
          <w:rFonts w:ascii="Times New Roman" w:hAnsi="Times New Roman" w:cs="Times New Roman"/>
        </w:rPr>
        <w:fldChar w:fldCharType="end"/>
      </w:r>
    </w:p>
  </w:footnote>
  <w:footnote w:id="33">
    <w:p w14:paraId="1C721112" w14:textId="2269BC0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34">
    <w:p w14:paraId="45E11357" w14:textId="51FDFB1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(n 27); Angwin, Julia and Jeff Larson (n 27). </w:t>
      </w:r>
    </w:p>
  </w:footnote>
  <w:footnote w:id="35">
    <w:p w14:paraId="09F93F03" w14:textId="6BE46F8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Northpointe, ‘Practitioner’s Guide to COMPAS Core’ (Guidance, Northpointe, 19 March 2015) 29. </w:t>
      </w:r>
    </w:p>
  </w:footnote>
  <w:footnote w:id="36">
    <w:p w14:paraId="02798E03" w14:textId="5EF21CC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{"citationID":"g2b0CbVi","properties":{"formattedCitation":"Starr (n 28) 837\\uc0\\u8211{}838.","plainCitation":"Starr (n 28) 837–838.","noteIndex":35},"citationItems":[{"id":34,"uris":["http://zotero.org/users/6782581/items/2ZVZMK7S"],"uri":["http://zotero.org/users/6782581/items/2ZVZMK7S"],"itemData":{"id":34,"type":"article-journal","container-title":"Stanford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837–838.</w:t>
      </w:r>
      <w:r w:rsidRPr="006F7A8D">
        <w:rPr>
          <w:rFonts w:ascii="Times New Roman" w:hAnsi="Times New Roman" w:cs="Times New Roman"/>
        </w:rPr>
        <w:fldChar w:fldCharType="end"/>
      </w:r>
    </w:p>
  </w:footnote>
  <w:footnote w:id="37">
    <w:p w14:paraId="0EFDFE21" w14:textId="4DCC27F7" w:rsidR="006F7A8D" w:rsidRPr="006F7A8D" w:rsidRDefault="006F7A8D" w:rsidP="0020319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{"citationID":"0RlL0EnK","properties":{"formattedCitation":"Genesereth (n 15) 5.","plainCitation":"Genesereth (n 15) 5.","noteIndex":36},"citationItems":[{"id":26,"uris":["http://zotero.org/users/6782581/items/5C598D4E"],"uri":["http://zotero.org/users/6782581/items/5C598D4E"],"itemData":{"id":26,"type":"paper-conference","DOI":"10.1145/1165485.1165517","event-place":"Stanford,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 5.</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38">
    <w:p w14:paraId="3C6EEF4A" w14:textId="5D5D0B4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‘formalism’.","noteIndex":37},"citationItems":[{"id":140,"uris":["http://zotero.org/users/6782581/items/9CP4Z6PX"],"uri":["http://zotero.org/users/6782581/items/9CP4Z6PX"],"itemData":{"id":140,"type":"entry-dictionary","container-title":"West's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West’s Encyclopedia of American Law</w:t>
      </w:r>
      <w:r w:rsidRPr="006F7A8D">
        <w:rPr>
          <w:rFonts w:ascii="Times New Roman" w:hAnsi="Times New Roman" w:cs="Times New Roman"/>
        </w:rPr>
        <w:t xml:space="preserve"> (online at 25 August 2020) ‘formalism’.</w:t>
      </w:r>
      <w:r w:rsidRPr="006F7A8D">
        <w:rPr>
          <w:rFonts w:ascii="Times New Roman" w:hAnsi="Times New Roman" w:cs="Times New Roman"/>
        </w:rPr>
        <w:fldChar w:fldCharType="end"/>
      </w:r>
    </w:p>
  </w:footnote>
  <w:footnote w:id="39">
    <w:p w14:paraId="2B348362" w14:textId="74568EF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1144–1147.","noteIndex":38},"citationItems":[{"id":58,"uris":["http://zotero.org/users/6782581/items/4KSSRSZ7"],"uri":["http://zotero.org/users/6782581/items/4KSSRSZ7"],"itemData":{"id":58,"type":"chapter","abstract":"There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Judge Richard A. Posner, ‘Nine Theories of Judicial Behavior’ in </w:t>
      </w:r>
      <w:r w:rsidRPr="006F7A8D">
        <w:rPr>
          <w:rFonts w:ascii="Times New Roman" w:hAnsi="Times New Roman" w:cs="Times New Roman"/>
          <w:i/>
          <w:iCs/>
        </w:rPr>
        <w:t>How Judges Think</w:t>
      </w:r>
      <w:r w:rsidRPr="006F7A8D">
        <w:rPr>
          <w:rFonts w:ascii="Times New Roman" w:hAnsi="Times New Roman" w:cs="Times New Roman"/>
        </w:rPr>
        <w:t xml:space="preserve"> (Harvard University Press, 2008) 19, 42 &lt;https://www.jstor.org/stable/j.ctvjk2w91.4&gt;; Brian Z Tamanaha, ‘INTRODUCTION’ in </w:t>
      </w:r>
      <w:r w:rsidRPr="006F7A8D">
        <w:rPr>
          <w:rFonts w:ascii="Times New Roman" w:hAnsi="Times New Roman" w:cs="Times New Roman"/>
          <w:i/>
          <w:iCs/>
        </w:rPr>
        <w:t>Beyond the Formalist-Realist Divide</w:t>
      </w:r>
      <w:r w:rsidRPr="006F7A8D">
        <w:rPr>
          <w:rFonts w:ascii="Times New Roman" w:hAnsi="Times New Roman" w:cs="Times New Roman"/>
        </w:rPr>
        <w:t xml:space="preserve"> (Princeton University Press, 2010) 1, 1–6 &lt;https://www.jstor.org/stable/j.ctt7rm95.4&gt;; Brian Leiter, ‘Positivism, Formalism, Realism’, ed Anthony Sebok (1999) 99(4) </w:t>
      </w:r>
      <w:r w:rsidRPr="006F7A8D">
        <w:rPr>
          <w:rFonts w:ascii="Times New Roman" w:hAnsi="Times New Roman" w:cs="Times New Roman"/>
          <w:i/>
          <w:iCs/>
        </w:rPr>
        <w:t>Columbia Law Review</w:t>
      </w:r>
      <w:r w:rsidRPr="006F7A8D">
        <w:rPr>
          <w:rFonts w:ascii="Times New Roman" w:hAnsi="Times New Roman" w:cs="Times New Roman"/>
        </w:rPr>
        <w:t xml:space="preserve"> 1138, 1144–1147.</w:t>
      </w:r>
      <w:r w:rsidRPr="006F7A8D">
        <w:rPr>
          <w:rFonts w:ascii="Times New Roman" w:hAnsi="Times New Roman" w:cs="Times New Roman"/>
        </w:rPr>
        <w:fldChar w:fldCharType="end"/>
      </w:r>
    </w:p>
  </w:footnote>
  <w:footnote w:id="40">
    <w:p w14:paraId="508182B3" w14:textId="3D3155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39},"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Joe McIntyre, ‘CSIRO Wants Our Laws Turned into Computer Code. Here’s Why That’s a Bad Idea’, </w:t>
      </w:r>
      <w:r w:rsidRPr="006F7A8D">
        <w:rPr>
          <w:rFonts w:ascii="Times New Roman" w:hAnsi="Times New Roman" w:cs="Times New Roman"/>
          <w:i/>
          <w:iCs/>
        </w:rPr>
        <w:t>The Conversation</w:t>
      </w:r>
      <w:r w:rsidRPr="006F7A8D">
        <w:rPr>
          <w:rFonts w:ascii="Times New Roman" w:hAnsi="Times New Roman" w:cs="Times New Roman"/>
        </w:rPr>
        <w:t xml:space="preserve"> (20 January 2020) &lt;http://theconversation.com/csiro-wants-our-laws-turned-into-computer-code-heres-why-thats-a-bad-idea-130131&gt;.</w:t>
      </w:r>
      <w:r w:rsidRPr="006F7A8D">
        <w:rPr>
          <w:rFonts w:ascii="Times New Roman" w:hAnsi="Times New Roman" w:cs="Times New Roman"/>
        </w:rPr>
        <w:fldChar w:fldCharType="end"/>
      </w:r>
    </w:p>
  </w:footnote>
  <w:footnote w:id="41">
    <w:p w14:paraId="28CDDB10" w14:textId="77777777" w:rsidR="006F7A8D" w:rsidRPr="006F7A8D" w:rsidRDefault="006F7A8D" w:rsidP="00DE440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Code civil des français </w:t>
      </w:r>
      <w:r w:rsidRPr="006F7A8D">
        <w:rPr>
          <w:rFonts w:ascii="Times New Roman" w:hAnsi="Times New Roman" w:cs="Times New Roman"/>
        </w:rPr>
        <w:t>[Civil code of the French] (France).</w:t>
      </w:r>
    </w:p>
  </w:footnote>
  <w:footnote w:id="42">
    <w:p w14:paraId="1777F693" w14:textId="4D6D38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art 5.</w:t>
      </w:r>
    </w:p>
  </w:footnote>
  <w:footnote w:id="43">
    <w:p w14:paraId="6ABC21AE" w14:textId="5A51384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TO SUPPORT THIS STATEMENT</w:t>
      </w:r>
    </w:p>
  </w:footnote>
  <w:footnote w:id="44">
    <w:p w14:paraId="36278AC5" w14:textId="271D93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198 US 45 (1905).</w:t>
      </w:r>
    </w:p>
  </w:footnote>
  <w:footnote w:id="45">
    <w:p w14:paraId="173E3341" w14:textId="7041434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“Swearing in of Sir Own Dixon as Chief Justice” (1952) 85 CLR xi, xiv.</w:t>
      </w:r>
    </w:p>
  </w:footnote>
  <w:footnote w:id="46">
    <w:p w14:paraId="5C8BBAE8" w14:textId="3899D0E1" w:rsidR="006F7A8D" w:rsidRPr="006F7A8D" w:rsidRDefault="006F7A8D" w:rsidP="00C42A23">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29.","noteIndex":45},"citationItems":[{"id":68,"uris":["http://zotero.org/users/6782581/items/URMZBFEJ"],"uri":["http://zotero.org/users/6782581/items/URMZBFEJ"],"itemData":{"id":68,"type":"legal_case","container-title":"CLR","note":"jurisdiction: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w:t>
      </w:r>
      <w:r w:rsidRPr="006F7A8D">
        <w:rPr>
          <w:rFonts w:ascii="Times New Roman" w:hAnsi="Times New Roman" w:cs="Times New Roman"/>
          <w:i/>
          <w:iCs/>
        </w:rPr>
        <w:t>Australian National Airways Pty Ltd v Commonwealth (No 1) (‘Airlines Nationalisation case’)</w:t>
      </w:r>
      <w:r w:rsidRPr="006F7A8D">
        <w:rPr>
          <w:rFonts w:ascii="Times New Roman" w:hAnsi="Times New Roman" w:cs="Times New Roman"/>
        </w:rPr>
        <w:t xml:space="preserve"> (1945) 71 CLR 29.</w:t>
      </w:r>
      <w:r w:rsidRPr="006F7A8D">
        <w:rPr>
          <w:rFonts w:ascii="Times New Roman" w:hAnsi="Times New Roman" w:cs="Times New Roman"/>
        </w:rPr>
        <w:fldChar w:fldCharType="end"/>
      </w:r>
    </w:p>
  </w:footnote>
  <w:footnote w:id="47">
    <w:p w14:paraId="2565C099" w14:textId="171C7D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Dixon J, “Concerning Judicial Method” (1956) 29 ALJ 468, 472, where Dixon distinguishes between judicial development of the law through extension of accepted principles and the deliberate abandonment of a given principle.</w:t>
      </w:r>
    </w:p>
  </w:footnote>
  <w:footnote w:id="48">
    <w:p w14:paraId="2B24C9A3" w14:textId="51BD912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3–4.","noteIndex":47},"citationItems":[{"id":65,"uris":["http://zotero.org/users/6782581/items/WN74FDZY"],"uri":["http://zotero.org/users/6782581/items/WN74FDZY"],"itemData":{"id":65,"type":"article-journal","container-title":"Otago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Justice Michael Kirby, ‘“Judicial Activism”? A Riposte to the Counter-Reformation’ 11 </w:t>
      </w:r>
      <w:r w:rsidRPr="006F7A8D">
        <w:rPr>
          <w:rFonts w:ascii="Times New Roman" w:hAnsi="Times New Roman" w:cs="Times New Roman"/>
          <w:i/>
          <w:iCs/>
        </w:rPr>
        <w:t>Otago Law Review</w:t>
      </w:r>
      <w:r w:rsidRPr="006F7A8D">
        <w:rPr>
          <w:rFonts w:ascii="Times New Roman" w:hAnsi="Times New Roman" w:cs="Times New Roman"/>
        </w:rPr>
        <w:t xml:space="preserve"> 1, 3–4.</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49">
    <w:p w14:paraId="292DA9D1" w14:textId="41A7DA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{"citationID":"tNvBMMOL","properties":{"formattedCitation":"Ibid 3.","plainCitation":"Ibid 3.","noteIndex":48},"citationItems":[{"id":65,"uris":["http://zotero.org/users/6782581/items/WN74FDZY"],"uri":["http://zotero.org/users/6782581/items/WN74FDZY"],"itemData":{"id":65,"type":"article-journal","container-title":"Otago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3.</w:t>
      </w:r>
      <w:r w:rsidRPr="006F7A8D">
        <w:rPr>
          <w:rFonts w:ascii="Times New Roman" w:hAnsi="Times New Roman" w:cs="Times New Roman"/>
        </w:rPr>
        <w:fldChar w:fldCharType="end"/>
      </w:r>
      <w:r w:rsidRPr="006F7A8D">
        <w:rPr>
          <w:rFonts w:ascii="Times New Roman" w:hAnsi="Times New Roman" w:cs="Times New Roman"/>
        </w:rPr>
        <w:t xml:space="preserve">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162.","noteIndex":48},"citationItems":[{"id":62,"uris":["http://zotero.org/users/6782581/items/9CV58W3X"],"uri":["http://zotero.org/users/6782581/items/9CV58W3X"],"itemData":{"id":62,"type":"article-journal","abstract":"The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Bryan Horrigan, ‘Australian Legal Principles in Practice – Taking Reasoning and Research Seriously’ (1993) 9 </w:t>
      </w:r>
      <w:r w:rsidRPr="006F7A8D">
        <w:rPr>
          <w:rFonts w:ascii="Times New Roman" w:hAnsi="Times New Roman" w:cs="Times New Roman"/>
          <w:i/>
          <w:iCs/>
        </w:rPr>
        <w:t>Queensland University of Technology Law Journal</w:t>
      </w:r>
      <w:r w:rsidRPr="006F7A8D">
        <w:rPr>
          <w:rFonts w:ascii="Times New Roman" w:hAnsi="Times New Roman" w:cs="Times New Roman"/>
        </w:rPr>
        <w:t xml:space="preserve"> 159, 162.</w:t>
      </w:r>
      <w:r w:rsidRPr="006F7A8D">
        <w:rPr>
          <w:rFonts w:ascii="Times New Roman" w:hAnsi="Times New Roman" w:cs="Times New Roman"/>
        </w:rPr>
        <w:fldChar w:fldCharType="end"/>
      </w:r>
    </w:p>
  </w:footnote>
  <w:footnote w:id="50">
    <w:p w14:paraId="427A6A10" w14:textId="06102A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{"citationID":"X01PCjbv","properties":{"formattedCitation":"Justice Michael Kirby (n 47) 4\\uc0\\u8211{}8, 13\\uc0\\u8211{}16.","plainCitation":"Justice Michael Kirby (n 47) 4–8, 13–16.","noteIndex":49},"citationItems":[{"id":65,"uris":["http://zotero.org/users/6782581/items/WN74FDZY"],"uri":["http://zotero.org/users/6782581/items/WN74FDZY"],"itemData":{"id":65,"type":"article-journal","container-title":"Otago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Justice Michael Kirby (n 47) 4–8, 13–16.</w:t>
      </w:r>
      <w:r w:rsidRPr="006F7A8D">
        <w:rPr>
          <w:rFonts w:ascii="Times New Roman" w:hAnsi="Times New Roman" w:cs="Times New Roman"/>
        </w:rPr>
        <w:fldChar w:fldCharType="end"/>
      </w:r>
    </w:p>
  </w:footnote>
  <w:footnote w:id="51">
    <w:p w14:paraId="66380A17" w14:textId="0BA91170" w:rsidR="006F7A8D" w:rsidRPr="006F7A8D" w:rsidRDefault="006F7A8D" w:rsidP="00EB72A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{"citationID":"g9p4s1Qf","properties":{"formattedCitation":"Ibid 13.","plainCitation":"Ibid 13.","noteIndex":50},"citationItems":[{"id":65,"uris":["http://zotero.org/users/6782581/items/WN74FDZY"],"uri":["http://zotero.org/users/6782581/items/WN74FDZY"],"itemData":{"id":65,"type":"article-journal","container-title":"Otago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13.</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52">
    <w:p w14:paraId="34915125" w14:textId="74D8635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Marcin Matczak, ‘Why Judicial Formalism Is Incompatible with the Rule of Law’ [2016] </w:t>
      </w:r>
      <w:r w:rsidRPr="006F7A8D">
        <w:rPr>
          <w:rFonts w:ascii="Times New Roman" w:hAnsi="Times New Roman" w:cs="Times New Roman"/>
          <w:i/>
          <w:iCs/>
        </w:rPr>
        <w:t>SSRN Electronic Journal</w:t>
      </w:r>
      <w:r w:rsidRPr="006F7A8D">
        <w:rPr>
          <w:rFonts w:ascii="Times New Roman" w:hAnsi="Times New Roman" w:cs="Times New Roman"/>
        </w:rPr>
        <w:t>.</w:t>
      </w:r>
      <w:r w:rsidRPr="006F7A8D">
        <w:rPr>
          <w:rFonts w:ascii="Times New Roman" w:hAnsi="Times New Roman" w:cs="Times New Roman"/>
        </w:rPr>
        <w:fldChar w:fldCharType="end"/>
      </w:r>
    </w:p>
  </w:footnote>
  <w:footnote w:id="53">
    <w:p w14:paraId="2C2FA636" w14:textId="5DAFBC3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{"citationID":"pDhpd9DU","properties":{"formattedCitation":"Ibid 21\\uc0\\u8211{}25.","plainCitation":"Ibid 21–25.","noteIndex":52},"citationItems":[{"id":43,"uris":["http://zotero.org/users/6782581/items/QH39DL47"],"uri":["http://zotero.org/users/6782581/items/QH39DL47"],"itemData":{"id":43,"type":"article-journal","container-title":"SSRN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21–25.</w:t>
      </w:r>
      <w:r w:rsidRPr="006F7A8D">
        <w:rPr>
          <w:rFonts w:ascii="Times New Roman" w:hAnsi="Times New Roman" w:cs="Times New Roman"/>
        </w:rPr>
        <w:fldChar w:fldCharType="end"/>
      </w:r>
    </w:p>
  </w:footnote>
  <w:footnote w:id="54">
    <w:p w14:paraId="733888BF" w14:textId="57AA300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53},"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The notion of ‘predictability’ as a facet of the rule of law has been affirmed throughout history. See, eg, John Locke, </w:t>
      </w:r>
      <w:r w:rsidRPr="006F7A8D">
        <w:rPr>
          <w:rFonts w:ascii="Times New Roman" w:hAnsi="Times New Roman" w:cs="Times New Roman"/>
          <w:i/>
          <w:iCs/>
        </w:rPr>
        <w:t>Two Treatises</w:t>
      </w:r>
      <w:r w:rsidRPr="006F7A8D">
        <w:rPr>
          <w:rFonts w:ascii="Times New Roman" w:hAnsi="Times New Roman" w:cs="Times New Roman"/>
        </w:rPr>
        <w:t xml:space="preserve"> (Awnsham Churchill, 1689) §137 &lt;https://oll.libertyfund.org/pages/john-locke-two-treatises-1689&gt;; Friedrich Hayek, </w:t>
      </w:r>
      <w:r w:rsidRPr="006F7A8D">
        <w:rPr>
          <w:rFonts w:ascii="Times New Roman" w:hAnsi="Times New Roman" w:cs="Times New Roman"/>
          <w:i/>
          <w:iCs/>
        </w:rPr>
        <w:t>Rules and Order</w:t>
      </w:r>
      <w:r w:rsidRPr="006F7A8D">
        <w:rPr>
          <w:rFonts w:ascii="Times New Roman" w:hAnsi="Times New Roman" w:cs="Times New Roman"/>
        </w:rPr>
        <w:t xml:space="preserve">, vol 1 (University of Chicago Press, 1973) 118. See also Jeremy Waldron, ‘The Rule of Law’ in Edward N Zalta (ed), </w:t>
      </w:r>
      <w:r w:rsidRPr="006F7A8D">
        <w:rPr>
          <w:rFonts w:ascii="Times New Roman" w:hAnsi="Times New Roman" w:cs="Times New Roman"/>
          <w:i/>
          <w:iCs/>
        </w:rPr>
        <w:t>The Stanford Encyclopedia of Philosophy</w:t>
      </w:r>
      <w:r w:rsidRPr="006F7A8D">
        <w:rPr>
          <w:rFonts w:ascii="Times New Roman" w:hAnsi="Times New Roman" w:cs="Times New Roman"/>
        </w:rPr>
        <w:t xml:space="preserve"> (Metaphysics Research Lab, Stanford University, 2020) &lt;https://plato.stanford.edu/archives/sum2020/entries/rule-of-law/&gt;.</w:t>
      </w:r>
      <w:r w:rsidRPr="006F7A8D">
        <w:rPr>
          <w:rFonts w:ascii="Times New Roman" w:hAnsi="Times New Roman" w:cs="Times New Roman"/>
        </w:rPr>
        <w:fldChar w:fldCharType="end"/>
      </w:r>
    </w:p>
  </w:footnote>
  <w:footnote w:id="55">
    <w:p w14:paraId="3BBEE8DD" w14:textId="4BA7563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223.","dontUpdate":true,"noteIndex":54},"citationItems":[{"id":127,"uris":["http://zotero.org/users/6782581/items/Y59582P8"],"uri":["http://zotero.org/users/6782581/items/Y59582P8"],"itemData":{"id":127,"type":"legal_case","authority":"United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Smith v United States</w:t>
      </w:r>
      <w:r w:rsidRPr="006F7A8D">
        <w:rPr>
          <w:rFonts w:ascii="Times New Roman" w:hAnsi="Times New Roman" w:cs="Times New Roman"/>
        </w:rPr>
        <w:t xml:space="preserve"> 508 US 223</w:t>
      </w:r>
      <w:r w:rsidRPr="006F7A8D">
        <w:rPr>
          <w:rFonts w:ascii="Times New Roman" w:hAnsi="Times New Roman" w:cs="Times New Roman"/>
        </w:rPr>
        <w:fldChar w:fldCharType="end"/>
      </w:r>
      <w:r w:rsidRPr="006F7A8D">
        <w:rPr>
          <w:rFonts w:ascii="Times New Roman" w:hAnsi="Times New Roman" w:cs="Times New Roman"/>
        </w:rPr>
        <w:t xml:space="preserve"> (1993).</w:t>
      </w:r>
    </w:p>
  </w:footnote>
  <w:footnote w:id="56">
    <w:p w14:paraId="55DD4FD5" w14:textId="71C65E2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{"citationID":"CMQ47QuU","properties":{"formattedCitation":"Ibid 242\\uc0\\u8211{}247.","plainCitation":"Ibid 242–247.","noteIndex":55},"citationItems":[{"id":127,"uris":["http://zotero.org/users/6782581/items/Y59582P8"],"uri":["http://zotero.org/users/6782581/items/Y59582P8"],"itemData":{"id":127,"type":"legal_case","authority":"United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242–247.</w:t>
      </w:r>
      <w:r w:rsidRPr="006F7A8D">
        <w:rPr>
          <w:rFonts w:ascii="Times New Roman" w:hAnsi="Times New Roman" w:cs="Times New Roman"/>
        </w:rPr>
        <w:fldChar w:fldCharType="end"/>
      </w:r>
    </w:p>
  </w:footnote>
  <w:footnote w:id="57">
    <w:p w14:paraId="7105C5BD" w14:textId="6D12A20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149 US 304 (1893).</w:t>
      </w:r>
    </w:p>
  </w:footnote>
  <w:footnote w:id="58">
    <w:p w14:paraId="487A95D4" w14:textId="4769B705" w:rsidR="006F7A8D" w:rsidRPr="006F7A8D" w:rsidRDefault="006F7A8D" w:rsidP="00BF788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306-307.</w:t>
      </w:r>
    </w:p>
  </w:footnote>
  <w:footnote w:id="59">
    <w:p w14:paraId="51560392" w14:textId="5890884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{"citationID":"5DIQZbNe","properties":{"formattedCitation":"Matczak (n 51) 22\\uc0\\u8211{}24.","plainCitation":"Matczak (n 51) 22–24.","noteIndex":58},"citationItems":[{"id":43,"uris":["http://zotero.org/users/6782581/items/QH39DL47"],"uri":["http://zotero.org/users/6782581/items/QH39DL47"],"itemData":{"id":43,"type":"article-journal","container-title":"SSRN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22–24.</w:t>
      </w:r>
      <w:r w:rsidRPr="006F7A8D">
        <w:rPr>
          <w:rFonts w:ascii="Times New Roman" w:hAnsi="Times New Roman" w:cs="Times New Roman"/>
        </w:rPr>
        <w:fldChar w:fldCharType="end"/>
      </w:r>
    </w:p>
  </w:footnote>
  <w:footnote w:id="60">
    <w:p w14:paraId="2BD8D38F" w14:textId="362253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{"citationID":"oFf1uipG","properties":{"formattedCitation":"Wolfram (n 5) 156\\uc0\\u8211{}159.","plainCitation":"Wolfram (n 5) 156–159.","noteIndex":59},"citationItems":[{"id":104,"uris":["http://zotero.org/users/6782581/items/28QHAVCI"],"uri":["http://zotero.org/users/6782581/items/28QHAVCI"],"itemData":{"id":104,"type":"chapter","container-title":"Ethics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61">
    <w:p w14:paraId="700536ED" w14:textId="54B70A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{"citationID":"o5vFSbME","properties":{"formattedCitation":"McIntyre (n 39).","plainCitation":"McIntyre (n 39).","noteIndex":60},"citationItems":[{"id":20,"uris":["http://zotero.org/users/6782581/items/H3QTFEQN"],"uri":["http://zotero.org/users/6782581/items/H3QTFEQN"],"itemData":{"id":20,"type":"post-weblog","abstract":"Assuming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McIntyre (n 39).</w:t>
      </w:r>
      <w:r w:rsidRPr="006F7A8D">
        <w:rPr>
          <w:rFonts w:ascii="Times New Roman" w:hAnsi="Times New Roman" w:cs="Times New Roman"/>
        </w:rPr>
        <w:fldChar w:fldCharType="end"/>
      </w:r>
    </w:p>
  </w:footnote>
  <w:footnote w:id="62">
    <w:p w14:paraId="62BEF72D" w14:textId="631DE810" w:rsidR="006F7A8D" w:rsidRPr="006F7A8D" w:rsidRDefault="006F7A8D" w:rsidP="001259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{"citationID":"L6lbNTxw","properties":{"formattedCitation":"Mohun and Roberts (n 1) 26.","plainCitation":"Mohun and Roberts (n 1) 26.","noteIndex":61},"citationItems":[{"id":19,"uris":["http://zotero.org/users/6782581/items/HWX5UKVU"],"uri":["http://zotero.org/users/6782581/items/HWX5UKVU"],"itemData":{"id":19,"type":"article","publisher":"Observatory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26.</w:t>
      </w:r>
      <w:r w:rsidRPr="006F7A8D">
        <w:rPr>
          <w:rFonts w:ascii="Times New Roman" w:hAnsi="Times New Roman" w:cs="Times New Roman"/>
        </w:rPr>
        <w:fldChar w:fldCharType="end"/>
      </w:r>
    </w:p>
  </w:footnote>
  <w:footnote w:id="63">
    <w:p w14:paraId="5D9032C5" w14:textId="50D2D098" w:rsidR="006F7A8D" w:rsidRPr="006F7A8D" w:rsidRDefault="006F7A8D" w:rsidP="00F33EA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{"citationID":"ts8bDwBz","properties":{"formattedCitation":"Mohun and Roberts (n 1).","plainCitation":"Mohun and Roberts (n 1).","noteIndex":62},"citationItems":[{"id":19,"uris":["http://zotero.org/users/6782581/items/HWX5UKVU"],"uri":["http://zotero.org/users/6782581/items/HWX5UKVU"],"itemData":{"id":19,"type":"article","publisher":"Observatory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w:t>
      </w:r>
      <w:r w:rsidRPr="006F7A8D">
        <w:rPr>
          <w:rFonts w:ascii="Times New Roman" w:hAnsi="Times New Roman" w:cs="Times New Roman"/>
        </w:rPr>
        <w:fldChar w:fldCharType="end"/>
      </w:r>
      <w:r w:rsidRPr="006F7A8D">
        <w:rPr>
          <w:rFonts w:ascii="Times New Roman" w:hAnsi="Times New Roman" w:cs="Times New Roman"/>
        </w:rPr>
        <w:t xml:space="preserve"> 42-45.</w:t>
      </w:r>
    </w:p>
  </w:footnote>
  <w:footnote w:id="64">
    <w:p w14:paraId="3D66F1A0" w14:textId="7532FB01" w:rsidR="006F7A8D" w:rsidRPr="006F7A8D" w:rsidRDefault="006F7A8D" w:rsidP="00037D61">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{"citationID":"tw4iThBa","properties":{"formattedCitation":"Ibid 26, 104; \\uc0\\u8216{}Rules as Code \\uc0\\u8211{} Test, Learn, Repeat\\uc0\\u8217{}, {\\i{}Digital.NSW} &lt;https://www.digital.nsw.gov.au/article/rules-code-test-learn-repeat&gt;.","plainCitation":"Ibid 26, 104; ‘Rules as Code – Test, Learn, Repeat’, Digital.NSW &lt;https://www.digital.nsw.gov.au/article/rules-code-test-learn-repeat&gt;.","noteIndex":63},"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Ibid 26, 104; ‘Rules as Code – Test, Learn, Repeat’, </w:t>
      </w:r>
      <w:r w:rsidRPr="006F7A8D">
        <w:rPr>
          <w:rFonts w:ascii="Times New Roman" w:hAnsi="Times New Roman" w:cs="Times New Roman"/>
          <w:i/>
          <w:iCs/>
        </w:rPr>
        <w:t>Digital.NSW</w:t>
      </w:r>
      <w:r w:rsidRPr="006F7A8D">
        <w:rPr>
          <w:rFonts w:ascii="Times New Roman" w:hAnsi="Times New Roman" w:cs="Times New Roman"/>
        </w:rPr>
        <w:t xml:space="preserve"> &lt;https://www.digital.nsw.gov.au/article/rules-code-test-learn-repeat&gt;.</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5">
    <w:p w14:paraId="2FBFC270" w14:textId="391D429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 xml:space="preserve">(Cth) ss 117-119, 130-131, 140-142, 153-154;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 xml:space="preserve">(Cth) regs 28HA, 28JA.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Conduct.","noteIndex":64},"citationItems":[{"id":10,"uris":["http://zotero.org/users/6782581/items/8ZHWRN36"],"uri":["http://zotero.org/users/6782581/items/8ZHWRN36"],"itemData":{"id":10,"type":"bill","title":"Regulatory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also Australian Securities &amp; Investments Commission, Regulatory Guide 209: Credit Licensing: Responsible Lending Conduct.</w:t>
      </w:r>
      <w:r w:rsidRPr="006F7A8D">
        <w:rPr>
          <w:rFonts w:ascii="Times New Roman" w:hAnsi="Times New Roman" w:cs="Times New Roman"/>
        </w:rPr>
        <w:fldChar w:fldCharType="end"/>
      </w:r>
    </w:p>
  </w:footnote>
  <w:footnote w:id="66">
    <w:p w14:paraId="2D7EF9F8" w14:textId="0D7800A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{"citationID":"AKDUWvt6","properties":{"formattedCitation":"Schizas et al (n 22) 12, 18, 25, 34.","plainCitation":"Schizas et al (n 22) 12, 18, 25, 34.","noteIndex":65},"citationItems":[{"id":106,"uris":["http://zotero.org/users/6782581/items/XK24E2GT"],"uri":["http://zotero.org/users/6782581/items/XK24E2GT"],"itemData":{"id":106,"type":"report","abstract":"The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Schizas et al (n 22) 12, 18, 25, 34.</w:t>
      </w:r>
      <w:r w:rsidRPr="006F7A8D">
        <w:rPr>
          <w:rFonts w:ascii="Times New Roman" w:hAnsi="Times New Roman" w:cs="Times New Roman"/>
        </w:rPr>
        <w:fldChar w:fldCharType="end"/>
      </w:r>
    </w:p>
  </w:footnote>
  <w:footnote w:id="67">
    <w:p w14:paraId="3919AA09" w14:textId="3B49B0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{"citationID":"d9w6dmEg","properties":{"formattedCitation":"See, eg, Ben Green and Salom\\uc0\\u233{} Viljoen, \\uc0\\u8216{}Algorithmic Realism: Expanding the Boundaries of Algorithmic Thought\\uc0\\u8217{} in {\\i{}Proceedings of the 2020 Conference on Fairness, Accountability, and Transparency} (ACM, 2020) 19 &lt;http://dl.acm.org/doi/10.1145/3351095.3372840&gt; for an investigation into the evolution of computer science with analogy to the US legal system\\uc0\\u8217{}s growth from formalism to realism.","plainCitation":"See, eg, Ben Green and Salomé Viljoen, ‘Algorithmic Realism: Expanding the Boundaries of Algorithmic Thought’ in Proceedings of the 2020 Conference on Fairness, Accountability, and Transparency (ACM, 2020) 19 &lt;http://dl.acm.org/doi/10.1145/3351095.3372840&gt; for an investigation into the evolution of computer science with analogy to the US legal system’s growth from formalism to realism.","noteIndex":66},"citationItems":[{"id":30,"uris":["http://zotero.org/users/6782581/items/TN68RRBU"],"uri":["http://zotero.org/users/6782581/items/TN68RRBU"],"itemData":{"id":30,"type":"paper-conference","abstract":"Although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Ben Green and Salomé Viljoen, ‘Algorithmic Realism: Expanding the Boundaries of Algorithmic Thought’ in </w:t>
      </w:r>
      <w:r w:rsidRPr="006F7A8D">
        <w:rPr>
          <w:rFonts w:ascii="Times New Roman" w:hAnsi="Times New Roman" w:cs="Times New Roman"/>
          <w:i/>
          <w:iCs/>
        </w:rPr>
        <w:t>Proceedings of the 2020 Conference on Fairness, Accountability, and Transparency</w:t>
      </w:r>
      <w:r w:rsidRPr="006F7A8D">
        <w:rPr>
          <w:rFonts w:ascii="Times New Roman" w:hAnsi="Times New Roman" w:cs="Times New Roman"/>
        </w:rPr>
        <w:t xml:space="preserve"> (ACM, 2020) 19 &lt;http://dl.acm.org/doi/10.1145/3351095.3372840&gt; for an investigation into the evolution of computer science with analogy to the US legal system’s growth from formalism to realism.</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8">
    <w:p w14:paraId="3FF82062" w14:textId="77777777" w:rsidR="006F7A8D" w:rsidRPr="006F7A8D" w:rsidRDefault="006F7A8D" w:rsidP="00E67332">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Commonwealth of Australia Constitution</w:t>
      </w:r>
    </w:p>
  </w:footnote>
  <w:footnote w:id="69">
    <w:p w14:paraId="2CFF15F6" w14:textId="7777777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70">
    <w:p w14:paraId="18DE6B8A" w14:textId="77777777" w:rsidR="005B3737" w:rsidRPr="006F7A8D" w:rsidRDefault="005B3737" w:rsidP="005B373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Pr>
          <w:rFonts w:ascii="Times New Roman" w:hAnsi="Times New Roman" w:cs="Times New Roman"/>
        </w:rPr>
        <w:instrText xml:space="preserve"> ADDIN ZOTERO_ITEM CSL_CITATION {"citationID":"7i2qXuGp","properties":{"formattedCitation":"{\\i{}Case of Prohibitions EWHC KB J23} (1607) 77 ER 1342.","plainCitation":"Case of Prohibitions EWHC KB J23 (1607) 77 ER 1342.","noteIndex":69},"citationItems":[{"id":94,"uris":["http://zotero.org/users/6782581/items/S73MG3IE"],"uri":["http://zotero.org/users/6782581/items/S73MG3IE"],"itemData":{"id":94,"type":"legal_case","authority":"EWHC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Case of Prohibitions EWHC KB J23</w:t>
      </w:r>
      <w:r w:rsidRPr="006F7A8D">
        <w:rPr>
          <w:rFonts w:ascii="Times New Roman" w:hAnsi="Times New Roman" w:cs="Times New Roman"/>
        </w:rPr>
        <w:t xml:space="preserve"> (1607) 77 ER 1342.</w:t>
      </w:r>
      <w:r w:rsidRPr="006F7A8D">
        <w:rPr>
          <w:rFonts w:ascii="Times New Roman" w:hAnsi="Times New Roman" w:cs="Times New Roman"/>
        </w:rPr>
        <w:fldChar w:fldCharType="end"/>
      </w:r>
    </w:p>
  </w:footnote>
  <w:footnote w:id="71">
    <w:p w14:paraId="4F31B437" w14:textId="193DF66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Theory’).","noteIndex":70},"citationItems":[{"id":185,"uris":["http://zotero.org/users/6782581/items/Y878L84C"],"uri":["http://zotero.org/users/6782581/items/Y878L84C"],"itemData":{"id":185,"type":"book","call-number":"342.9402","edition":"5th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AR Blackshield, </w:t>
      </w:r>
      <w:r w:rsidRPr="006F7A8D">
        <w:rPr>
          <w:rFonts w:ascii="Times New Roman" w:hAnsi="Times New Roman" w:cs="Times New Roman"/>
          <w:i/>
          <w:iCs/>
        </w:rPr>
        <w:t>Australian Constitutional Law and Theory: Commentary and Materials</w:t>
      </w:r>
      <w:r w:rsidRPr="006F7A8D">
        <w:rPr>
          <w:rFonts w:ascii="Times New Roman" w:hAnsi="Times New Roman" w:cs="Times New Roman"/>
        </w:rPr>
        <w:t xml:space="preserve"> (Federation Press, 5th ed. abridged., 2010) 8–12 (‘</w:t>
      </w:r>
      <w:r w:rsidRPr="006F7A8D">
        <w:rPr>
          <w:rFonts w:ascii="Times New Roman" w:hAnsi="Times New Roman" w:cs="Times New Roman"/>
          <w:i/>
          <w:iCs/>
        </w:rPr>
        <w:t>Australian Constitutional Law and Theory</w:t>
      </w:r>
      <w:r w:rsidRPr="006F7A8D">
        <w:rPr>
          <w:rFonts w:ascii="Times New Roman" w:hAnsi="Times New Roman" w:cs="Times New Roman"/>
        </w:rPr>
        <w:t>’).</w:t>
      </w:r>
      <w:r w:rsidRPr="006F7A8D">
        <w:rPr>
          <w:rFonts w:ascii="Times New Roman" w:hAnsi="Times New Roman" w:cs="Times New Roman"/>
        </w:rPr>
        <w:fldChar w:fldCharType="end"/>
      </w:r>
    </w:p>
  </w:footnote>
  <w:footnote w:id="72">
    <w:p w14:paraId="2C8FF807" w14:textId="4BE680B3"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254.","noteIndex":71},"citationItems":[{"id":96,"uris":["http://zotero.org/users/6782581/items/HEERHKGI"],"uri":["http://zotero.org/users/6782581/items/HEERHKGI"],"itemData":{"id":96,"type":"legal_case","container-title":"CLR","page":"54","title":"New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New South Wales v Commonwealth</w:t>
      </w:r>
      <w:r w:rsidRPr="006F7A8D">
        <w:rPr>
          <w:rFonts w:ascii="Times New Roman" w:hAnsi="Times New Roman" w:cs="Times New Roman"/>
        </w:rPr>
        <w:t xml:space="preserve"> (1915) 20 CLR 54. See also </w:t>
      </w:r>
      <w:r w:rsidRPr="006F7A8D">
        <w:rPr>
          <w:rFonts w:ascii="Times New Roman" w:hAnsi="Times New Roman" w:cs="Times New Roman"/>
          <w:i/>
          <w:iCs/>
        </w:rPr>
        <w:t>Waterside Workers’ Federation of Australia v J W Alexander Ltd</w:t>
      </w:r>
      <w:r w:rsidRPr="006F7A8D">
        <w:rPr>
          <w:rFonts w:ascii="Times New Roman" w:hAnsi="Times New Roman" w:cs="Times New Roman"/>
        </w:rPr>
        <w:t xml:space="preserve"> (1918) 25 CLR 434; </w:t>
      </w:r>
      <w:r w:rsidRPr="006F7A8D">
        <w:rPr>
          <w:rFonts w:ascii="Times New Roman" w:hAnsi="Times New Roman" w:cs="Times New Roman"/>
          <w:i/>
          <w:iCs/>
        </w:rPr>
        <w:t>R v Kirby; Ex parte Boilermakers’ Society of Australia</w:t>
      </w:r>
      <w:r w:rsidRPr="006F7A8D">
        <w:rPr>
          <w:rFonts w:ascii="Times New Roman" w:hAnsi="Times New Roman" w:cs="Times New Roman"/>
        </w:rPr>
        <w:t xml:space="preserve"> (1956) 94 CLR 254.</w:t>
      </w:r>
      <w:r w:rsidRPr="006F7A8D">
        <w:rPr>
          <w:rFonts w:ascii="Times New Roman" w:hAnsi="Times New Roman" w:cs="Times New Roman"/>
        </w:rPr>
        <w:fldChar w:fldCharType="end"/>
      </w:r>
    </w:p>
  </w:footnote>
  <w:footnote w:id="73">
    <w:p w14:paraId="2A2ADE17" w14:textId="564391BE"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{"citationID":"1hVkngGa","properties":{"formattedCitation":"Mohun and Roberts (n 1) 70.","plainCitation":"Mohun and Roberts (n 1) 70.","noteIndex":72},"citationItems":[{"id":19,"uris":["http://zotero.org/users/6782581/items/HWX5UKVU"],"uri":["http://zotero.org/users/6782581/items/HWX5UKVU"],"itemData":{"id":19,"type":"article","publisher":"Observatory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70.</w:t>
      </w:r>
      <w:r w:rsidRPr="006F7A8D">
        <w:rPr>
          <w:rFonts w:ascii="Times New Roman" w:hAnsi="Times New Roman" w:cs="Times New Roman"/>
        </w:rPr>
        <w:fldChar w:fldCharType="end"/>
      </w:r>
    </w:p>
  </w:footnote>
  <w:footnote w:id="74">
    <w:p w14:paraId="4996DF03" w14:textId="7C0E1C7A"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73},"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New Zealand Law Foundation, ‘Projects Funded | The Law Foundation’ &lt;https://www.lawfoundation.org.nz/?page_id=6882&gt;.</w:t>
      </w:r>
      <w:r w:rsidRPr="006F7A8D">
        <w:rPr>
          <w:rFonts w:ascii="Times New Roman" w:hAnsi="Times New Roman" w:cs="Times New Roman"/>
        </w:rPr>
        <w:fldChar w:fldCharType="end"/>
      </w:r>
    </w:p>
  </w:footnote>
  <w:footnote w:id="75">
    <w:p w14:paraId="3BF65AF2" w14:textId="7585E4E9"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DLqm0eU","properties":{"formattedCitation":"Ibid.","plainCitation":"Ibid.","noteIndex":74},"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w:t>
      </w:r>
      <w:r w:rsidRPr="006F7A8D">
        <w:rPr>
          <w:rFonts w:ascii="Times New Roman" w:hAnsi="Times New Roman" w:cs="Times New Roman"/>
        </w:rPr>
        <w:fldChar w:fldCharType="end"/>
      </w:r>
    </w:p>
  </w:footnote>
  <w:footnote w:id="76">
    <w:p w14:paraId="5BE1AF16" w14:textId="116E9EE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77">
    <w:p w14:paraId="5C754AE5" w14:textId="3C43027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Free Motion Fitness Inc v Cybex International Inc, </w:t>
      </w:r>
      <w:r w:rsidRPr="006F7A8D">
        <w:rPr>
          <w:rFonts w:ascii="Times New Roman" w:hAnsi="Times New Roman" w:cs="Times New Roman"/>
        </w:rPr>
        <w:t xml:space="preserve">423 F 3d 1343 (Fed Cir, 2005) and </w:t>
      </w:r>
      <w:r w:rsidRPr="006F7A8D">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r w:rsidRPr="006F7A8D">
        <w:rPr>
          <w:rFonts w:ascii="Times New Roman" w:eastAsia="Microsoft JhengHei" w:hAnsi="Times New Roman" w:cs="Times New Roman"/>
        </w:rPr>
        <w:t xml:space="preserve"> [Free Displacement Co. Ltd. v Changzhou Yingcai Metal Products Co. Ltd., Shanghai Jianda Fitness Equipment Co. Ltd. – Invention Rights and Discovery Rights Dispute Civil Retrial] [2014], </w:t>
      </w:r>
      <w:r w:rsidRPr="006F7A8D">
        <w:rPr>
          <w:rFonts w:ascii="Times New Roman" w:eastAsia="Microsoft JhengHei" w:hAnsi="Times New Roman" w:cs="Times New Roman"/>
        </w:rPr>
        <w:t>最高人民法院</w:t>
      </w:r>
      <w:r w:rsidRPr="006F7A8D">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imprecise translation of a patent from English to Mandarin. Cf the two valid approaches to </w:t>
      </w:r>
      <w:r w:rsidRPr="006F7A8D">
        <w:rPr>
          <w:rFonts w:ascii="Times New Roman" w:eastAsia="Microsoft JhengHei" w:hAnsi="Times New Roman" w:cs="Times New Roman"/>
          <w:i/>
          <w:iCs/>
        </w:rPr>
        <w:t>Nix</w:t>
      </w:r>
      <w:r w:rsidRPr="006F7A8D">
        <w:rPr>
          <w:rFonts w:ascii="Times New Roman" w:eastAsia="Microsoft JhengHei" w:hAnsi="Times New Roman" w:cs="Times New Roman"/>
        </w:rPr>
        <w:t xml:space="preserve"> seen in Figure 1.</w:t>
      </w:r>
    </w:p>
  </w:footnote>
  <w:footnote w:id="78">
    <w:p w14:paraId="63A637FE" w14:textId="1081A2D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{"citationID":"qxtpQaTZ","properties":{"formattedCitation":"Janet Ainsworth, \\uc0\\u8216{}Lost in Translation? Linguistic Diversity and the Elusive Quest for Plain Meaning in the Law\\uc0\\u8217{} in {\\i{}The Ashgate Handbook of Legal Translation} (Routledge, 2016) 43 &lt;http://www.taylorfrancis.com/books/e/9781315612706&gt;.","plainCitation":"Janet Ainsworth, ‘Lost in Translation? Linguistic Diversity and the Elusive Quest for Plain Meaning in the Law’ in The Ashgate Handbook of Legal Translation (Routledge, 2016) 43 &lt;http://www.taylorfrancis.com/books/e/9781315612706&gt;.","noteIndex":77},"citationItems":[{"id":118,"uris":["http://zotero.org/users/6782581/items/Q6MGRA76"],"uri":["http://zotero.org/users/6782581/items/Q6MGRA76"],"itemData":{"id":118,"type":"chapter","abstract":"This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Janet Ainsworth, ‘Lost in Translation? Linguistic Diversity and the Elusive Quest for Plain Meaning in the Law’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43 &lt;http://www.taylorfrancis.com/books/e/9781315612706&gt;.</w:t>
      </w:r>
      <w:r w:rsidRPr="006F7A8D">
        <w:rPr>
          <w:rFonts w:ascii="Times New Roman" w:hAnsi="Times New Roman" w:cs="Times New Roman"/>
        </w:rPr>
        <w:fldChar w:fldCharType="end"/>
      </w:r>
    </w:p>
  </w:footnote>
  <w:footnote w:id="79">
    <w:p w14:paraId="1451795E" w14:textId="6CF521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Schulte v Deutsche Bausparkasse Badenia </w:t>
      </w:r>
      <w:r w:rsidRPr="006F7A8D">
        <w:rPr>
          <w:rFonts w:ascii="Times New Roman" w:hAnsi="Times New Roman" w:cs="Times New Roman"/>
        </w:rPr>
        <w:t xml:space="preserve">(C-350/03) [2005] ECR I-9215; </w:t>
      </w:r>
      <w:r w:rsidRPr="006F7A8D">
        <w:rPr>
          <w:rFonts w:ascii="Times New Roman" w:hAnsi="Times New Roman" w:cs="Times New Roman"/>
          <w:i/>
          <w:iCs/>
        </w:rPr>
        <w:t>Roudolff</w:t>
      </w:r>
      <w:r w:rsidRPr="006F7A8D">
        <w:rPr>
          <w:rFonts w:ascii="Times New Roman" w:hAnsi="Times New Roman" w:cs="Times New Roman"/>
        </w:rPr>
        <w:t xml:space="preserve"> </w:t>
      </w:r>
      <w:r w:rsidRPr="006F7A8D">
        <w:rPr>
          <w:rFonts w:ascii="Times New Roman" w:hAnsi="Times New Roman" w:cs="Times New Roman"/>
          <w:i/>
          <w:iCs/>
        </w:rPr>
        <w:t xml:space="preserve"> </w:t>
      </w:r>
      <w:r w:rsidRPr="006F7A8D">
        <w:rPr>
          <w:rFonts w:ascii="Times New Roman" w:hAnsi="Times New Roman" w:cs="Times New Roman"/>
        </w:rPr>
        <w:t xml:space="preserve">(C-803/79 ) [1980] ECR 2015; </w:t>
      </w:r>
      <w:r w:rsidRPr="006F7A8D">
        <w:rPr>
          <w:rFonts w:ascii="Times New Roman" w:hAnsi="Times New Roman" w:cs="Times New Roman"/>
          <w:i/>
          <w:iCs/>
        </w:rPr>
        <w:t xml:space="preserve">Commission of the European Union v United Kingdom of Great Britain and Northern </w:t>
      </w:r>
      <w:r w:rsidRPr="006F7A8D">
        <w:rPr>
          <w:rFonts w:ascii="Times New Roman" w:hAnsi="Times New Roman" w:cs="Times New Roman"/>
        </w:rPr>
        <w:t xml:space="preserve">(C-416/85) [1988] ECR 3127; </w:t>
      </w:r>
      <w:r w:rsidRPr="006F7A8D">
        <w:rPr>
          <w:rFonts w:ascii="Times New Roman" w:hAnsi="Times New Roman" w:cs="Times New Roman"/>
          <w:i/>
          <w:iCs/>
        </w:rPr>
        <w:t xml:space="preserve">Elefanten Schuh GmbH v Pierre Jacqmain </w:t>
      </w:r>
      <w:r w:rsidRPr="006F7A8D">
        <w:rPr>
          <w:rFonts w:ascii="Times New Roman" w:hAnsi="Times New Roman" w:cs="Times New Roman"/>
        </w:rPr>
        <w:t>(C-150/80) [1981] ECR 1671.</w:t>
      </w:r>
    </w:p>
  </w:footnote>
  <w:footnote w:id="80">
    <w:p w14:paraId="07388560" w14:textId="40D372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{"citationID":"DofsvLOH","properties":{"formattedCitation":"Ainsworth (n 77) 48\\uc0\\u8211{}50; See also Ian McLeod, \\uc0\\u8216{}Literal and Purposive Techniques of Legislative Interpretation:  Some European Community and English Common Law Perspective\\uc0\\u8217{} (2004) 29(3) {\\i{}Brooklyn Journal of International Law} 1119, 1125\\uc0\\u8211{}1132.","plainCitation":"Ainsworth (n 77) 48–50; See also Ian McLeod, ‘Literal and Purposive Techniques of Legislative Interpretation:  Some European Community and English Common Law Perspective’ (2004) 29(3) Brooklyn Journal of International Law 1119, 1125–1132.","noteIndex":79},"citationItems":[{"id":118,"uris":["http://zotero.org/users/6782581/items/Q6MGRA76"],"uri":["http://zotero.org/users/6782581/items/Q6MGRA76"],"itemData":{"id":118,"type":"chapter","abstract":"This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Ainsworth (n 77) 48–50; See also Ian McLeod, ‘Literal and Purposive Techniques of Legislative Interpretation:  Some European Community and English Common Law Perspective’ (2004) 29(3) </w:t>
      </w:r>
      <w:r w:rsidRPr="006F7A8D">
        <w:rPr>
          <w:rFonts w:ascii="Times New Roman" w:hAnsi="Times New Roman" w:cs="Times New Roman"/>
          <w:i/>
          <w:iCs/>
          <w:szCs w:val="24"/>
        </w:rPr>
        <w:t>Brooklyn Journal of International Law</w:t>
      </w:r>
      <w:r w:rsidRPr="006F7A8D">
        <w:rPr>
          <w:rFonts w:ascii="Times New Roman" w:hAnsi="Times New Roman" w:cs="Times New Roman"/>
          <w:szCs w:val="24"/>
        </w:rPr>
        <w:t xml:space="preserve"> 1119, 1125–1132.</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81">
    <w:p w14:paraId="5C849C6E" w14:textId="72CEEDCE"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 xml:space="preserve">art 267. Cf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82">
    <w:p w14:paraId="13C762DC" w14:textId="140A99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83">
    <w:p w14:paraId="442E7143" w14:textId="3B9AEC2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82},"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Directorate-General for Communication, ‘Translation’, </w:t>
      </w:r>
      <w:r w:rsidRPr="006F7A8D">
        <w:rPr>
          <w:rFonts w:ascii="Times New Roman" w:hAnsi="Times New Roman" w:cs="Times New Roman"/>
          <w:i/>
          <w:iCs/>
          <w:szCs w:val="24"/>
        </w:rPr>
        <w:t>European Commission</w:t>
      </w:r>
      <w:r w:rsidRPr="006F7A8D">
        <w:rPr>
          <w:rFonts w:ascii="Times New Roman" w:hAnsi="Times New Roman" w:cs="Times New Roman"/>
          <w:szCs w:val="24"/>
        </w:rPr>
        <w:t xml:space="preserve"> &lt;https://ec.europa.eu/info/departments/translation_en&gt;.</w:t>
      </w:r>
      <w:r w:rsidRPr="006F7A8D">
        <w:rPr>
          <w:rFonts w:ascii="Times New Roman" w:hAnsi="Times New Roman" w:cs="Times New Roman"/>
        </w:rPr>
        <w:fldChar w:fldCharType="end"/>
      </w:r>
    </w:p>
  </w:footnote>
  <w:footnote w:id="84">
    <w:p w14:paraId="76296879" w14:textId="3268AC4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Skatteministeriet v Aktieselskabet Forsikrinsselskabet Codan</w:t>
      </w:r>
      <w:r w:rsidRPr="006F7A8D">
        <w:rPr>
          <w:rFonts w:ascii="Times New Roman" w:hAnsi="Times New Roman" w:cs="Times New Roman"/>
        </w:rPr>
        <w:t xml:space="preserve"> (C-236/97) [1998] ECR I-8679.</w:t>
      </w:r>
    </w:p>
  </w:footnote>
  <w:footnote w:id="85">
    <w:p w14:paraId="693E2342" w14:textId="7BC6EF18"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{"citationID":"FDYY4KbC","properties":{"formattedCitation":"Genesereth (n 15).","plainCitation":"Genesereth (n 15).","noteIndex":84},"citationItems":[{"id":26,"uris":["http://zotero.org/users/6782581/items/5C598D4E"],"uri":["http://zotero.org/users/6782581/items/5C598D4E"],"itemData":{"id":26,"type":"paper-conference","DOI":"10.1145/1165485.1165517","event-place":"Stanford,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w:t>
      </w:r>
      <w:r w:rsidRPr="006F7A8D">
        <w:rPr>
          <w:rFonts w:ascii="Times New Roman" w:hAnsi="Times New Roman" w:cs="Times New Roman"/>
        </w:rPr>
        <w:fldChar w:fldCharType="end"/>
      </w:r>
    </w:p>
  </w:footnote>
  <w:footnote w:id="86">
    <w:p w14:paraId="0FDB8455" w14:textId="575EB99C"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{"citationID":"NadAfLzd","properties":{"formattedCitation":"Sergot et al (n 8).","plainCitation":"Sergot et al (n 8).","noteIndex":85},"citationItems":[{"id":46,"uris":["http://zotero.org/users/6782581/items/WIX843XU"],"uri":["http://zotero.org/users/6782581/items/WIX843XU"],"itemData":{"id":46,"type":"article-journal","container-title":"Communications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w:t>
      </w:r>
      <w:r w:rsidRPr="006F7A8D">
        <w:rPr>
          <w:rFonts w:ascii="Times New Roman" w:hAnsi="Times New Roman" w:cs="Times New Roman"/>
        </w:rPr>
        <w:fldChar w:fldCharType="end"/>
      </w:r>
    </w:p>
  </w:footnote>
  <w:footnote w:id="87">
    <w:p w14:paraId="7370584A" w14:textId="29723E55"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{"citationID":"OTxIO5nz","properties":{"formattedCitation":"See, eg, Government Information Services (n 21) 21\\uc0\\u8211{}24; Open Fisca (n 21).","plainCitation":"See, eg, Government Information Services (n 21) 21–24; Open Fisca (n 21).","noteIndex":86},"citationItems":[{"id":1,"uris":["http://zotero.org/users/6782581/items/CE9X6PPW"],"uri":["http://zotero.org/users/6782581/items/CE9X6PPW"],"itemData":{"id":1,"type":"report","genre":"Discovery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See, eg, Government Information Services (n 21) 21–24; Open Fisca (n 21).</w:t>
      </w:r>
      <w:r w:rsidRPr="006F7A8D">
        <w:rPr>
          <w:rFonts w:ascii="Times New Roman" w:hAnsi="Times New Roman" w:cs="Times New Roman"/>
        </w:rPr>
        <w:fldChar w:fldCharType="end"/>
      </w:r>
    </w:p>
  </w:footnote>
  <w:footnote w:id="88">
    <w:p w14:paraId="37F7FD8D" w14:textId="7BD15FF9"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{"citationID":"1NpkK0KZ","properties":{"formattedCitation":"Green and Viljoen (n 66).","plainCitation":"Green and Viljoen (n 66).","noteIndex":87},"citationItems":[{"id":30,"uris":["http://zotero.org/users/6782581/items/TN68RRBU"],"uri":["http://zotero.org/users/6782581/items/TN68RRBU"],"itemData":{"id":30,"type":"paper-conference","abstract":"Although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Green and Viljoen (n 66).</w:t>
      </w:r>
      <w:r w:rsidRPr="006F7A8D">
        <w:rPr>
          <w:rFonts w:ascii="Times New Roman" w:hAnsi="Times New Roman" w:cs="Times New Roman"/>
        </w:rPr>
        <w:fldChar w:fldCharType="end"/>
      </w:r>
    </w:p>
  </w:footnote>
  <w:footnote w:id="89">
    <w:p w14:paraId="3FC6EF00" w14:textId="31C64F6A"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{"citationID":"j0ZD21XY","properties":{"formattedCitation":"Matczak (n 51) 29\\uc0\\u8211{}34.","plainCitation":"Matczak (n 51) 29–34.","noteIndex":88},"citationItems":[{"id":43,"uris":["http://zotero.org/users/6782581/items/QH39DL47"],"uri":["http://zotero.org/users/6782581/items/QH39DL47"],"itemData":{"id":43,"type":"article-journal","container-title":"SSRN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29–34.</w:t>
      </w:r>
      <w:r w:rsidRPr="006F7A8D">
        <w:rPr>
          <w:rFonts w:ascii="Times New Roman" w:hAnsi="Times New Roman" w:cs="Times New Roman"/>
        </w:rPr>
        <w:fldChar w:fldCharType="end"/>
      </w:r>
    </w:p>
  </w:footnote>
  <w:footnote w:id="90">
    <w:p w14:paraId="4DCBB89A" w14:textId="3240A6F2"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{"citationID":"jFuN9nOJ","properties":{"formattedCitation":"Wolfram (n 5) 156\\uc0\\u8211{}159.","plainCitation":"Wolfram (n 5) 156–159.","noteIndex":89},"citationItems":[{"id":104,"uris":["http://zotero.org/users/6782581/items/28QHAVCI"],"uri":["http://zotero.org/users/6782581/items/28QHAVCI"],"itemData":{"id":104,"type":"chapter","container-title":"Ethics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91">
    <w:p w14:paraId="1B75D17A" w14:textId="3B0AFA6B"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{"citationID":"norNkN6Z","properties":{"formattedCitation":"Matczak (n 51) 21\\uc0\\u8211{}29.","plainCitation":"Matczak (n 51) 21–29.","noteIndex":90},"citationItems":[{"id":43,"uris":["http://zotero.org/users/6782581/items/QH39DL47"],"uri":["http://zotero.org/users/6782581/items/QH39DL47"],"itemData":{"id":43,"type":"article-journal","container-title":"SSRN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21–29.</w:t>
      </w:r>
      <w:r w:rsidRPr="006F7A8D">
        <w:rPr>
          <w:rFonts w:ascii="Times New Roman" w:hAnsi="Times New Roman" w:cs="Times New Roman"/>
        </w:rPr>
        <w:fldChar w:fldCharType="end"/>
      </w:r>
    </w:p>
  </w:footnote>
  <w:footnote w:id="92">
    <w:p w14:paraId="3F7AD2DF" w14:textId="220CA81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Perram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[68]-[70] informing what matters are ‘mandatory’ in determining if a credit product is unsuitable for the purposes of </w:t>
      </w:r>
      <w:r w:rsidRPr="006F7A8D">
        <w:rPr>
          <w:rFonts w:ascii="Times New Roman" w:hAnsi="Times New Roman" w:cs="Times New Roman"/>
          <w:i/>
          <w:iCs/>
        </w:rPr>
        <w:t>National Consumer Credit Protection Act 2009</w:t>
      </w:r>
      <w:r w:rsidRPr="006F7A8D">
        <w:rPr>
          <w:rFonts w:ascii="Times New Roman" w:hAnsi="Times New Roman" w:cs="Times New Roman"/>
        </w:rPr>
        <w:t xml:space="preserve"> (Cth) ss 118(2), 119(2), 131(2), 141(2), 142(2), 154(2). </w:t>
      </w:r>
    </w:p>
  </w:footnote>
  <w:footnote w:id="93">
    <w:p w14:paraId="5ACDE2F8" w14:textId="6ECBA23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Davies J, </w:t>
      </w:r>
      <w:r w:rsidRPr="006F7A8D">
        <w:rPr>
          <w:rFonts w:ascii="Times New Roman" w:hAnsi="Times New Roman" w:cs="Times New Roman"/>
          <w:i/>
          <w:iCs/>
        </w:rPr>
        <w:t>Australian Securities and Investments Commission v The Cas</w:t>
      </w:r>
      <w:r w:rsidR="00702FCF">
        <w:rPr>
          <w:rFonts w:ascii="Times New Roman" w:hAnsi="Times New Roman" w:cs="Times New Roman"/>
          <w:i/>
          <w:iCs/>
        </w:rPr>
        <w:t>h</w:t>
      </w:r>
      <w:r w:rsidRPr="006F7A8D">
        <w:rPr>
          <w:rFonts w:ascii="Times New Roman" w:hAnsi="Times New Roman" w:cs="Times New Roman"/>
          <w:i/>
          <w:iCs/>
        </w:rPr>
        <w:t xml:space="preserve"> Store </w:t>
      </w:r>
      <w:r w:rsidR="00702FCF">
        <w:rPr>
          <w:rFonts w:ascii="Times New Roman" w:hAnsi="Times New Roman" w:cs="Times New Roman"/>
          <w:i/>
          <w:iCs/>
        </w:rPr>
        <w:t xml:space="preserve">Pty Ltd </w:t>
      </w:r>
      <w:r w:rsidRPr="006F7A8D">
        <w:rPr>
          <w:rFonts w:ascii="Times New Roman" w:hAnsi="Times New Roman" w:cs="Times New Roman"/>
          <w:i/>
          <w:iCs/>
        </w:rPr>
        <w:t xml:space="preserve">(in liquidation) </w:t>
      </w:r>
      <w:r w:rsidRPr="006F7A8D">
        <w:rPr>
          <w:rFonts w:ascii="Times New Roman" w:hAnsi="Times New Roman" w:cs="Times New Roman"/>
        </w:rPr>
        <w:t xml:space="preserve">[2014] FCA 926 [23] &amp; Greenwood J, </w:t>
      </w:r>
      <w:r w:rsidRPr="006F7A8D">
        <w:rPr>
          <w:rFonts w:ascii="Times New Roman" w:hAnsi="Times New Roman" w:cs="Times New Roman"/>
          <w:i/>
          <w:iCs/>
        </w:rPr>
        <w:t xml:space="preserve">Australian Securities and Investment Commission v Channic Pty Ltd (No 4) </w:t>
      </w:r>
      <w:r w:rsidRPr="006F7A8D">
        <w:rPr>
          <w:rFonts w:ascii="Times New Roman" w:hAnsi="Times New Roman" w:cs="Times New Roman"/>
        </w:rPr>
        <w:t>[2016] FCA 1174</w:t>
      </w:r>
      <w:r w:rsidRPr="006F7A8D">
        <w:rPr>
          <w:rFonts w:ascii="Times New Roman" w:hAnsi="Times New Roman" w:cs="Times New Roman"/>
          <w:i/>
          <w:iCs/>
        </w:rPr>
        <w:t xml:space="preserve"> </w:t>
      </w:r>
      <w:r w:rsidRPr="006F7A8D">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{"citationID":"THXO6gc4","properties":{"formattedCitation":"{\\i{}Smith v United States} (n 54) 229 which has been criticised as a strict formalist decision; Matczak (n 51) 25\\uc0\\u8211{}28.","plainCitation":"Smith v United States (n 54) 229 which has been criticised as a strict formalist decision; Matczak (n 51) 25–28.","noteIndex":92},"citationItems":[{"id":127,"uris":["http://zotero.org/users/6782581/items/Y59582P8"],"uri":["http://zotero.org/users/6782581/items/Y59582P8"],"itemData":{"id":127,"type":"legal_case","authority":"United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szCs w:val="24"/>
        </w:rPr>
        <w:t>Smith v United States</w:t>
      </w:r>
      <w:r w:rsidRPr="006F7A8D">
        <w:rPr>
          <w:rFonts w:ascii="Times New Roman" w:hAnsi="Times New Roman" w:cs="Times New Roman"/>
          <w:szCs w:val="24"/>
        </w:rPr>
        <w:t xml:space="preserve"> (n 54) 229 which has been criticised as a strict formalist decision; Matczak (n 51) 25–28.</w:t>
      </w:r>
      <w:r w:rsidRPr="006F7A8D">
        <w:rPr>
          <w:rFonts w:ascii="Times New Roman" w:hAnsi="Times New Roman" w:cs="Times New Roman"/>
        </w:rPr>
        <w:fldChar w:fldCharType="end"/>
      </w:r>
      <w:r w:rsidRPr="006F7A8D">
        <w:rPr>
          <w:rFonts w:ascii="Times New Roman" w:hAnsi="Times New Roman" w:cs="Times New Roman"/>
        </w:rPr>
        <w:t xml:space="preserve"> See also Perram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 determining that the consumer’s financial situation must be viewed ‘overall’ as opposed to by any ‘particular integer’. </w:t>
      </w:r>
    </w:p>
  </w:footnote>
  <w:footnote w:id="94">
    <w:p w14:paraId="1CD30593" w14:textId="4D81790B"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21) 21\\uc0\\u8211{}24.","plainCitation":"Cf the unambiguous and deterministic legal questions addressed in Government Information Services (n 21) 21–24.","noteIndex":93},"citationItems":[{"id":1,"uris":["http://zotero.org/users/6782581/items/CE9X6PPW"],"uri":["http://zotero.org/users/6782581/items/CE9X6PPW"],"itemData":{"id":1,"type":"report","genre":"Discovery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Cf the unambiguous and deterministic legal questions addressed in Government Information Services (n 21) 21–24.</w:t>
      </w:r>
      <w:r w:rsidRPr="006F7A8D">
        <w:rPr>
          <w:rFonts w:ascii="Times New Roman" w:hAnsi="Times New Roman" w:cs="Times New Roman"/>
        </w:rPr>
        <w:fldChar w:fldCharType="end"/>
      </w:r>
    </w:p>
  </w:footnote>
  <w:footnote w:id="95">
    <w:p w14:paraId="668995FE" w14:textId="56A4891D"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{"citationID":"7XvkUZPm","properties":{"formattedCitation":"\\uc0\\u8216{}Regulatory Guide 209: Credit Licensing: Responsible Lending Conduct\\uc0\\u8217{} (n 64).","plainCitation":"‘Regulatory Guide 209: Credit Licensing: Responsible Lending Conduct’ (n 64).","noteIndex":94},"citationItems":[{"id":10,"uris":["http://zotero.org/users/6782581/items/8ZHWRN36"],"uri":["http://zotero.org/users/6782581/items/8ZHWRN36"],"itemData":{"id":10,"type":"bill","title":"Regulatory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‘Regulatory Guide 209: Credit Licensing: Responsible Lending Conduct’ (n 64).</w:t>
      </w:r>
      <w:r w:rsidRPr="006F7A8D">
        <w:rPr>
          <w:rFonts w:ascii="Times New Roman" w:hAnsi="Times New Roman" w:cs="Times New Roman"/>
        </w:rPr>
        <w:fldChar w:fldCharType="end"/>
      </w:r>
    </w:p>
  </w:footnote>
  <w:footnote w:id="96">
    <w:p w14:paraId="3CBC167C" w14:textId="7B26749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{"citationID":"JXCJK7zZ","properties":{"formattedCitation":"Ibid r 81-83.","plainCitation":"Ibid r 81-83.","noteIndex":95},"citationItems":[{"id":10,"uris":["http://zotero.org/users/6782581/items/8ZHWRN36"],"uri":["http://zotero.org/users/6782581/items/8ZHWRN36"],"itemData":{"id":10,"type":"bill","title":"Regulatory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81-83.</w:t>
      </w:r>
      <w:r w:rsidRPr="006F7A8D">
        <w:rPr>
          <w:rFonts w:ascii="Times New Roman" w:hAnsi="Times New Roman" w:cs="Times New Roman"/>
        </w:rPr>
        <w:fldChar w:fldCharType="end"/>
      </w:r>
    </w:p>
  </w:footnote>
  <w:footnote w:id="97">
    <w:p w14:paraId="474C16F3" w14:textId="78E3D17F"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{"citationID":"JcOATITy","properties":{"formattedCitation":"Ibid r 23(d).","plainCitation":"Ibid r 23(d).","noteIndex":96},"citationItems":[{"id":10,"uris":["http://zotero.org/users/6782581/items/8ZHWRN36"],"uri":["http://zotero.org/users/6782581/items/8ZHWRN36"],"itemData":{"id":10,"type":"bill","title":"Regulatory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23(d).</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98">
    <w:p w14:paraId="00D6A14B" w14:textId="5951E8B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&lt;https://doi.org/10.1145/1731740.1731833&gt;.","noteIndex":97},"citationItems":[{"id":123,"uris":["http://zotero.org/users/6782581/items/QRAJFZYE"],"uri":["http://zotero.org/users/6782581/items/QRAJFZYE"],"itemData":{"id":123,"type":"paper-conference","event":"Western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Toby Donaldson, ‘Python as a First Programming Language for Everyone’ (2003) &lt;http://www.cs.ubc.ca/wccce/Program03/papers/Toby.html&gt;; Vambola Leping et al, ‘Python Prevails’ in </w:t>
      </w:r>
      <w:r w:rsidRPr="006F7A8D">
        <w:rPr>
          <w:rFonts w:ascii="Times New Roman" w:hAnsi="Times New Roman" w:cs="Times New Roman"/>
          <w:i/>
          <w:iCs/>
        </w:rPr>
        <w:t>Proceedings of the International Conference on Computer Systems and Technologies and Workshop for PhD Students in Computing</w:t>
      </w:r>
      <w:r w:rsidRPr="006F7A8D">
        <w:rPr>
          <w:rFonts w:ascii="Times New Roman" w:hAnsi="Times New Roman" w:cs="Times New Roman"/>
        </w:rPr>
        <w:t xml:space="preserve"> (Association for Computing Machinery, 2009) 1, 2 &lt;https://doi.org/10.1145/1731740.1731833&gt;.</w:t>
      </w:r>
      <w:r w:rsidRPr="006F7A8D">
        <w:rPr>
          <w:rFonts w:ascii="Times New Roman" w:hAnsi="Times New Roman" w:cs="Times New Roman"/>
        </w:rPr>
        <w:fldChar w:fldCharType="end"/>
      </w:r>
    </w:p>
  </w:footnote>
  <w:footnote w:id="99">
    <w:p w14:paraId="41611C47" w14:textId="652BC8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4.","noteIndex":98},"citationItems":[{"id":320,"uris":["http://zotero.org/users/6782581/items/3FYPA6CG"],"uri":["http://zotero.org/users/6782581/items/3FYPA6CG"],"itemData":{"id":320,"type":"article-journal","abstract":"This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Jenna Burrell, ‘How the Machine “Thinks”: Understanding Opacity in Machine Learning Algorithms’ (2016) 3(1) </w:t>
      </w:r>
      <w:r w:rsidRPr="006F7A8D">
        <w:rPr>
          <w:rFonts w:ascii="Times New Roman" w:hAnsi="Times New Roman" w:cs="Times New Roman"/>
          <w:i/>
          <w:iCs/>
          <w:szCs w:val="24"/>
        </w:rPr>
        <w:t>Big Data &amp; Society</w:t>
      </w:r>
      <w:r w:rsidRPr="006F7A8D">
        <w:rPr>
          <w:rFonts w:ascii="Times New Roman" w:hAnsi="Times New Roman" w:cs="Times New Roman"/>
          <w:szCs w:val="24"/>
        </w:rPr>
        <w:t xml:space="preserve"> 1, 4.</w:t>
      </w:r>
      <w:r w:rsidRPr="006F7A8D">
        <w:rPr>
          <w:rFonts w:ascii="Times New Roman" w:hAnsi="Times New Roman" w:cs="Times New Roman"/>
        </w:rPr>
        <w:fldChar w:fldCharType="end"/>
      </w:r>
    </w:p>
  </w:footnote>
  <w:footnote w:id="100">
    <w:p w14:paraId="38B532FB" w14:textId="628EBEB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99},"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Australasian Legal Information Institute, ‘DataLex Consultation: ElectKB’, </w:t>
      </w:r>
      <w:r w:rsidRPr="006F7A8D">
        <w:rPr>
          <w:rFonts w:ascii="Times New Roman" w:hAnsi="Times New Roman" w:cs="Times New Roman"/>
          <w:i/>
          <w:iCs/>
          <w:szCs w:val="24"/>
        </w:rPr>
        <w:t>DataLex</w:t>
      </w:r>
      <w:r w:rsidRPr="006F7A8D">
        <w:rPr>
          <w:rFonts w:ascii="Times New Roman" w:hAnsi="Times New Roman" w:cs="Times New Roman"/>
          <w:szCs w:val="24"/>
        </w:rPr>
        <w:t xml:space="preserve"> &lt;http://beta.datalex.org/app/consultation?rulebase=http%3A%2F%2Faustlii.community%2Ffoswiki%2FDataLex%2FElectKB&gt;.</w:t>
      </w:r>
      <w:r w:rsidRPr="006F7A8D">
        <w:rPr>
          <w:rFonts w:ascii="Times New Roman" w:hAnsi="Times New Roman" w:cs="Times New Roman"/>
        </w:rPr>
        <w:fldChar w:fldCharType="end"/>
      </w:r>
    </w:p>
  </w:footnote>
  <w:footnote w:id="101">
    <w:p w14:paraId="7A6424DE" w14:textId="5EF2F5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1"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02">
    <w:p w14:paraId="1A718E71" w14:textId="5B5849DE"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{"citationID":"Sk8kTmMT","properties":{"formattedCitation":"Sergot et al (n 8) 379\\uc0\\u8211{}380.","plainCitation":"Sergot et al (n 8) 379–380.","noteIndex":101},"citationItems":[{"id":46,"uris":["http://zotero.org/users/6782581/items/WIX843XU"],"uri":["http://zotero.org/users/6782581/items/WIX843XU"],"itemData":{"id":46,"type":"article-journal","container-title":"Communications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03">
    <w:p w14:paraId="216D00AB" w14:textId="7DB643C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(‘Tribool’).","noteIndex":102},"citationItems":[{"id":327,"uris":["http://zotero.org/users/6782581/items/Q8WUQHUE"],"uri":["http://zotero.org/users/6782581/items/Q8WUQHUE"],"itemData":{"id":327,"type":"book","genre":"Python","source":"PyPI","title":"tribool: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Grant Jenks, </w:t>
      </w:r>
      <w:r w:rsidRPr="006F7A8D">
        <w:rPr>
          <w:rFonts w:ascii="Times New Roman" w:hAnsi="Times New Roman" w:cs="Times New Roman"/>
          <w:i/>
          <w:iCs/>
          <w:szCs w:val="24"/>
        </w:rPr>
        <w:t>Tribool: Three-Valued Logic Data Type.</w:t>
      </w:r>
      <w:r w:rsidRPr="006F7A8D">
        <w:rPr>
          <w:rFonts w:ascii="Times New Roman" w:hAnsi="Times New Roman" w:cs="Times New Roman"/>
          <w:szCs w:val="24"/>
        </w:rPr>
        <w:t xml:space="preserve"> (online at 29 September 2020) &lt;http://www.grantjenks.com/docs/tribool/&gt; (‘</w:t>
      </w:r>
      <w:r w:rsidRPr="006F7A8D">
        <w:rPr>
          <w:rFonts w:ascii="Times New Roman" w:hAnsi="Times New Roman" w:cs="Times New Roman"/>
          <w:i/>
          <w:iCs/>
          <w:szCs w:val="24"/>
        </w:rPr>
        <w:t>Tribool</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04">
    <w:p w14:paraId="117254ED" w14:textId="294F910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103},"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6F7A8D">
        <w:rPr>
          <w:rFonts w:ascii="Times New Roman" w:hAnsi="Times New Roman" w:cs="Times New Roman"/>
        </w:rPr>
        <w:fldChar w:fldCharType="end"/>
      </w:r>
    </w:p>
  </w:footnote>
  <w:footnote w:id="105">
    <w:p w14:paraId="4A83DD2C" w14:textId="6CA0A16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{"citationID":"Wj4P0iTt","properties":{"formattedCitation":"Wolfram (n 5) 156\\uc0\\u8211{}159.","plainCitation":"Wolfram (n 5) 156–159.","noteIndex":104},"citationItems":[{"id":104,"uris":["http://zotero.org/users/6782581/items/28QHAVCI"],"uri":["http://zotero.org/users/6782581/items/28QHAVCI"],"itemData":{"id":104,"type":"chapter","container-title":"Ethics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106">
    <w:p w14:paraId="0786DEB9" w14:textId="4863CF8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123.","noteIndex":105},"citationItems":[{"id":331,"uris":["http://zotero.org/users/6782581/items/K6G6PWPW"],"uri":["http://zotero.org/users/6782581/items/K6G6PWPW"],"itemData":{"id":331,"type":"article-journal","container-title":"Communications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Deb Armstrong, ‘The Quarks of Object-Oriented Development’ (2006) 49(2) </w:t>
      </w:r>
      <w:r w:rsidRPr="006F7A8D">
        <w:rPr>
          <w:rFonts w:ascii="Times New Roman" w:hAnsi="Times New Roman" w:cs="Times New Roman"/>
          <w:i/>
          <w:iCs/>
          <w:szCs w:val="24"/>
        </w:rPr>
        <w:t>Communications of the ACM</w:t>
      </w:r>
      <w:r w:rsidRPr="006F7A8D">
        <w:rPr>
          <w:rFonts w:ascii="Times New Roman" w:hAnsi="Times New Roman" w:cs="Times New Roman"/>
          <w:szCs w:val="24"/>
        </w:rPr>
        <w:t xml:space="preserve"> 123, 123.</w:t>
      </w:r>
      <w:r w:rsidRPr="006F7A8D">
        <w:rPr>
          <w:rFonts w:ascii="Times New Roman" w:hAnsi="Times New Roman" w:cs="Times New Roman"/>
        </w:rPr>
        <w:fldChar w:fldCharType="end"/>
      </w:r>
    </w:p>
  </w:footnote>
  <w:footnote w:id="107">
    <w:p w14:paraId="2424314B" w14:textId="6C330B0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106},"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123–125; Stephen Morris, </w:t>
      </w:r>
      <w:r w:rsidRPr="006F7A8D">
        <w:rPr>
          <w:rFonts w:ascii="Times New Roman" w:hAnsi="Times New Roman" w:cs="Times New Roman"/>
          <w:i/>
          <w:iCs/>
          <w:szCs w:val="24"/>
        </w:rPr>
        <w:t>Object-Oriented Programming under Windows</w:t>
      </w:r>
      <w:r w:rsidRPr="006F7A8D">
        <w:rPr>
          <w:rFonts w:ascii="Times New Roman" w:hAnsi="Times New Roman" w:cs="Times New Roman"/>
          <w:szCs w:val="24"/>
        </w:rPr>
        <w:t xml:space="preserve"> (Elsevier Science &amp; Technology, 1994) 13, 15–18, 20–21 &lt;http://ebookcentral.proquest.com/lib/qut/detail.action?docID=1874406&gt;.</w:t>
      </w:r>
      <w:r w:rsidRPr="006F7A8D">
        <w:rPr>
          <w:rFonts w:ascii="Times New Roman" w:hAnsi="Times New Roman" w:cs="Times New Roman"/>
        </w:rPr>
        <w:fldChar w:fldCharType="end"/>
      </w:r>
    </w:p>
  </w:footnote>
  <w:footnote w:id="108">
    <w:p w14:paraId="3C06603B" w14:textId="5E4CC49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102).","plainCitation":"Answered through a custom made function, ‘bool_input(string)’ which accepted inputs of ‘1’, ‘0’, or ‘?’ for ‘True/Yes’, ‘False/No’, or ‘Indeterminate’ respectively and was built upon the tribool software developed by Jenks (n 102).","noteIndex":107},"citationItems":[{"id":327,"uris":["http://zotero.org/users/6782581/items/Q8WUQHUE"],"uri":["http://zotero.org/users/6782581/items/Q8WUQHUE"],"itemData":{"id":327,"type":"book","genre":"Python","source":"PyPI","title":"tribool: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Answered through a custom made function, ‘bool_input(string)’ which accepted inputs of ‘1’, ‘0’, or ‘?’ for ‘True/Yes’, ‘False/No’, or ‘Indeterminate’ respectively and was built upon the tribool software developed by Jenks (n 102).</w:t>
      </w:r>
      <w:r w:rsidRPr="006F7A8D">
        <w:rPr>
          <w:rFonts w:ascii="Times New Roman" w:hAnsi="Times New Roman" w:cs="Times New Roman"/>
        </w:rPr>
        <w:fldChar w:fldCharType="end"/>
      </w:r>
    </w:p>
  </w:footnote>
  <w:footnote w:id="109">
    <w:p w14:paraId="50165105" w14:textId="38B2DFD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108},"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Parsed using Python’s built-in datetime module: Python Software Foundation, ‘Datetime — Basic Date and Time Types’, </w:t>
      </w:r>
      <w:r w:rsidRPr="006F7A8D">
        <w:rPr>
          <w:rFonts w:ascii="Times New Roman" w:hAnsi="Times New Roman" w:cs="Times New Roman"/>
          <w:i/>
          <w:iCs/>
          <w:szCs w:val="24"/>
        </w:rPr>
        <w:t>Python 3.8.6 documentation</w:t>
      </w:r>
      <w:r w:rsidRPr="006F7A8D">
        <w:rPr>
          <w:rFonts w:ascii="Times New Roman" w:hAnsi="Times New Roman" w:cs="Times New Roman"/>
          <w:szCs w:val="24"/>
        </w:rPr>
        <w:t xml:space="preserve"> (Documentation, 29 September 2020) &lt;https://docs.python.org/3/library/datetime.html&gt;.</w:t>
      </w:r>
      <w:r w:rsidRPr="006F7A8D">
        <w:rPr>
          <w:rFonts w:ascii="Times New Roman" w:hAnsi="Times New Roman" w:cs="Times New Roman"/>
        </w:rPr>
        <w:fldChar w:fldCharType="end"/>
      </w:r>
    </w:p>
  </w:footnote>
  <w:footnote w:id="110">
    <w:p w14:paraId="6781CB7E" w14:textId="437FFF7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For example, a credit limit without a preceding currency symbol, or contract term without a preceding unit of days. </w:t>
      </w:r>
    </w:p>
  </w:footnote>
  <w:footnote w:id="111">
    <w:p w14:paraId="1596BB63" w14:textId="44F6035A"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(Cth)</w:t>
      </w:r>
    </w:p>
  </w:footnote>
  <w:footnote w:id="112">
    <w:p w14:paraId="224FD673" w14:textId="10685A3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133(5).</w:t>
      </w:r>
    </w:p>
  </w:footnote>
  <w:footnote w:id="113">
    <w:p w14:paraId="3A7136D3" w14:textId="022439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Explanatory Memorandum, National Consumer Credit Protection Bill 2009 (Cth) 109-113.</w:t>
      </w:r>
    </w:p>
  </w:footnote>
  <w:footnote w:id="114">
    <w:p w14:paraId="0F0683BF" w14:textId="1A6B48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133(6)(a).</w:t>
      </w:r>
    </w:p>
  </w:footnote>
  <w:footnote w:id="115">
    <w:p w14:paraId="4AD4FFCF" w14:textId="278876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s133(6)(b).</w:t>
      </w:r>
    </w:p>
  </w:footnote>
  <w:footnote w:id="116">
    <w:p w14:paraId="313D4BFC" w14:textId="05D560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s133(6)(c).</w:t>
      </w:r>
    </w:p>
  </w:footnote>
  <w:footnote w:id="117">
    <w:p w14:paraId="4C998080" w14:textId="781AD0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Ibid ss 5 (definition of ‘person’), 14-15, 53(3).</w:t>
      </w:r>
    </w:p>
  </w:footnote>
  <w:footnote w:id="118">
    <w:p w14:paraId="5D48571E" w14:textId="534BF35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Crimes Act 1914 </w:t>
      </w:r>
      <w:r w:rsidRPr="006F7A8D">
        <w:rPr>
          <w:rFonts w:ascii="Times New Roman" w:hAnsi="Times New Roman" w:cs="Times New Roman"/>
        </w:rPr>
        <w:t>(Cth) s 4B(2)</w:t>
      </w:r>
    </w:p>
  </w:footnote>
  <w:footnote w:id="119">
    <w:p w14:paraId="75837D0D" w14:textId="02A74D3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118},"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Explanatory Memorandum, Crimes Legislation Amendment Bill 1987 (Cth) 11. See also National Judicial College of Australia, ‘Corporations’, </w:t>
      </w:r>
      <w:r w:rsidRPr="006F7A8D">
        <w:rPr>
          <w:rFonts w:ascii="Times New Roman" w:hAnsi="Times New Roman" w:cs="Times New Roman"/>
          <w:i/>
          <w:iCs/>
          <w:szCs w:val="24"/>
        </w:rPr>
        <w:t>Commonwealth Sentencing Database</w:t>
      </w:r>
      <w:r w:rsidRPr="006F7A8D">
        <w:rPr>
          <w:rFonts w:ascii="Times New Roman" w:hAnsi="Times New Roman" w:cs="Times New Roman"/>
          <w:szCs w:val="24"/>
        </w:rPr>
        <w:t xml:space="preserve"> (Database) &lt;https://csd.njca.com.au/principles-practice/categories-of-federal-offenders/corporations2/&gt;.</w:t>
      </w:r>
      <w:r w:rsidRPr="006F7A8D">
        <w:rPr>
          <w:rFonts w:ascii="Times New Roman" w:hAnsi="Times New Roman" w:cs="Times New Roman"/>
        </w:rPr>
        <w:fldChar w:fldCharType="end"/>
      </w:r>
      <w:r w:rsidRPr="006F7A8D">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20">
    <w:p w14:paraId="646F0765" w14:textId="1DF0D1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21">
    <w:p w14:paraId="07962701" w14:textId="6D78793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 similar dilemma is posed through the consideration that s130(c)’s imposed obligation to verify a consumer’s financial situation could presumably only arise on the condition that the licensee has met their s130(b) obligation to inquire about the consumer’s financial situation. TODO</w:t>
      </w:r>
    </w:p>
  </w:footnote>
  <w:footnote w:id="122">
    <w:p w14:paraId="666C8445" w14:textId="3753E2D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[2014] FCA 926.</w:t>
      </w:r>
    </w:p>
  </w:footnote>
  <w:footnote w:id="123">
    <w:p w14:paraId="5A42DF6B" w14:textId="6FA53D7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Australian Securities and Investments Commission v Cash Store Pty Ltd (in liquidation) </w:t>
      </w:r>
      <w:r w:rsidRPr="006F7A8D">
        <w:rPr>
          <w:rFonts w:ascii="Times New Roman" w:hAnsi="Times New Roman" w:cs="Times New Roman"/>
        </w:rPr>
        <w:t>[2014] FCA 926, [69], 75.</w:t>
      </w:r>
    </w:p>
  </w:footnote>
  <w:footnote w:id="124">
    <w:p w14:paraId="418843A6" w14:textId="125D72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5">
    <w:p w14:paraId="0CE12CE5" w14:textId="04F12EA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2800FD">
        <w:rPr>
          <w:rFonts w:ascii="Times New Roman" w:hAnsi="Times New Roman" w:cs="Times New Roman"/>
        </w:rPr>
        <w:t>For the purposes of, for example, the s130(1) inquiries obligations.</w:t>
      </w:r>
    </w:p>
  </w:footnote>
  <w:footnote w:id="126">
    <w:p w14:paraId="45B7B4E5" w14:textId="5EDBCB6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2800FD">
        <w:rPr>
          <w:rFonts w:ascii="Times New Roman" w:hAnsi="Times New Roman" w:cs="Times New Roman"/>
        </w:rPr>
        <w:t xml:space="preserve">Such as, for example, the considerations raised at </w:t>
      </w:r>
      <w:r w:rsidR="002800FD" w:rsidRPr="002800FD">
        <w:rPr>
          <w:rFonts w:ascii="Times New Roman" w:hAnsi="Times New Roman" w:cs="Times New Roman"/>
        </w:rPr>
        <w:t>Australian Securities &amp; Investments Commission, Regulatory Guide 209: Credit Licensing: Responsible Lending Conduct</w:t>
      </w:r>
      <w:r w:rsidR="002800FD">
        <w:rPr>
          <w:rFonts w:ascii="Times New Roman" w:hAnsi="Times New Roman" w:cs="Times New Roman"/>
        </w:rPr>
        <w:t xml:space="preserve"> r 58.</w:t>
      </w:r>
    </w:p>
  </w:footnote>
  <w:footnote w:id="127">
    <w:p w14:paraId="7E862027" w14:textId="1B8B0E7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7C3F3B">
        <w:rPr>
          <w:rFonts w:ascii="Times New Roman" w:hAnsi="Times New Roman" w:cs="Times New Roman"/>
        </w:rPr>
        <w:t xml:space="preserve">See, eg, </w:t>
      </w:r>
      <w:r w:rsidR="007C3F3B" w:rsidRPr="00F42C59">
        <w:rPr>
          <w:rFonts w:ascii="Times New Roman" w:hAnsi="Times New Roman" w:cs="Times New Roman"/>
        </w:rPr>
        <w:t xml:space="preserve">Bengio, Yoshua, ‘Springtime for AI: The Rise of Deep Learning’ (June 2016) </w:t>
      </w:r>
      <w:r w:rsidR="007C3F3B" w:rsidRPr="00F42C59">
        <w:rPr>
          <w:rFonts w:ascii="Times New Roman" w:hAnsi="Times New Roman" w:cs="Times New Roman"/>
          <w:i/>
          <w:iCs/>
        </w:rPr>
        <w:t>Scientific American</w:t>
      </w:r>
      <w:r w:rsidR="007C3F3B" w:rsidRPr="00F42C59">
        <w:rPr>
          <w:rFonts w:ascii="Times New Roman" w:hAnsi="Times New Roman" w:cs="Times New Roman"/>
        </w:rPr>
        <w:t xml:space="preserve">; Montañez, Amanda, ‘Unveiling the Hidden Layers of Deep Learning’, </w:t>
      </w:r>
      <w:r w:rsidR="007C3F3B" w:rsidRPr="00F42C59">
        <w:rPr>
          <w:rFonts w:ascii="Times New Roman" w:hAnsi="Times New Roman" w:cs="Times New Roman"/>
          <w:i/>
          <w:iCs/>
        </w:rPr>
        <w:t>Scientific American</w:t>
      </w:r>
      <w:r w:rsidR="007C3F3B" w:rsidRPr="00F42C59">
        <w:rPr>
          <w:rFonts w:ascii="Times New Roman" w:hAnsi="Times New Roman" w:cs="Times New Roman"/>
        </w:rPr>
        <w:t xml:space="preserve"> (Web Article, 20 May 2016) &lt;https://blogs.scientificamerican.com/sa-visual/unveiling-the-hidden-layers-of-deep-learning/&gt;</w:t>
      </w:r>
      <w:r w:rsidR="002800FD">
        <w:rPr>
          <w:rFonts w:ascii="Times New Roman" w:hAnsi="Times New Roman" w:cs="Times New Roman"/>
        </w:rPr>
        <w:t>. TODO BETTER SOURCE</w:t>
      </w:r>
    </w:p>
  </w:footnote>
  <w:footnote w:id="128">
    <w:p w14:paraId="2640D3C9" w14:textId="1078C749" w:rsidR="007C3F3B" w:rsidRDefault="007C3F3B">
      <w:pPr>
        <w:pStyle w:val="FootnoteText"/>
      </w:pPr>
      <w:r>
        <w:rPr>
          <w:rStyle w:val="FootnoteReference"/>
        </w:rPr>
        <w:footnoteRef/>
      </w:r>
      <w:r>
        <w:t xml:space="preserve"> </w:t>
      </w:r>
      <w:r>
        <w:fldChar w:fldCharType="begin"/>
      </w:r>
      <w:r>
        <w:instrText xml:space="preserve"> ADDIN ZOTERO_ITEM CSL_CITATION {"citationID":"qT1RY1Gl","properties":{"formattedCitation":"See, eg, Donald L Schomer and Fernando H Lopes da Silva, {\\i{}Niedermeyer\\uc0\\u8217{}s Electroencephalography: Basic Principles, Clinical Applications, and Related Fields} (Lippincott Williams &amp; Wilkins, 6th ed, 2010); Mauricio J Giuliodori and Gustavo Zuccolilli, \\uc0\\u8216{}Postsynaptic Potential Summation and Action Potential Initiation: Function Following Form\\uc0\\u8217{} (2004) 28(2) {\\i{}Advances in Physiology Education} 79.","plainCitation":"See, eg, Donald L Schomer and Fernando H Lopes da Silva, Niedermeyer’s Electroencephalography: Basic Principles, Clinical Applications, and Related Fields (Lippincott Williams &amp; Wilkins, 6th ed, 2010); Mauricio J Giuliodori and Gustavo Zuccolilli, ‘Postsynaptic Potential Summation and Action Potential Initiation: Function Following Form’ (2004) 28(2) Advances in Physiology Education 79.","noteIndex":127},"citationItems":[{"id":152,"uris":["http://zotero.org/users/6782581/items/PS4YDNI5"],"uri":["http://zotero.org/users/6782581/items/PS4YDNI5"],"itemData":{"id":152,"type":"book","abstract":"\"Niedermeyer's Electroencephalography\" published on  by Oxford University Press.","edition":"6th","ISBN":"978-0-19-022851-4","language":"en_US","publisher":"Lippincott Williams &amp; Wilkins","title":"Niedermeyer's Electroencephalography: Basic Principles, Clinical Applications, and Related Fields","author":[{"family":"Schomer","given":"Donald L."},{"family":"Lopes da Silva","given":"Fernando H."}],"accessed":{"date-parts":[["2020",8,27]]},"issued":{"date-parts":[["2010",12,22]]}},"prefix":"See, eg, "},{"id":158,"uris":["http://zotero.org/users/6782581/items/UWVYEUD5"],"uri":["http://zotero.org/users/6782581/items/UWVYEUD5"],"itemData":{"id":158,"type":"article-journal","container-title":"Advances in Physiology Education","DOI":"10.1152/advan.00051.2003","ISSN":"1043-4046","issue":"2","journalAbbreviation":"Advances in Physiology Education","note":"publisher: American Physiological Society","page":"79-80","source":"journals.physiology.org (Atypon)","title":"Postsynaptic potential summation and action potential initiation: function following form","volume":"28","author":[{"family":"Giuliodori","given":"Mauricio J."},{"family":"Zuccolilli","given":"Gustavo"}],"issued":{"date-parts":[["2004",6,1]]}}}],"schema":"https://github.com/citation-style-language/schema/raw/master/csl-citation.json"} </w:instrText>
      </w:r>
      <w:r>
        <w:fldChar w:fldCharType="separate"/>
      </w:r>
      <w:r w:rsidRPr="007C3F3B">
        <w:rPr>
          <w:rFonts w:ascii="Calibri" w:hAnsi="Calibri" w:cs="Calibri"/>
          <w:szCs w:val="24"/>
        </w:rPr>
        <w:t xml:space="preserve">See, eg, Donald L Schomer and Fernando H Lopes da Silva, </w:t>
      </w:r>
      <w:r w:rsidRPr="007C3F3B">
        <w:rPr>
          <w:rFonts w:ascii="Calibri" w:hAnsi="Calibri" w:cs="Calibri"/>
          <w:i/>
          <w:iCs/>
          <w:szCs w:val="24"/>
        </w:rPr>
        <w:t>Niedermeyer’s Electroencephalography: Basic Principles, Clinical Applications, and Related Fields</w:t>
      </w:r>
      <w:r w:rsidRPr="007C3F3B">
        <w:rPr>
          <w:rFonts w:ascii="Calibri" w:hAnsi="Calibri" w:cs="Calibri"/>
          <w:szCs w:val="24"/>
        </w:rPr>
        <w:t xml:space="preserve"> (Lippincott Williams &amp; Wilkins, 6th ed, 2010); Mauricio J Giuliodori and Gustavo Zuccolilli, ‘Postsynaptic Potential Summation and Action Potential Initiation: Function Following Form’ (2004) 28(2) </w:t>
      </w:r>
      <w:r w:rsidRPr="007C3F3B">
        <w:rPr>
          <w:rFonts w:ascii="Calibri" w:hAnsi="Calibri" w:cs="Calibri"/>
          <w:i/>
          <w:iCs/>
          <w:szCs w:val="24"/>
        </w:rPr>
        <w:t>Advances in Physiology Education</w:t>
      </w:r>
      <w:r w:rsidRPr="007C3F3B">
        <w:rPr>
          <w:rFonts w:ascii="Calibri" w:hAnsi="Calibri" w:cs="Calibri"/>
          <w:szCs w:val="24"/>
        </w:rPr>
        <w:t xml:space="preserve"> 79.</w:t>
      </w:r>
      <w:r>
        <w:fldChar w:fldCharType="end"/>
      </w:r>
    </w:p>
  </w:footnote>
  <w:footnote w:id="129">
    <w:p w14:paraId="2B20A4CC" w14:textId="31A5999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TODO</w:t>
      </w:r>
    </w:p>
  </w:footnote>
  <w:footnote w:id="130">
    <w:p w14:paraId="0EAA4F27" w14:textId="249D1C6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TODO</w:t>
      </w:r>
    </w:p>
  </w:footnote>
  <w:footnote w:id="131">
    <w:p w14:paraId="3D9D16F9" w14:textId="77777777" w:rsidR="006F7A8D" w:rsidRPr="006F7A8D" w:rsidRDefault="006F7A8D" w:rsidP="001C30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Australian Securities and Investments Commission v Westpac Banking Corporation</w:t>
      </w:r>
      <w:r w:rsidRPr="006F7A8D">
        <w:rPr>
          <w:rFonts w:ascii="Times New Roman" w:hAnsi="Times New Roman" w:cs="Times New Roman"/>
        </w:rPr>
        <w:t xml:space="preserve"> (2020) 380 ALR 262, 296.</w:t>
      </w:r>
    </w:p>
  </w:footnote>
  <w:footnote w:id="132">
    <w:p w14:paraId="485B07E5" w14:textId="4DE43A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possibilities and consequences of which are hypothesised in the following section.</w:t>
      </w:r>
    </w:p>
  </w:footnote>
  <w:footnote w:id="133">
    <w:p w14:paraId="2A237B86" w14:textId="7F5C8166"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{"citationID":"nrfyoskV","properties":{"formattedCitation":"Lawrence Solan, \\uc0\\u8216{}The Interpretation of Multilingual Statutes by the European Court of Justice\\uc0\\u8217{} (2009) 34(2) {\\i{}Brooklyn Journal of International Law} 277.","plainCitation":"Lawrence Solan, ‘The Interpretation of Multilingual Statutes by the European Court of Justice’ (2009) 34(2) Brooklyn Journal of International Law 277.","noteIndex":132},"citationItems":[{"id":311,"uris":["http://zotero.org/users/6782581/items/R7EJGYUG"],"uri":["http://zotero.org/users/6782581/items/R7EJGYUG"],"itemData":{"id":311,"type":"article-journal","container-title":"Brooklyn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Justice","volume":"34","author":[{"family":"Solan","given":"Lawrence"}],"issued":{"date-parts":[["2009"]]}}}],"schema":"https://github.com/citation-style-language/schema/raw/master/csl-citation.json"} </w:instrText>
      </w:r>
      <w:r w:rsidRPr="006F7A8D">
        <w:rPr>
          <w:rFonts w:ascii="Times New Roman" w:hAnsi="Times New Roman" w:cs="Times New Roman"/>
        </w:rPr>
        <w:fldChar w:fldCharType="separate"/>
      </w:r>
      <w:r w:rsidR="00E462F3" w:rsidRPr="00E462F3">
        <w:rPr>
          <w:rFonts w:ascii="Times New Roman" w:hAnsi="Times New Roman" w:cs="Times New Roman"/>
          <w:szCs w:val="24"/>
        </w:rPr>
        <w:t xml:space="preserve">Lawrence Solan, ‘The Interpretation of Multilingual Statutes by the European Court of Justice’ (2009) 34(2) </w:t>
      </w:r>
      <w:r w:rsidR="00E462F3" w:rsidRPr="00E462F3">
        <w:rPr>
          <w:rFonts w:ascii="Times New Roman" w:hAnsi="Times New Roman" w:cs="Times New Roman"/>
          <w:i/>
          <w:iCs/>
          <w:szCs w:val="24"/>
        </w:rPr>
        <w:t>Brooklyn Journal of International Law</w:t>
      </w:r>
      <w:r w:rsidR="00E462F3" w:rsidRPr="00E462F3">
        <w:rPr>
          <w:rFonts w:ascii="Times New Roman" w:hAnsi="Times New Roman" w:cs="Times New Roman"/>
          <w:szCs w:val="24"/>
        </w:rPr>
        <w:t xml:space="preserve"> 277.</w:t>
      </w:r>
      <w:r w:rsidRPr="006F7A8D">
        <w:rPr>
          <w:rFonts w:ascii="Times New Roman" w:hAnsi="Times New Roman" w:cs="Times New Roman"/>
        </w:rPr>
        <w:fldChar w:fldCharType="end"/>
      </w:r>
    </w:p>
  </w:footnote>
  <w:footnote w:id="134">
    <w:p w14:paraId="2E467D13" w14:textId="306954CB"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{"citationID":"8SYBgzcx","properties":{"formattedCitation":"Ibid 279\\uc0\\u8211{}280.","plainCitation":"Ibid 279–280.","noteIndex":133},"citationItems":[{"id":311,"uris":["http://zotero.org/users/6782581/items/R7EJGYUG"],"uri":["http://zotero.org/users/6782581/items/R7EJGYUG"],"itemData":{"id":311,"type":"article-journal","container-title":"Brooklyn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Justice","volume":"34","author":[{"family":"Solan","given":"Lawrence"}],"issued":{"date-parts":[["2009"]]}},"locator":"279-280"}],"schema":"https://github.com/citation-style-language/schema/raw/master/csl-citation.json"}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Ibid 279–280.</w:t>
      </w:r>
      <w:r w:rsidRPr="006F7A8D">
        <w:rPr>
          <w:rFonts w:ascii="Times New Roman" w:hAnsi="Times New Roman" w:cs="Times New Roman"/>
        </w:rPr>
        <w:fldChar w:fldCharType="end"/>
      </w:r>
    </w:p>
  </w:footnote>
  <w:footnote w:id="135">
    <w:p w14:paraId="613920FC"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36">
    <w:p w14:paraId="67B350A4"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In the case of RaC, these languages can be considered ‘natural language’ and a given programming language TODO</w:t>
      </w:r>
    </w:p>
  </w:footnote>
  <w:footnote w:id="137">
    <w:p w14:paraId="0B7CAF9E" w14:textId="7D002F9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Refs</w:t>
      </w:r>
    </w:p>
  </w:footnote>
  <w:footnote w:id="138">
    <w:p w14:paraId="732C7A99" w14:textId="5BD69A7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{"citationID":"6Gq8ynS8","properties":{"formattedCitation":"Australasian Legal Information Institute (n 99).","plainCitation":"Australasian Legal Information Institute (n 99).","noteIndex":137},"citationItems":[{"id":312,"uris":["http://zotero.org/users/6782581/items/497U4952"],"uri":["http://zotero.org/users/6782581/items/497U4952"],"itemData":{"id":312,"type":"webpage","container-title":"DataLex","title":"DataLex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Australasian Legal Information Institute (n 99).</w:t>
      </w:r>
      <w:r w:rsidRPr="006F7A8D">
        <w:rPr>
          <w:rFonts w:ascii="Times New Roman" w:hAnsi="Times New Roman" w:cs="Times New Roman"/>
        </w:rPr>
        <w:fldChar w:fldCharType="end"/>
      </w:r>
    </w:p>
  </w:footnote>
  <w:footnote w:id="139">
    <w:p w14:paraId="003476B3" w14:textId="6318A7C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2"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40">
    <w:p w14:paraId="71245A69" w14:textId="01496CD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w:t>
      </w:r>
      <w:r w:rsidRPr="006F7A8D">
        <w:rPr>
          <w:rFonts w:ascii="Times New Roman" w:hAnsi="Times New Roman" w:cs="Times New Roman"/>
          <w:i/>
          <w:iCs/>
        </w:rPr>
        <w:t xml:space="preserve">Commonwealth Electoral Act 1918 </w:t>
      </w:r>
      <w:r w:rsidRPr="006F7A8D">
        <w:rPr>
          <w:rFonts w:ascii="Times New Roman" w:hAnsi="Times New Roman" w:cs="Times New Roman"/>
        </w:rPr>
        <w:t xml:space="preserve">(Cth) and the </w:t>
      </w:r>
      <w:r w:rsidRPr="006F7A8D">
        <w:rPr>
          <w:rFonts w:ascii="Times New Roman" w:hAnsi="Times New Roman" w:cs="Times New Roman"/>
          <w:i/>
          <w:iCs/>
        </w:rPr>
        <w:t>Commonwealth of Australia Constitution</w:t>
      </w:r>
      <w:r w:rsidRPr="006F7A8D">
        <w:rPr>
          <w:rFonts w:ascii="Times New Roman" w:hAnsi="Times New Roman" w:cs="Times New Roman"/>
        </w:rPr>
        <w:t>.</w:t>
      </w:r>
    </w:p>
  </w:footnote>
  <w:footnote w:id="141">
    <w:p w14:paraId="0A2C21B0" w14:textId="5E0AA5D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140},"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6F7A8D">
        <w:rPr>
          <w:rFonts w:ascii="Times New Roman" w:hAnsi="Times New Roman" w:cs="Times New Roman"/>
          <w:i/>
          <w:iCs/>
          <w:szCs w:val="24"/>
        </w:rPr>
        <w:t>ElectKB</w:t>
      </w:r>
      <w:r w:rsidRPr="006F7A8D">
        <w:rPr>
          <w:rFonts w:ascii="Times New Roman" w:hAnsi="Times New Roman" w:cs="Times New Roman"/>
          <w:szCs w:val="24"/>
        </w:rPr>
        <w:t xml:space="preserve"> (Australasian Legal Information Institute, 2020) &lt;http://austlii.community/foswiki/DataLex/ElectKB&gt;.</w:t>
      </w:r>
      <w:r w:rsidRPr="006F7A8D">
        <w:rPr>
          <w:rFonts w:ascii="Times New Roman" w:hAnsi="Times New Roman" w:cs="Times New Roman"/>
        </w:rPr>
        <w:fldChar w:fldCharType="end"/>
      </w:r>
    </w:p>
  </w:footnote>
  <w:footnote w:id="142">
    <w:p w14:paraId="40CE6E15" w14:textId="4B0ACC3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3">
    <w:p w14:paraId="180BA60F" w14:textId="214EF17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4">
    <w:p w14:paraId="69FF7B9F" w14:textId="07E81B9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[2018] FCAFC 79.</w:t>
      </w:r>
    </w:p>
  </w:footnote>
  <w:footnote w:id="145">
    <w:p w14:paraId="69BAE106" w14:textId="6E76099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PINPOINT?</w:t>
      </w:r>
    </w:p>
  </w:footnote>
  <w:footnote w:id="146">
    <w:p w14:paraId="59635D31" w14:textId="2F13655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Minister for Natural Resources v New South Wales Aboriginal Land Council </w:t>
      </w:r>
      <w:r w:rsidRPr="006F7A8D">
        <w:rPr>
          <w:rFonts w:ascii="Times New Roman" w:hAnsi="Times New Roman" w:cs="Times New Roman"/>
        </w:rPr>
        <w:t>(1987) 9 NSWLR 154, 164 (McHugh J).</w:t>
      </w:r>
    </w:p>
  </w:footnote>
  <w:footnote w:id="147">
    <w:p w14:paraId="2A22D42B" w14:textId="6118C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[1999] FCA 422, [19].</w:t>
      </w:r>
    </w:p>
  </w:footnote>
  <w:footnote w:id="148">
    <w:p w14:paraId="45D59147" w14:textId="79A3DB3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Semunigus v Minister for Immigration and Multicultural Affairs </w:t>
      </w:r>
      <w:r w:rsidRPr="006F7A8D">
        <w:rPr>
          <w:rFonts w:ascii="Times New Roman" w:hAnsi="Times New Roman" w:cs="Times New Roman"/>
        </w:rPr>
        <w:t>(2000) 96 FCR 533, 536, 540, 546-547.</w:t>
      </w:r>
    </w:p>
  </w:footnote>
  <w:footnote w:id="149">
    <w:p w14:paraId="2C4FE5E0" w14:textId="1AE982D0"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FCAFC 79, [46]-[50].</w:t>
      </w:r>
    </w:p>
  </w:footnote>
  <w:footnote w:id="150">
    <w:p w14:paraId="11C9AFA4" w14:textId="4CC2FC1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[64]-[65]</w:t>
      </w:r>
    </w:p>
  </w:footnote>
  <w:footnote w:id="151">
    <w:p w14:paraId="73D14AB0" w14:textId="325CB0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[151]-[152] (Moshinsky and Derrington JJ).</w:t>
      </w:r>
    </w:p>
  </w:footnote>
  <w:footnote w:id="152">
    <w:p w14:paraId="4F835240" w14:textId="011C87E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[152].</w:t>
      </w:r>
    </w:p>
  </w:footnote>
  <w:footnote w:id="153">
    <w:p w14:paraId="0106D7D3" w14:textId="63C2FC6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HCASL 322.</w:t>
      </w:r>
    </w:p>
  </w:footnote>
  <w:footnote w:id="154">
    <w:p w14:paraId="030263F6" w14:textId="0C43AA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153},"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eg, Anna Huggins, ‘Automated Processes and Administrative Law: The Case of Pintarich’, </w:t>
      </w:r>
      <w:r w:rsidRPr="006F7A8D">
        <w:rPr>
          <w:rFonts w:ascii="Times New Roman" w:hAnsi="Times New Roman" w:cs="Times New Roman"/>
          <w:i/>
          <w:iCs/>
          <w:szCs w:val="24"/>
        </w:rPr>
        <w:t>AusPubLaw</w:t>
      </w:r>
      <w:r w:rsidRPr="006F7A8D">
        <w:rPr>
          <w:rFonts w:ascii="Times New Roman" w:hAnsi="Times New Roman" w:cs="Times New Roman"/>
          <w:szCs w:val="24"/>
        </w:rPr>
        <w:t xml:space="preserve"> (Australian Public Law) &lt;https://auspublaw.org/2018/11/the-case-of-pintarich/&gt;; Nassim Khadem, ‘Tax Office Computer Says Yes, Federal Court Says No’, </w:t>
      </w:r>
      <w:r w:rsidRPr="006F7A8D">
        <w:rPr>
          <w:rFonts w:ascii="Times New Roman" w:hAnsi="Times New Roman" w:cs="Times New Roman"/>
          <w:i/>
          <w:iCs/>
          <w:szCs w:val="24"/>
        </w:rPr>
        <w:t>ABC News</w:t>
      </w:r>
      <w:r w:rsidRPr="006F7A8D">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6F7A8D">
        <w:rPr>
          <w:rFonts w:ascii="Times New Roman" w:hAnsi="Times New Roman" w:cs="Times New Roman"/>
        </w:rPr>
        <w:fldChar w:fldCharType="end"/>
      </w:r>
    </w:p>
  </w:footnote>
  <w:footnote w:id="155">
    <w:p w14:paraId="7C043592" w14:textId="4B6F8F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56">
    <w:p w14:paraId="11C492D5" w14:textId="093001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cases.","noteIndex":155},"citationItems":[{"id":336,"uris":["http://zotero.org/users/6782581/items/HXNZYBWA"],"uri":["http://zotero.org/users/6782581/items/HXNZYBWA"],"itemData":{"id":336,"type":"report","abstract":"The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also Principal 1 in Administrative Review Council, </w:t>
      </w:r>
      <w:r w:rsidRPr="006F7A8D">
        <w:rPr>
          <w:rFonts w:ascii="Times New Roman" w:hAnsi="Times New Roman" w:cs="Times New Roman"/>
          <w:i/>
          <w:iCs/>
          <w:szCs w:val="24"/>
        </w:rPr>
        <w:t>Automated Assistance in Administrative Decision Making</w:t>
      </w:r>
      <w:r w:rsidRPr="006F7A8D">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6F7A8D">
        <w:rPr>
          <w:rFonts w:ascii="Times New Roman" w:hAnsi="Times New Roman" w:cs="Times New Roman"/>
        </w:rPr>
        <w:fldChar w:fldCharType="end"/>
      </w:r>
    </w:p>
  </w:footnote>
  <w:footnote w:id="157">
    <w:p w14:paraId="586AA434" w14:textId="3DDE2C5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Taxation Office, </w:t>
      </w:r>
      <w:r w:rsidRPr="006F7A8D">
        <w:rPr>
          <w:rFonts w:ascii="Times New Roman" w:hAnsi="Times New Roman" w:cs="Times New Roman"/>
          <w:i/>
          <w:iCs/>
        </w:rPr>
        <w:t xml:space="preserve">Decision Impact Statement on Pintarich v Deputy Commission of Taxation [2018] FCAFC 79 </w:t>
      </w:r>
      <w:r w:rsidRPr="006F7A8D">
        <w:rPr>
          <w:rFonts w:ascii="Times New Roman" w:hAnsi="Times New Roman" w:cs="Times New Roman"/>
        </w:rPr>
        <w:t>(4 April 2019).</w:t>
      </w:r>
    </w:p>
  </w:footnote>
  <w:footnote w:id="158">
    <w:p w14:paraId="4A7B2843" w14:textId="4CBE71F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w:t>
      </w:r>
    </w:p>
  </w:footnote>
  <w:footnote w:id="159">
    <w:p w14:paraId="547980E0" w14:textId="7D68CE6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Skatteministeriet v Aktieselskabet Forsikrinsselskabet Codan </w:t>
      </w:r>
      <w:r w:rsidRPr="006F7A8D">
        <w:rPr>
          <w:rFonts w:ascii="Times New Roman" w:hAnsi="Times New Roman" w:cs="Times New Roman"/>
        </w:rPr>
        <w:t>(C-236/97) [1998] ECR I-8679.</w:t>
      </w:r>
    </w:p>
  </w:footnote>
  <w:footnote w:id="160">
    <w:p w14:paraId="7CDBB0A7" w14:textId="7E578A5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art 267.</w:t>
      </w:r>
    </w:p>
  </w:footnote>
  <w:footnote w:id="161">
    <w:p w14:paraId="763A8D7D" w14:textId="500197D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162">
    <w:p w14:paraId="6DE8E396" w14:textId="604390A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{"citationID":"SBZNn5hn","properties":{"formattedCitation":"Directorate-General for Communication (n 82).","plainCitation":"Directorate-General for Communication (n 82).","noteIndex":161},"citationItems":[{"id":188,"uris":["http://zotero.org/users/6782581/items/Y26GIURV"],"uri":["http://zotero.org/users/6782581/items/Y26GIURV"],"itemData":{"id":188,"type":"webpage","abstract":"Directorate-General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Directorate-General for Communication (n 82).</w:t>
      </w:r>
      <w:r w:rsidRPr="006F7A8D">
        <w:rPr>
          <w:rFonts w:ascii="Times New Roman" w:hAnsi="Times New Roman" w:cs="Times New Roman"/>
        </w:rPr>
        <w:fldChar w:fldCharType="end"/>
      </w:r>
    </w:p>
  </w:footnote>
  <w:footnote w:id="163">
    <w:p w14:paraId="1A6FF239" w14:textId="7777777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164">
    <w:p w14:paraId="53AC4182" w14:textId="5CCC2F71"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163},"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Colin Robertson, ‘EU Legislative Texts and Translation’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155, 158–159 &lt;https://www-taylorfrancis-com.ezp01.library.qut.edu.au/books/e/9781315612706&gt;.</w:t>
      </w:r>
      <w:r w:rsidRPr="006F7A8D">
        <w:rPr>
          <w:rFonts w:ascii="Times New Roman" w:hAnsi="Times New Roman" w:cs="Times New Roman"/>
        </w:rPr>
        <w:fldChar w:fldCharType="end"/>
      </w:r>
    </w:p>
  </w:footnote>
  <w:footnote w:id="165">
    <w:p w14:paraId="0DAAF0A6" w14:textId="7005CCA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66">
    <w:p w14:paraId="20FB50EF" w14:textId="08C6DFF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67">
    <w:p w14:paraId="6A056D3E" w14:textId="0BC77B6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Delegated legislation?</w:t>
      </w:r>
    </w:p>
  </w:footnote>
  <w:footnote w:id="168">
    <w:p w14:paraId="2C7EC4B1" w14:textId="00A803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flesh out?</w:t>
      </w:r>
    </w:p>
  </w:footnote>
  <w:footnote w:id="169">
    <w:p w14:paraId="3767D2CF" w14:textId="0B1CF85E"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{"citationID":"V0X4vGyd","properties":{"formattedCitation":"Solan (n 132) 287.","plainCitation":"Solan (n 132) 287.","noteIndex":168},"citationItems":[{"id":311,"uris":["http://zotero.org/users/6782581/items/R7EJGYUG"],"uri":["http://zotero.org/users/6782581/items/R7EJGYUG"],"itemData":{"id":311,"type":"article-journal","container-title":"Brooklyn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p>
  </w:footnote>
  <w:footnote w:id="170">
    <w:p w14:paraId="250F1269"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Case 29/69, Erich Stauder v City of Ulm, 1969 E.C.R. 419.</w:t>
      </w:r>
    </w:p>
  </w:footnote>
  <w:footnote w:id="171">
    <w:p w14:paraId="4E421D5C"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3-7.</w:t>
      </w:r>
    </w:p>
  </w:footnote>
  <w:footnote w:id="172">
    <w:p w14:paraId="596D3CBE" w14:textId="22045264"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{"citationID":"FadwYSye","properties":{"formattedCitation":"Solan (n 132) 287.","plainCitation":"Solan (n 132) 287.","noteIndex":171},"citationItems":[{"id":311,"uris":["http://zotero.org/users/6782581/items/R7EJGYUG"],"uri":["http://zotero.org/users/6782581/items/R7EJGYUG"],"itemData":{"id":311,"type":"article-journal","container-title":"Brooklyn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r w:rsidRPr="006F7A8D">
        <w:rPr>
          <w:rFonts w:ascii="Times New Roman" w:hAnsi="Times New Roman" w:cs="Times New Roman"/>
        </w:rPr>
        <w:t xml:space="preserve"> See, also, the similar approach adopted in, eg, </w:t>
      </w:r>
      <w:r w:rsidRPr="006F7A8D">
        <w:rPr>
          <w:rFonts w:ascii="Times New Roman" w:hAnsi="Times New Roman" w:cs="Times New Roman"/>
          <w:i/>
          <w:iCs/>
        </w:rPr>
        <w:t>Itegeko Nshinga rya Repubulika y’u Rwanda 2003</w:t>
      </w:r>
      <w:r w:rsidRPr="006F7A8D">
        <w:rPr>
          <w:rFonts w:ascii="Times New Roman" w:hAnsi="Times New Roman" w:cs="Times New Roman"/>
        </w:rPr>
        <w:t xml:space="preserve"> [Constitution of the Republic of Rwanda 2003] art 96.</w:t>
      </w:r>
    </w:p>
  </w:footnote>
  <w:footnote w:id="173">
    <w:p w14:paraId="63BED857" w14:textId="620F057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Such an approach has been taken in multilingual unilateral environments where notions of sovereignty and linguistic equality are similarly irrelevant. See, eg, </w:t>
      </w:r>
      <w:r w:rsidRPr="006F7A8D">
        <w:rPr>
          <w:rFonts w:ascii="Times New Roman" w:hAnsi="Times New Roman" w:cs="Times New Roman"/>
          <w:i/>
          <w:iCs/>
        </w:rPr>
        <w:t xml:space="preserve">Bunreacht na hÉireann </w:t>
      </w:r>
      <w:r w:rsidRPr="006F7A8D">
        <w:rPr>
          <w:rFonts w:ascii="Times New Roman" w:hAnsi="Times New Roman" w:cs="Times New Roman"/>
        </w:rPr>
        <w:t>[Constitution of Ireland]</w:t>
      </w:r>
      <w:r w:rsidRPr="006F7A8D">
        <w:rPr>
          <w:rFonts w:ascii="Times New Roman" w:hAnsi="Times New Roman" w:cs="Times New Roman"/>
          <w:i/>
          <w:iCs/>
        </w:rPr>
        <w:t xml:space="preserve"> </w:t>
      </w:r>
      <w:r w:rsidRPr="006F7A8D">
        <w:rPr>
          <w:rFonts w:ascii="Times New Roman" w:hAnsi="Times New Roman" w:cs="Times New Roman"/>
        </w:rPr>
        <w:t xml:space="preserve">art 8. See also the approach adopted by Luxembourg which reduces translations to a non-binding, advisory role: </w:t>
      </w:r>
      <w:r w:rsidRPr="006F7A8D">
        <w:rPr>
          <w:rFonts w:ascii="Times New Roman" w:hAnsi="Times New Roman" w:cs="Times New Roman"/>
          <w:i/>
          <w:iCs/>
        </w:rPr>
        <w:t xml:space="preserve">Loi sur les regimes des langues 1984 </w:t>
      </w:r>
      <w:r w:rsidRPr="006F7A8D">
        <w:rPr>
          <w:rFonts w:ascii="Times New Roman" w:hAnsi="Times New Roman" w:cs="Times New Roman"/>
        </w:rPr>
        <w:t>[Languages Regulation Act 1984] (Luxembourg) art 2.</w:t>
      </w:r>
    </w:p>
  </w:footnote>
  <w:footnote w:id="174">
    <w:p w14:paraId="3A5E19B9" w14:textId="15059AA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REF/FLESHING OUT NEEDED</w:t>
      </w:r>
    </w:p>
  </w:footnote>
  <w:footnote w:id="175">
    <w:p w14:paraId="7211377A" w14:textId="204E6B57" w:rsidR="001C1F2A" w:rsidRDefault="001C1F2A">
      <w:pPr>
        <w:pStyle w:val="FootnoteText"/>
      </w:pPr>
      <w:r>
        <w:rPr>
          <w:rStyle w:val="FootnoteReference"/>
        </w:rPr>
        <w:footnoteRef/>
      </w:r>
      <w:r>
        <w:t xml:space="preserve"> TODO As in, for example, Brazil: Ashgate 211, Cao 103 (in Ashgate)</w:t>
      </w:r>
    </w:p>
  </w:footnote>
  <w:footnote w:id="176">
    <w:p w14:paraId="2C0F1801" w14:textId="27D3B838" w:rsidR="001C1F2A" w:rsidRDefault="001C1F2A">
      <w:pPr>
        <w:pStyle w:val="FootnoteText"/>
      </w:pPr>
      <w:r>
        <w:rPr>
          <w:rStyle w:val="FootnoteReference"/>
        </w:rPr>
        <w:footnoteRef/>
      </w:r>
      <w:r>
        <w:t xml:space="preserve"> TODO show ASIC’s intent to minimise litigation</w:t>
      </w:r>
    </w:p>
  </w:footnote>
  <w:footnote w:id="177">
    <w:p w14:paraId="09E4D747" w14:textId="01DBCFE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{"citationID":"kwVv9Kip","properties":{"formattedCitation":"See Lisa Crawford et al, {\\i{}Public Law and Statutory Interpretation: Principles and Practice} (Federation Press, 2017) 228\\uc0\\u8211{}256 (\\uc0\\u8216{}{\\i{}Public Law and Statutory Interpretation}\\uc0\\u8217{}).","plainCitation":"See Lisa Crawford et al, Public Law and Statutory Interpretation: Principles and Practice (Federation Press, 2017) 228–256 (‘Public Law and Statutory Interpretation’).","noteIndex":176},"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Lisa Crawford et al, </w:t>
      </w:r>
      <w:r w:rsidRPr="006F7A8D">
        <w:rPr>
          <w:rFonts w:ascii="Times New Roman" w:hAnsi="Times New Roman" w:cs="Times New Roman"/>
          <w:i/>
          <w:iCs/>
          <w:szCs w:val="24"/>
        </w:rPr>
        <w:t>Public Law and Statutory Interpretation: Principles and Practice</w:t>
      </w:r>
      <w:r w:rsidRPr="006F7A8D">
        <w:rPr>
          <w:rFonts w:ascii="Times New Roman" w:hAnsi="Times New Roman" w:cs="Times New Roman"/>
          <w:szCs w:val="24"/>
        </w:rPr>
        <w:t xml:space="preserve"> (Federation Press, 2017) 228–256 (‘</w:t>
      </w:r>
      <w:r w:rsidRPr="006F7A8D">
        <w:rPr>
          <w:rFonts w:ascii="Times New Roman" w:hAnsi="Times New Roman" w:cs="Times New Roman"/>
          <w:i/>
          <w:iCs/>
          <w:szCs w:val="24"/>
        </w:rPr>
        <w:t>Public Law and Statutory Interpretation</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78">
    <w:p w14:paraId="0319C5C5" w14:textId="632E70B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(1998) 194 CLR 355.</w:t>
      </w:r>
    </w:p>
  </w:footnote>
  <w:footnote w:id="179">
    <w:p w14:paraId="12746BC2" w14:textId="21B5ECB4" w:rsidR="00230627" w:rsidRDefault="00230627">
      <w:pPr>
        <w:pStyle w:val="FootnoteText"/>
      </w:pPr>
      <w:r>
        <w:rPr>
          <w:rStyle w:val="FootnoteReference"/>
        </w:rPr>
        <w:footnoteRef/>
      </w:r>
      <w:r>
        <w:t xml:space="preserve"> TODO</w:t>
      </w:r>
      <w:r w:rsidR="00520E50">
        <w:t xml:space="preserve"> GARZONE – Legal translation and functionalist approaches: a contradiction in terms?</w:t>
      </w:r>
    </w:p>
  </w:footnote>
  <w:footnote w:id="180">
    <w:p w14:paraId="68F00FF7" w14:textId="6EA0F527" w:rsidR="002A65A3" w:rsidRDefault="002A65A3">
      <w:pPr>
        <w:pStyle w:val="FootnoteText"/>
      </w:pPr>
      <w:r>
        <w:rPr>
          <w:rStyle w:val="FootnoteReference"/>
        </w:rPr>
        <w:footnoteRef/>
      </w:r>
      <w:r>
        <w:t xml:space="preserve"> </w:t>
      </w:r>
      <w:r>
        <w:fldChar w:fldCharType="begin"/>
      </w:r>
      <w:r w:rsidR="007C3F3B">
        <w:instrText xml:space="preserve"> ADDIN ZOTERO_ITEM CSL_CITATION {"citationID":"O2Rj6l8X","properties":{"formattedCitation":"Solan (n 132) 283. See also [TODO opinion of advocate general cited in solan].","plainCitation":"Solan (n 132) 283. See also [TODO opinion of advocate general cited in solan].","noteIndex":178},"citationItems":[{"id":311,"uris":["http://zotero.org/users/6782581/items/R7EJGYUG"],"uri":["http://zotero.org/users/6782581/items/R7EJGYUG"],"itemData":{"id":311,"type":"article-journal","container-title":"Brooklyn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Justice","volume":"34","author":[{"family":"Solan","given":"Lawrence"}],"issued":{"date-parts":[["2009"]]}},"locator":"283","suffix":". See also [TODO opinion of advocate general cited in solan]"}],"schema":"https://github.com/citation-style-language/schema/raw/master/csl-citation.json"} </w:instrText>
      </w:r>
      <w:r>
        <w:fldChar w:fldCharType="separate"/>
      </w:r>
      <w:r w:rsidRPr="002A65A3">
        <w:rPr>
          <w:rFonts w:ascii="Calibri" w:hAnsi="Calibri" w:cs="Calibri"/>
        </w:rPr>
        <w:t>Solan (n 132) 283. See also [TODO opinion of advocate general cited in solan].</w:t>
      </w:r>
      <w:r>
        <w:fldChar w:fldCharType="end"/>
      </w:r>
    </w:p>
  </w:footnote>
  <w:footnote w:id="181">
    <w:p w14:paraId="3DDD530A" w14:textId="16E35FA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Crawford: </w:t>
      </w:r>
      <w:r w:rsidRPr="006F7A8D">
        <w:rPr>
          <w:rFonts w:ascii="Times New Roman" w:hAnsi="Times New Roman" w:cs="Times New Roman"/>
          <w:i/>
          <w:iCs/>
        </w:rPr>
        <w:t xml:space="preserve">Gillick v West Norfolk and Wisbech Area Health Authority </w:t>
      </w:r>
      <w:r w:rsidRPr="006F7A8D">
        <w:rPr>
          <w:rFonts w:ascii="Times New Roman" w:hAnsi="Times New Roman" w:cs="Times New Roman"/>
        </w:rPr>
        <w:t>[1986] 1 AC 112</w:t>
      </w:r>
    </w:p>
  </w:footnote>
  <w:footnote w:id="182">
    <w:p w14:paraId="4FFC9F97"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(2020) 380 ALR 262.</w:t>
      </w:r>
    </w:p>
  </w:footnote>
  <w:footnote w:id="183">
    <w:p w14:paraId="29833D19"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84">
    <w:p w14:paraId="2ACBA85F"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of Part 3-2 of the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1"/>
  </w:num>
  <w:num w:numId="5">
    <w:abstractNumId w:val="3"/>
  </w:num>
  <w:num w:numId="6">
    <w:abstractNumId w:val="2"/>
  </w:num>
  <w:num w:numId="7">
    <w:abstractNumId w:val="0"/>
  </w:num>
  <w:num w:numId="8">
    <w:abstractNumId w:val="4"/>
  </w:num>
  <w:num w:numId="9">
    <w:abstractNumId w:val="12"/>
  </w:num>
  <w:num w:numId="10">
    <w:abstractNumId w:val="8"/>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21863"/>
    <w:rsid w:val="000315AC"/>
    <w:rsid w:val="00031E20"/>
    <w:rsid w:val="00037D61"/>
    <w:rsid w:val="00041975"/>
    <w:rsid w:val="00051743"/>
    <w:rsid w:val="00051965"/>
    <w:rsid w:val="00055E76"/>
    <w:rsid w:val="00057ABB"/>
    <w:rsid w:val="00063A82"/>
    <w:rsid w:val="00064BEB"/>
    <w:rsid w:val="00065541"/>
    <w:rsid w:val="00067594"/>
    <w:rsid w:val="00070302"/>
    <w:rsid w:val="00071535"/>
    <w:rsid w:val="000753C1"/>
    <w:rsid w:val="00080AC6"/>
    <w:rsid w:val="00087628"/>
    <w:rsid w:val="00087749"/>
    <w:rsid w:val="00087EA9"/>
    <w:rsid w:val="00090237"/>
    <w:rsid w:val="00096FD9"/>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2397"/>
    <w:rsid w:val="00103A8E"/>
    <w:rsid w:val="00103FD1"/>
    <w:rsid w:val="00107D13"/>
    <w:rsid w:val="00110E3E"/>
    <w:rsid w:val="001152C3"/>
    <w:rsid w:val="0011764C"/>
    <w:rsid w:val="001232E9"/>
    <w:rsid w:val="001256D8"/>
    <w:rsid w:val="0012598D"/>
    <w:rsid w:val="0013053A"/>
    <w:rsid w:val="0014126F"/>
    <w:rsid w:val="00141674"/>
    <w:rsid w:val="00142440"/>
    <w:rsid w:val="00142CCF"/>
    <w:rsid w:val="00147977"/>
    <w:rsid w:val="00151CC4"/>
    <w:rsid w:val="0015492B"/>
    <w:rsid w:val="0015501B"/>
    <w:rsid w:val="00157B24"/>
    <w:rsid w:val="00160C66"/>
    <w:rsid w:val="00161898"/>
    <w:rsid w:val="00163055"/>
    <w:rsid w:val="00163C35"/>
    <w:rsid w:val="001665EA"/>
    <w:rsid w:val="00166B3A"/>
    <w:rsid w:val="0017397C"/>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1F2A"/>
    <w:rsid w:val="001C300E"/>
    <w:rsid w:val="001C3871"/>
    <w:rsid w:val="001C4328"/>
    <w:rsid w:val="001C4DEA"/>
    <w:rsid w:val="001C68A2"/>
    <w:rsid w:val="001D02D8"/>
    <w:rsid w:val="001D0B54"/>
    <w:rsid w:val="001D223E"/>
    <w:rsid w:val="001D621A"/>
    <w:rsid w:val="001E3E35"/>
    <w:rsid w:val="001F1318"/>
    <w:rsid w:val="001F784A"/>
    <w:rsid w:val="002020DF"/>
    <w:rsid w:val="00202476"/>
    <w:rsid w:val="00203194"/>
    <w:rsid w:val="002033FF"/>
    <w:rsid w:val="00206C14"/>
    <w:rsid w:val="00212757"/>
    <w:rsid w:val="00216851"/>
    <w:rsid w:val="00216F5F"/>
    <w:rsid w:val="0021776F"/>
    <w:rsid w:val="002228A5"/>
    <w:rsid w:val="0022301C"/>
    <w:rsid w:val="002304C2"/>
    <w:rsid w:val="00230627"/>
    <w:rsid w:val="002333A0"/>
    <w:rsid w:val="002339D3"/>
    <w:rsid w:val="002378E1"/>
    <w:rsid w:val="00237F64"/>
    <w:rsid w:val="00241297"/>
    <w:rsid w:val="002429B9"/>
    <w:rsid w:val="00247305"/>
    <w:rsid w:val="0025163F"/>
    <w:rsid w:val="00255421"/>
    <w:rsid w:val="0025612F"/>
    <w:rsid w:val="00271665"/>
    <w:rsid w:val="00272C01"/>
    <w:rsid w:val="00273E91"/>
    <w:rsid w:val="0027456E"/>
    <w:rsid w:val="00274E32"/>
    <w:rsid w:val="002800FD"/>
    <w:rsid w:val="0028251D"/>
    <w:rsid w:val="00295ED3"/>
    <w:rsid w:val="00296C13"/>
    <w:rsid w:val="002A2675"/>
    <w:rsid w:val="002A2B60"/>
    <w:rsid w:val="002A4800"/>
    <w:rsid w:val="002A4EB9"/>
    <w:rsid w:val="002A5375"/>
    <w:rsid w:val="002A5A60"/>
    <w:rsid w:val="002A65A3"/>
    <w:rsid w:val="002A692B"/>
    <w:rsid w:val="002B437B"/>
    <w:rsid w:val="002B47A6"/>
    <w:rsid w:val="002B590E"/>
    <w:rsid w:val="002B6254"/>
    <w:rsid w:val="002B6326"/>
    <w:rsid w:val="002B70F8"/>
    <w:rsid w:val="002B7E6D"/>
    <w:rsid w:val="002C553A"/>
    <w:rsid w:val="002C68DF"/>
    <w:rsid w:val="002C6D1C"/>
    <w:rsid w:val="002C716B"/>
    <w:rsid w:val="002D2BE4"/>
    <w:rsid w:val="002D328E"/>
    <w:rsid w:val="002E116A"/>
    <w:rsid w:val="002E71E5"/>
    <w:rsid w:val="002E79BE"/>
    <w:rsid w:val="002E7EC6"/>
    <w:rsid w:val="002F4DAA"/>
    <w:rsid w:val="002F6435"/>
    <w:rsid w:val="002F6AAC"/>
    <w:rsid w:val="00301598"/>
    <w:rsid w:val="0030195E"/>
    <w:rsid w:val="00301976"/>
    <w:rsid w:val="003020E0"/>
    <w:rsid w:val="00314834"/>
    <w:rsid w:val="00321753"/>
    <w:rsid w:val="00321CCD"/>
    <w:rsid w:val="00324229"/>
    <w:rsid w:val="0032584F"/>
    <w:rsid w:val="00331353"/>
    <w:rsid w:val="003330D5"/>
    <w:rsid w:val="003362F5"/>
    <w:rsid w:val="003427E4"/>
    <w:rsid w:val="00347F81"/>
    <w:rsid w:val="003504E2"/>
    <w:rsid w:val="00357326"/>
    <w:rsid w:val="00357D24"/>
    <w:rsid w:val="00360821"/>
    <w:rsid w:val="0036289E"/>
    <w:rsid w:val="003634F4"/>
    <w:rsid w:val="00366718"/>
    <w:rsid w:val="00372CD9"/>
    <w:rsid w:val="0037367B"/>
    <w:rsid w:val="00374EE7"/>
    <w:rsid w:val="003800DA"/>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FEA"/>
    <w:rsid w:val="003C5243"/>
    <w:rsid w:val="003C6E0C"/>
    <w:rsid w:val="003C7893"/>
    <w:rsid w:val="003D0B22"/>
    <w:rsid w:val="003D1C79"/>
    <w:rsid w:val="003D3F3F"/>
    <w:rsid w:val="003D7AEB"/>
    <w:rsid w:val="003E0E68"/>
    <w:rsid w:val="003E12C2"/>
    <w:rsid w:val="003E1916"/>
    <w:rsid w:val="003E281F"/>
    <w:rsid w:val="003E2BA0"/>
    <w:rsid w:val="003E2D56"/>
    <w:rsid w:val="003F04C8"/>
    <w:rsid w:val="003F207F"/>
    <w:rsid w:val="003F3275"/>
    <w:rsid w:val="003F3D2E"/>
    <w:rsid w:val="003F5374"/>
    <w:rsid w:val="00401EF6"/>
    <w:rsid w:val="004021B1"/>
    <w:rsid w:val="00403E80"/>
    <w:rsid w:val="00407D8D"/>
    <w:rsid w:val="004125A2"/>
    <w:rsid w:val="004150A0"/>
    <w:rsid w:val="00417BBC"/>
    <w:rsid w:val="00426195"/>
    <w:rsid w:val="0043011F"/>
    <w:rsid w:val="00430BB6"/>
    <w:rsid w:val="00431E30"/>
    <w:rsid w:val="00431E55"/>
    <w:rsid w:val="00437C93"/>
    <w:rsid w:val="00440E8B"/>
    <w:rsid w:val="004427B5"/>
    <w:rsid w:val="004430AA"/>
    <w:rsid w:val="00443189"/>
    <w:rsid w:val="004460B8"/>
    <w:rsid w:val="004535C3"/>
    <w:rsid w:val="0045475E"/>
    <w:rsid w:val="0045526C"/>
    <w:rsid w:val="00457DE7"/>
    <w:rsid w:val="004610CC"/>
    <w:rsid w:val="00465377"/>
    <w:rsid w:val="0047093A"/>
    <w:rsid w:val="004760AE"/>
    <w:rsid w:val="004827CE"/>
    <w:rsid w:val="0048378B"/>
    <w:rsid w:val="00484657"/>
    <w:rsid w:val="00493F52"/>
    <w:rsid w:val="0049437A"/>
    <w:rsid w:val="00494535"/>
    <w:rsid w:val="00496CAB"/>
    <w:rsid w:val="004A270C"/>
    <w:rsid w:val="004B1942"/>
    <w:rsid w:val="004B7934"/>
    <w:rsid w:val="004B7FAB"/>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20E50"/>
    <w:rsid w:val="005228B6"/>
    <w:rsid w:val="005244D7"/>
    <w:rsid w:val="005361F6"/>
    <w:rsid w:val="005367E3"/>
    <w:rsid w:val="00540A39"/>
    <w:rsid w:val="0054490A"/>
    <w:rsid w:val="00546900"/>
    <w:rsid w:val="005523B9"/>
    <w:rsid w:val="00552A92"/>
    <w:rsid w:val="0055648C"/>
    <w:rsid w:val="005612A1"/>
    <w:rsid w:val="005632E0"/>
    <w:rsid w:val="00563814"/>
    <w:rsid w:val="00565157"/>
    <w:rsid w:val="0057418F"/>
    <w:rsid w:val="005768BA"/>
    <w:rsid w:val="00577AE0"/>
    <w:rsid w:val="00580D7E"/>
    <w:rsid w:val="00581B1D"/>
    <w:rsid w:val="005822EE"/>
    <w:rsid w:val="005833AB"/>
    <w:rsid w:val="00583EED"/>
    <w:rsid w:val="00585BD7"/>
    <w:rsid w:val="0059147D"/>
    <w:rsid w:val="005929A5"/>
    <w:rsid w:val="0059306F"/>
    <w:rsid w:val="00595CE9"/>
    <w:rsid w:val="005A127C"/>
    <w:rsid w:val="005A517E"/>
    <w:rsid w:val="005A5494"/>
    <w:rsid w:val="005A6660"/>
    <w:rsid w:val="005B11FB"/>
    <w:rsid w:val="005B3156"/>
    <w:rsid w:val="005B3737"/>
    <w:rsid w:val="005B5B97"/>
    <w:rsid w:val="005B69BF"/>
    <w:rsid w:val="005C1326"/>
    <w:rsid w:val="005C23F7"/>
    <w:rsid w:val="005C297C"/>
    <w:rsid w:val="005D1189"/>
    <w:rsid w:val="005D1A19"/>
    <w:rsid w:val="005D2722"/>
    <w:rsid w:val="005D2AD9"/>
    <w:rsid w:val="005D60F5"/>
    <w:rsid w:val="005D73D3"/>
    <w:rsid w:val="005E277B"/>
    <w:rsid w:val="005E5B7E"/>
    <w:rsid w:val="005E63E8"/>
    <w:rsid w:val="005E6912"/>
    <w:rsid w:val="005E7702"/>
    <w:rsid w:val="005F267C"/>
    <w:rsid w:val="005F4A4C"/>
    <w:rsid w:val="0060217D"/>
    <w:rsid w:val="00602748"/>
    <w:rsid w:val="00604903"/>
    <w:rsid w:val="00607F92"/>
    <w:rsid w:val="00610ACE"/>
    <w:rsid w:val="00611454"/>
    <w:rsid w:val="0062032A"/>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689F"/>
    <w:rsid w:val="00682200"/>
    <w:rsid w:val="00682862"/>
    <w:rsid w:val="006855B5"/>
    <w:rsid w:val="00687B04"/>
    <w:rsid w:val="00690909"/>
    <w:rsid w:val="0069325C"/>
    <w:rsid w:val="00693908"/>
    <w:rsid w:val="0069582F"/>
    <w:rsid w:val="00695DCD"/>
    <w:rsid w:val="006A02A4"/>
    <w:rsid w:val="006A1FAF"/>
    <w:rsid w:val="006A564C"/>
    <w:rsid w:val="006B27AB"/>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02FCF"/>
    <w:rsid w:val="00711C1F"/>
    <w:rsid w:val="0071496E"/>
    <w:rsid w:val="00720C10"/>
    <w:rsid w:val="00722D98"/>
    <w:rsid w:val="00722E1A"/>
    <w:rsid w:val="00724428"/>
    <w:rsid w:val="00724AD1"/>
    <w:rsid w:val="00725824"/>
    <w:rsid w:val="00727ED7"/>
    <w:rsid w:val="0074091F"/>
    <w:rsid w:val="0075090C"/>
    <w:rsid w:val="00754C41"/>
    <w:rsid w:val="00756AF0"/>
    <w:rsid w:val="00761567"/>
    <w:rsid w:val="00766647"/>
    <w:rsid w:val="0077131A"/>
    <w:rsid w:val="0077183F"/>
    <w:rsid w:val="0077337C"/>
    <w:rsid w:val="00774ABF"/>
    <w:rsid w:val="00782690"/>
    <w:rsid w:val="0078290F"/>
    <w:rsid w:val="007857EA"/>
    <w:rsid w:val="00785BAF"/>
    <w:rsid w:val="0078626C"/>
    <w:rsid w:val="0078672E"/>
    <w:rsid w:val="00790540"/>
    <w:rsid w:val="00792548"/>
    <w:rsid w:val="0079273E"/>
    <w:rsid w:val="00792B9B"/>
    <w:rsid w:val="007948BD"/>
    <w:rsid w:val="007962A3"/>
    <w:rsid w:val="007A045E"/>
    <w:rsid w:val="007A0FC6"/>
    <w:rsid w:val="007A1099"/>
    <w:rsid w:val="007A19E4"/>
    <w:rsid w:val="007A2157"/>
    <w:rsid w:val="007A530D"/>
    <w:rsid w:val="007B26C3"/>
    <w:rsid w:val="007B564D"/>
    <w:rsid w:val="007B74E7"/>
    <w:rsid w:val="007C1D54"/>
    <w:rsid w:val="007C3F3B"/>
    <w:rsid w:val="007C4346"/>
    <w:rsid w:val="007D0007"/>
    <w:rsid w:val="007D1270"/>
    <w:rsid w:val="007D29EB"/>
    <w:rsid w:val="007D4C11"/>
    <w:rsid w:val="007D58BA"/>
    <w:rsid w:val="007D6A24"/>
    <w:rsid w:val="007D75A9"/>
    <w:rsid w:val="007E09AD"/>
    <w:rsid w:val="007E53D5"/>
    <w:rsid w:val="007E7FB6"/>
    <w:rsid w:val="007F22C2"/>
    <w:rsid w:val="007F30E7"/>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31DB4"/>
    <w:rsid w:val="0083216B"/>
    <w:rsid w:val="008326AF"/>
    <w:rsid w:val="00833D9A"/>
    <w:rsid w:val="0083490F"/>
    <w:rsid w:val="00834C6B"/>
    <w:rsid w:val="00834D82"/>
    <w:rsid w:val="00837B88"/>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44E7"/>
    <w:rsid w:val="008C6324"/>
    <w:rsid w:val="008D0EBF"/>
    <w:rsid w:val="008D1920"/>
    <w:rsid w:val="008D2FDA"/>
    <w:rsid w:val="008D53D7"/>
    <w:rsid w:val="008D6A25"/>
    <w:rsid w:val="008D771F"/>
    <w:rsid w:val="008E3D78"/>
    <w:rsid w:val="008E4347"/>
    <w:rsid w:val="008E559A"/>
    <w:rsid w:val="008F0232"/>
    <w:rsid w:val="008F443E"/>
    <w:rsid w:val="008F49F8"/>
    <w:rsid w:val="008F762F"/>
    <w:rsid w:val="009003EA"/>
    <w:rsid w:val="00904FB6"/>
    <w:rsid w:val="00905EEE"/>
    <w:rsid w:val="00907560"/>
    <w:rsid w:val="00912824"/>
    <w:rsid w:val="009141B0"/>
    <w:rsid w:val="0091561B"/>
    <w:rsid w:val="00916CBC"/>
    <w:rsid w:val="00921948"/>
    <w:rsid w:val="00926552"/>
    <w:rsid w:val="0093293D"/>
    <w:rsid w:val="00934BD1"/>
    <w:rsid w:val="00936238"/>
    <w:rsid w:val="00936DD7"/>
    <w:rsid w:val="00942AF7"/>
    <w:rsid w:val="00945C86"/>
    <w:rsid w:val="0094613C"/>
    <w:rsid w:val="009469DF"/>
    <w:rsid w:val="009470A6"/>
    <w:rsid w:val="009474E1"/>
    <w:rsid w:val="00951225"/>
    <w:rsid w:val="0095449F"/>
    <w:rsid w:val="00956490"/>
    <w:rsid w:val="0095671B"/>
    <w:rsid w:val="00956D8A"/>
    <w:rsid w:val="0096393D"/>
    <w:rsid w:val="00963E36"/>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77DE"/>
    <w:rsid w:val="009D5F0E"/>
    <w:rsid w:val="009E3D67"/>
    <w:rsid w:val="009E4403"/>
    <w:rsid w:val="009F1337"/>
    <w:rsid w:val="00A03648"/>
    <w:rsid w:val="00A04430"/>
    <w:rsid w:val="00A07E0D"/>
    <w:rsid w:val="00A106C8"/>
    <w:rsid w:val="00A1618B"/>
    <w:rsid w:val="00A243A5"/>
    <w:rsid w:val="00A274CA"/>
    <w:rsid w:val="00A37BEE"/>
    <w:rsid w:val="00A454CD"/>
    <w:rsid w:val="00A5197B"/>
    <w:rsid w:val="00A51A95"/>
    <w:rsid w:val="00A51BC3"/>
    <w:rsid w:val="00A5339B"/>
    <w:rsid w:val="00A5388D"/>
    <w:rsid w:val="00A55BB3"/>
    <w:rsid w:val="00A57132"/>
    <w:rsid w:val="00A6519D"/>
    <w:rsid w:val="00A6590E"/>
    <w:rsid w:val="00A666BE"/>
    <w:rsid w:val="00A70275"/>
    <w:rsid w:val="00A71787"/>
    <w:rsid w:val="00A7496D"/>
    <w:rsid w:val="00A756B7"/>
    <w:rsid w:val="00A906D9"/>
    <w:rsid w:val="00A94F21"/>
    <w:rsid w:val="00A96AB3"/>
    <w:rsid w:val="00A97346"/>
    <w:rsid w:val="00A97C2F"/>
    <w:rsid w:val="00AA1A87"/>
    <w:rsid w:val="00AA3E92"/>
    <w:rsid w:val="00AA551E"/>
    <w:rsid w:val="00AA6743"/>
    <w:rsid w:val="00AA7A22"/>
    <w:rsid w:val="00AB1708"/>
    <w:rsid w:val="00AB280C"/>
    <w:rsid w:val="00AB3E6B"/>
    <w:rsid w:val="00AC1669"/>
    <w:rsid w:val="00AC1DE7"/>
    <w:rsid w:val="00AC5BF8"/>
    <w:rsid w:val="00AD1704"/>
    <w:rsid w:val="00AD2743"/>
    <w:rsid w:val="00AD6850"/>
    <w:rsid w:val="00AE0AB7"/>
    <w:rsid w:val="00AE19E8"/>
    <w:rsid w:val="00AE31D0"/>
    <w:rsid w:val="00AE3D72"/>
    <w:rsid w:val="00AE4EC9"/>
    <w:rsid w:val="00AE51D8"/>
    <w:rsid w:val="00AE538D"/>
    <w:rsid w:val="00AF0983"/>
    <w:rsid w:val="00AF3F96"/>
    <w:rsid w:val="00B01D4D"/>
    <w:rsid w:val="00B03878"/>
    <w:rsid w:val="00B07F7A"/>
    <w:rsid w:val="00B10D4F"/>
    <w:rsid w:val="00B11044"/>
    <w:rsid w:val="00B1231E"/>
    <w:rsid w:val="00B15342"/>
    <w:rsid w:val="00B15E23"/>
    <w:rsid w:val="00B16671"/>
    <w:rsid w:val="00B20578"/>
    <w:rsid w:val="00B207EB"/>
    <w:rsid w:val="00B20F92"/>
    <w:rsid w:val="00B2455C"/>
    <w:rsid w:val="00B24E3D"/>
    <w:rsid w:val="00B2658C"/>
    <w:rsid w:val="00B30634"/>
    <w:rsid w:val="00B3249D"/>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80D73"/>
    <w:rsid w:val="00B81002"/>
    <w:rsid w:val="00B818AD"/>
    <w:rsid w:val="00B83B65"/>
    <w:rsid w:val="00B93D50"/>
    <w:rsid w:val="00B9522F"/>
    <w:rsid w:val="00B962ED"/>
    <w:rsid w:val="00B9737D"/>
    <w:rsid w:val="00BA0B54"/>
    <w:rsid w:val="00BA1346"/>
    <w:rsid w:val="00BA37F4"/>
    <w:rsid w:val="00BA4F08"/>
    <w:rsid w:val="00BA7082"/>
    <w:rsid w:val="00BA782B"/>
    <w:rsid w:val="00BB3D48"/>
    <w:rsid w:val="00BB57B8"/>
    <w:rsid w:val="00BB7184"/>
    <w:rsid w:val="00BC2E36"/>
    <w:rsid w:val="00BC3F0B"/>
    <w:rsid w:val="00BC52A5"/>
    <w:rsid w:val="00BC555C"/>
    <w:rsid w:val="00BD1100"/>
    <w:rsid w:val="00BD3E21"/>
    <w:rsid w:val="00BD48A9"/>
    <w:rsid w:val="00BD7F1C"/>
    <w:rsid w:val="00BE00DC"/>
    <w:rsid w:val="00BE041E"/>
    <w:rsid w:val="00BE083C"/>
    <w:rsid w:val="00BE124C"/>
    <w:rsid w:val="00BE5D62"/>
    <w:rsid w:val="00BE7E64"/>
    <w:rsid w:val="00BF0CD5"/>
    <w:rsid w:val="00BF417B"/>
    <w:rsid w:val="00BF6CA8"/>
    <w:rsid w:val="00BF788F"/>
    <w:rsid w:val="00C0028D"/>
    <w:rsid w:val="00C00A03"/>
    <w:rsid w:val="00C01B69"/>
    <w:rsid w:val="00C0378E"/>
    <w:rsid w:val="00C14E86"/>
    <w:rsid w:val="00C150B8"/>
    <w:rsid w:val="00C153C2"/>
    <w:rsid w:val="00C16CDC"/>
    <w:rsid w:val="00C17FC4"/>
    <w:rsid w:val="00C26088"/>
    <w:rsid w:val="00C262E3"/>
    <w:rsid w:val="00C31F75"/>
    <w:rsid w:val="00C32108"/>
    <w:rsid w:val="00C34586"/>
    <w:rsid w:val="00C37CAC"/>
    <w:rsid w:val="00C42A23"/>
    <w:rsid w:val="00C43232"/>
    <w:rsid w:val="00C44FAF"/>
    <w:rsid w:val="00C46916"/>
    <w:rsid w:val="00C54650"/>
    <w:rsid w:val="00C57765"/>
    <w:rsid w:val="00C578D9"/>
    <w:rsid w:val="00C630DD"/>
    <w:rsid w:val="00C64453"/>
    <w:rsid w:val="00C6540C"/>
    <w:rsid w:val="00C705FC"/>
    <w:rsid w:val="00C738A8"/>
    <w:rsid w:val="00C76DC3"/>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715C"/>
    <w:rsid w:val="00CF0710"/>
    <w:rsid w:val="00CF5D0D"/>
    <w:rsid w:val="00CF60A6"/>
    <w:rsid w:val="00D0155F"/>
    <w:rsid w:val="00D04259"/>
    <w:rsid w:val="00D04766"/>
    <w:rsid w:val="00D05024"/>
    <w:rsid w:val="00D06CFA"/>
    <w:rsid w:val="00D104B9"/>
    <w:rsid w:val="00D15672"/>
    <w:rsid w:val="00D15B11"/>
    <w:rsid w:val="00D16790"/>
    <w:rsid w:val="00D2119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298F"/>
    <w:rsid w:val="00D831EB"/>
    <w:rsid w:val="00D837A9"/>
    <w:rsid w:val="00D8469E"/>
    <w:rsid w:val="00D90A8B"/>
    <w:rsid w:val="00D92C29"/>
    <w:rsid w:val="00D93860"/>
    <w:rsid w:val="00D93A93"/>
    <w:rsid w:val="00D96428"/>
    <w:rsid w:val="00DA4895"/>
    <w:rsid w:val="00DA4F52"/>
    <w:rsid w:val="00DA5D55"/>
    <w:rsid w:val="00DA6A3D"/>
    <w:rsid w:val="00DA6D98"/>
    <w:rsid w:val="00DA7FE3"/>
    <w:rsid w:val="00DB0A2E"/>
    <w:rsid w:val="00DB3912"/>
    <w:rsid w:val="00DC158B"/>
    <w:rsid w:val="00DC2E71"/>
    <w:rsid w:val="00DC3AAE"/>
    <w:rsid w:val="00DC6710"/>
    <w:rsid w:val="00DC7E7A"/>
    <w:rsid w:val="00DD0BAB"/>
    <w:rsid w:val="00DD35BC"/>
    <w:rsid w:val="00DD3FBC"/>
    <w:rsid w:val="00DD523B"/>
    <w:rsid w:val="00DD61DF"/>
    <w:rsid w:val="00DD65D9"/>
    <w:rsid w:val="00DD702A"/>
    <w:rsid w:val="00DE1E48"/>
    <w:rsid w:val="00DE1F98"/>
    <w:rsid w:val="00DE3A3A"/>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2F3"/>
    <w:rsid w:val="00E4650F"/>
    <w:rsid w:val="00E505CD"/>
    <w:rsid w:val="00E5262B"/>
    <w:rsid w:val="00E6172A"/>
    <w:rsid w:val="00E67332"/>
    <w:rsid w:val="00E7606A"/>
    <w:rsid w:val="00E77EF6"/>
    <w:rsid w:val="00E80DB6"/>
    <w:rsid w:val="00E847FD"/>
    <w:rsid w:val="00E850C2"/>
    <w:rsid w:val="00E9200B"/>
    <w:rsid w:val="00E9432C"/>
    <w:rsid w:val="00E94939"/>
    <w:rsid w:val="00EA0668"/>
    <w:rsid w:val="00EA2DCD"/>
    <w:rsid w:val="00EA444D"/>
    <w:rsid w:val="00EA7B68"/>
    <w:rsid w:val="00EB0E32"/>
    <w:rsid w:val="00EB3767"/>
    <w:rsid w:val="00EB4932"/>
    <w:rsid w:val="00EB5F50"/>
    <w:rsid w:val="00EB65D2"/>
    <w:rsid w:val="00EB72A2"/>
    <w:rsid w:val="00EC1DE9"/>
    <w:rsid w:val="00EC304C"/>
    <w:rsid w:val="00ED0565"/>
    <w:rsid w:val="00ED54E1"/>
    <w:rsid w:val="00ED65D1"/>
    <w:rsid w:val="00EE0A45"/>
    <w:rsid w:val="00EE1B59"/>
    <w:rsid w:val="00EE206D"/>
    <w:rsid w:val="00EE31CD"/>
    <w:rsid w:val="00EE40C8"/>
    <w:rsid w:val="00EF28D9"/>
    <w:rsid w:val="00EF429C"/>
    <w:rsid w:val="00EF76E3"/>
    <w:rsid w:val="00EF77DA"/>
    <w:rsid w:val="00F118E0"/>
    <w:rsid w:val="00F15965"/>
    <w:rsid w:val="00F221E0"/>
    <w:rsid w:val="00F22452"/>
    <w:rsid w:val="00F2292D"/>
    <w:rsid w:val="00F2318E"/>
    <w:rsid w:val="00F26125"/>
    <w:rsid w:val="00F26B84"/>
    <w:rsid w:val="00F33EAE"/>
    <w:rsid w:val="00F35488"/>
    <w:rsid w:val="00F35E14"/>
    <w:rsid w:val="00F37048"/>
    <w:rsid w:val="00F42A7D"/>
    <w:rsid w:val="00F44B9F"/>
    <w:rsid w:val="00F5099E"/>
    <w:rsid w:val="00F51080"/>
    <w:rsid w:val="00F52D38"/>
    <w:rsid w:val="00F52DFA"/>
    <w:rsid w:val="00F53D7E"/>
    <w:rsid w:val="00F566D8"/>
    <w:rsid w:val="00F62E3E"/>
    <w:rsid w:val="00F64D9C"/>
    <w:rsid w:val="00F66BD4"/>
    <w:rsid w:val="00F70A88"/>
    <w:rsid w:val="00F711F2"/>
    <w:rsid w:val="00F72179"/>
    <w:rsid w:val="00F926D3"/>
    <w:rsid w:val="00F95749"/>
    <w:rsid w:val="00F95FD2"/>
    <w:rsid w:val="00F96493"/>
    <w:rsid w:val="00FA01DE"/>
    <w:rsid w:val="00FA025E"/>
    <w:rsid w:val="00FA1FCE"/>
    <w:rsid w:val="00FA211C"/>
    <w:rsid w:val="00FA2490"/>
    <w:rsid w:val="00FA5461"/>
    <w:rsid w:val="00FA56C5"/>
    <w:rsid w:val="00FB2BC2"/>
    <w:rsid w:val="00FB3C92"/>
    <w:rsid w:val="00FB59BB"/>
    <w:rsid w:val="00FB7910"/>
    <w:rsid w:val="00FB7954"/>
    <w:rsid w:val="00FC0B34"/>
    <w:rsid w:val="00FC318E"/>
    <w:rsid w:val="00FC5FB5"/>
    <w:rsid w:val="00FC62EB"/>
    <w:rsid w:val="00FD05B7"/>
    <w:rsid w:val="00FE2AC1"/>
    <w:rsid w:val="00FE378B"/>
    <w:rsid w:val="00FE5A00"/>
    <w:rsid w:val="00FE61F2"/>
    <w:rsid w:val="00FE7EAA"/>
    <w:rsid w:val="00FF13F9"/>
    <w:rsid w:val="00FF2E27"/>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6A0713E2-D65C-498C-8C1E-159893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Macro-Enabled_Document.docm"/><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Macro-Enabled_Document2.docm"/><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Macro-Enabled_Document4.doc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Word_Macro-Enabled_Document1.doc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Macro-Enabled_Document3.docm"/></Relationships>
</file>

<file path=word/_rels/footnotes.xml.rels><?xml version="1.0" encoding="UTF-8" standalone="yes"?>
<Relationships xmlns="http://schemas.openxmlformats.org/package/2006/relationships"><Relationship Id="rId2" Type="http://schemas.openxmlformats.org/officeDocument/2006/relationships/hyperlink" Target="https://pdfs.semanticscholar.org/d461/95270980a87c74f5ac45e4f1bffc5282af4d.pdf?_ga=2.244334789.1101175616.1578402412-372167066.1578402412" TargetMode="External"/><Relationship Id="rId1" Type="http://schemas.openxmlformats.org/officeDocument/2006/relationships/hyperlink" Target="https://pdfs.semanticscholar.org/d461/95270980a87c74f5ac45e4f1bffc5282af4d.pdf?_ga=2.244334789.1101175616.1578402412-372167066.157840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39</Pages>
  <Words>9791</Words>
  <Characters>55815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12</cp:revision>
  <cp:lastPrinted>2020-08-28T06:44:00Z</cp:lastPrinted>
  <dcterms:created xsi:type="dcterms:W3CDTF">2020-10-03T03:15:00Z</dcterms:created>
  <dcterms:modified xsi:type="dcterms:W3CDTF">2020-10-05T23:12:00Z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id="AJnIXoyq"/&gt;&lt;style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value="1"/&gt;&lt;/prefs&gt;&lt;/data&gt;</vt:lpwstr>
  </property>
</Properties>
</file>