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973C" w14:textId="4A37B51B" w:rsidR="00A06D95" w:rsidRPr="00A06D95" w:rsidRDefault="00A06D95" w:rsidP="00A06D95">
      <w:pPr>
        <w:rPr>
          <w:b/>
          <w:bCs/>
          <w:sz w:val="32"/>
          <w:szCs w:val="28"/>
        </w:rPr>
      </w:pPr>
      <w:r w:rsidRPr="00A06D95">
        <w:rPr>
          <w:b/>
          <w:bCs/>
          <w:sz w:val="32"/>
          <w:szCs w:val="28"/>
        </w:rPr>
        <w:t>Socioeconomic Stratification and Distributional Assessment of</w:t>
      </w:r>
      <w:r>
        <w:rPr>
          <w:b/>
          <w:bCs/>
          <w:sz w:val="32"/>
          <w:szCs w:val="28"/>
        </w:rPr>
        <w:br/>
      </w:r>
      <w:r w:rsidRPr="00A06D95">
        <w:rPr>
          <w:b/>
          <w:bCs/>
          <w:sz w:val="32"/>
          <w:szCs w:val="28"/>
        </w:rPr>
        <w:t>Cardiovascular Risk Data</w:t>
      </w:r>
    </w:p>
    <w:p w14:paraId="225C9CAF" w14:textId="406F090A" w:rsidR="00A06D95" w:rsidRPr="00A06D95" w:rsidRDefault="00A06D95" w:rsidP="00A06D95">
      <w:r w:rsidRPr="00A06D95">
        <w:rPr>
          <w:b/>
          <w:bCs/>
        </w:rPr>
        <w:br/>
      </w:r>
      <w:r w:rsidRPr="00A06D95">
        <w:t>Total marks: 20</w:t>
      </w:r>
    </w:p>
    <w:p w14:paraId="55F3AEC7" w14:textId="645232AD" w:rsidR="00A06D95" w:rsidRPr="00A06D95" w:rsidRDefault="00A06D95" w:rsidP="00A06D95"/>
    <w:p w14:paraId="0084F3E5" w14:textId="77777777" w:rsidR="00A06D95" w:rsidRPr="00A06D95" w:rsidRDefault="00A06D95" w:rsidP="00A06D95">
      <w:pPr>
        <w:rPr>
          <w:u w:val="single"/>
        </w:rPr>
      </w:pPr>
      <w:r w:rsidRPr="00A06D95">
        <w:rPr>
          <w:u w:val="single"/>
        </w:rPr>
        <w:t>Background and Motivation</w:t>
      </w:r>
    </w:p>
    <w:p w14:paraId="078D4560" w14:textId="36CD1108" w:rsidR="00A06D95" w:rsidRPr="00A06D95" w:rsidRDefault="00A06D95" w:rsidP="00A06D95">
      <w:r w:rsidRPr="00A06D95">
        <w:t xml:space="preserve">Socioeconomic </w:t>
      </w:r>
      <w:r w:rsidRPr="00A06D95">
        <w:t>status</w:t>
      </w:r>
      <w:r w:rsidRPr="00A06D95">
        <w:t xml:space="preserve"> is a fundamental determinant of health outcomes and healthcare access. In cardiovascular disease (CVD) prevention, socioeconomic gradients influence behavioural risk factors (such as smoking), the prevalence of chronic conditions (such as diabetes and chronic kidney disease), and downstream clinical outcomes. Failure to account for these gradients can lead to poorly calibrated risk models and inequitable clinical decision-making.</w:t>
      </w:r>
      <w:r>
        <w:br/>
      </w:r>
    </w:p>
    <w:p w14:paraId="51AB3BA8" w14:textId="77777777" w:rsidR="00A06D95" w:rsidRPr="00A06D95" w:rsidRDefault="00A06D95" w:rsidP="00A06D95">
      <w:r w:rsidRPr="00A06D95">
        <w:t>In applied health data science and medical informatics, analysts are routinely required to:</w:t>
      </w:r>
    </w:p>
    <w:p w14:paraId="311C81D3" w14:textId="77777777" w:rsidR="00A06D95" w:rsidRPr="00A06D95" w:rsidRDefault="00A06D95" w:rsidP="00A06D95">
      <w:pPr>
        <w:numPr>
          <w:ilvl w:val="0"/>
          <w:numId w:val="1"/>
        </w:numPr>
      </w:pPr>
      <w:r w:rsidRPr="00A06D95">
        <w:t>stratify cohorts by socioeconomic indicators,</w:t>
      </w:r>
    </w:p>
    <w:p w14:paraId="2DAD3918" w14:textId="77777777" w:rsidR="00A06D95" w:rsidRPr="00A06D95" w:rsidRDefault="00A06D95" w:rsidP="00A06D95">
      <w:pPr>
        <w:numPr>
          <w:ilvl w:val="0"/>
          <w:numId w:val="1"/>
        </w:numPr>
      </w:pPr>
      <w:r w:rsidRPr="00A06D95">
        <w:t>assess whether observed distributions are plausible and internally consistent, and</w:t>
      </w:r>
    </w:p>
    <w:p w14:paraId="2A7F87CF" w14:textId="77777777" w:rsidR="00A06D95" w:rsidRDefault="00A06D95" w:rsidP="00A06D95">
      <w:pPr>
        <w:numPr>
          <w:ilvl w:val="0"/>
          <w:numId w:val="1"/>
        </w:numPr>
      </w:pPr>
      <w:r w:rsidRPr="00A06D95">
        <w:t>determine whether subgroup structure supports fair and interpretable modelling.</w:t>
      </w:r>
    </w:p>
    <w:p w14:paraId="36B9E349" w14:textId="77777777" w:rsidR="00A06D95" w:rsidRDefault="00A06D95" w:rsidP="00A06D95"/>
    <w:p w14:paraId="27CDEE3E" w14:textId="7989CE3D" w:rsidR="00A06D95" w:rsidRPr="00A06D95" w:rsidRDefault="00A06D95" w:rsidP="00A06D95">
      <w:r w:rsidRPr="00A06D95">
        <w:t>This task mirrors a real-world analytic responsibility: validating that a dataset behaves as expected before it is used for risk modelling, policy evaluation, or clinical decision support.</w:t>
      </w:r>
    </w:p>
    <w:p w14:paraId="0B5F4271" w14:textId="77777777" w:rsidR="00A06D95" w:rsidRDefault="00A06D95" w:rsidP="00A06D95"/>
    <w:p w14:paraId="22399A37" w14:textId="14513B5E" w:rsidR="00A06D95" w:rsidRPr="00A06D95" w:rsidRDefault="00A06D95" w:rsidP="00A06D95">
      <w:r w:rsidRPr="00A06D95">
        <w:t>In this assignment, you will perform a structured, distributional assessment of a cardiovascular cohort stratified by the Index of Relative Socioeconomic Disadvantage (IRSD). You are expected to demonstrate not only technical competence, but also epidemiological judgement in interpreting stratified distributions.</w:t>
      </w:r>
    </w:p>
    <w:p w14:paraId="16DDF3B8" w14:textId="4F336149" w:rsidR="00A06D95" w:rsidRDefault="00A06D95" w:rsidP="00A06D95"/>
    <w:p w14:paraId="77D8BCB4" w14:textId="77777777" w:rsidR="00A06D95" w:rsidRPr="00A06D95" w:rsidRDefault="00A06D95" w:rsidP="00A06D95">
      <w:pPr>
        <w:rPr>
          <w:u w:val="single"/>
        </w:rPr>
      </w:pPr>
      <w:r w:rsidRPr="00A06D95">
        <w:rPr>
          <w:u w:val="single"/>
        </w:rPr>
        <w:t>Learning Outcomes Assessed</w:t>
      </w:r>
    </w:p>
    <w:p w14:paraId="50CC4AC3" w14:textId="77777777" w:rsidR="00A06D95" w:rsidRPr="00A06D95" w:rsidRDefault="00A06D95" w:rsidP="00A06D95">
      <w:r w:rsidRPr="00A06D95">
        <w:t>By completing this assignment, you will demonstrate the ability to:</w:t>
      </w:r>
    </w:p>
    <w:p w14:paraId="485D00F8" w14:textId="77777777" w:rsidR="00A06D95" w:rsidRPr="00A06D95" w:rsidRDefault="00A06D95" w:rsidP="00A06D95">
      <w:pPr>
        <w:numPr>
          <w:ilvl w:val="0"/>
          <w:numId w:val="8"/>
        </w:numPr>
      </w:pPr>
      <w:r w:rsidRPr="00A06D95">
        <w:t>Apply socioeconomic stratification in health datasets,</w:t>
      </w:r>
    </w:p>
    <w:p w14:paraId="32FAF3AD" w14:textId="77777777" w:rsidR="00A06D95" w:rsidRPr="00A06D95" w:rsidRDefault="00A06D95" w:rsidP="00A06D95">
      <w:pPr>
        <w:numPr>
          <w:ilvl w:val="0"/>
          <w:numId w:val="8"/>
        </w:numPr>
      </w:pPr>
      <w:r w:rsidRPr="00A06D95">
        <w:t>Perform distributional validation prior to modelling,</w:t>
      </w:r>
    </w:p>
    <w:p w14:paraId="6062F58F" w14:textId="77777777" w:rsidR="00A06D95" w:rsidRPr="00A06D95" w:rsidRDefault="00A06D95" w:rsidP="00A06D95">
      <w:pPr>
        <w:numPr>
          <w:ilvl w:val="0"/>
          <w:numId w:val="8"/>
        </w:numPr>
      </w:pPr>
      <w:r w:rsidRPr="00A06D95">
        <w:t>Produce publication-quality visual summaries,</w:t>
      </w:r>
    </w:p>
    <w:p w14:paraId="7B2D1DDF" w14:textId="0D89D774" w:rsidR="00A06D95" w:rsidRPr="00A06D95" w:rsidRDefault="00A06D95" w:rsidP="00A06D95">
      <w:pPr>
        <w:widowControl/>
        <w:numPr>
          <w:ilvl w:val="0"/>
          <w:numId w:val="8"/>
        </w:numPr>
        <w:rPr>
          <w:b/>
          <w:bCs/>
        </w:rPr>
      </w:pPr>
      <w:r w:rsidRPr="00A06D95">
        <w:t>Interpret subgroup structure in the context of fairness and calibration.</w:t>
      </w:r>
      <w:r w:rsidRPr="00A06D95">
        <w:rPr>
          <w:b/>
          <w:bCs/>
        </w:rPr>
        <w:br w:type="page"/>
      </w:r>
    </w:p>
    <w:p w14:paraId="5BDB951C" w14:textId="01281EAA" w:rsidR="00A06D95" w:rsidRPr="00A06D95" w:rsidRDefault="00A06D95" w:rsidP="00A06D95">
      <w:pPr>
        <w:rPr>
          <w:u w:val="single"/>
        </w:rPr>
      </w:pPr>
      <w:r w:rsidRPr="00A06D95">
        <w:rPr>
          <w:u w:val="single"/>
        </w:rPr>
        <w:lastRenderedPageBreak/>
        <w:t>Dataset</w:t>
      </w:r>
    </w:p>
    <w:p w14:paraId="11F44704" w14:textId="77777777" w:rsidR="00A06D95" w:rsidRPr="00A06D95" w:rsidRDefault="00A06D95" w:rsidP="00A06D95">
      <w:r w:rsidRPr="00A06D95">
        <w:t>You are provided with Data Asset 1, a clean, analysis-ready cohort containing one row per simulated individual with the following variable groups:</w:t>
      </w:r>
    </w:p>
    <w:p w14:paraId="635510E2" w14:textId="08C822B7" w:rsidR="00A06D95" w:rsidRPr="00A06D95" w:rsidRDefault="00A06D95" w:rsidP="00A06D95">
      <w:pPr>
        <w:numPr>
          <w:ilvl w:val="0"/>
          <w:numId w:val="2"/>
        </w:numPr>
      </w:pPr>
      <w:r w:rsidRPr="00A06D95">
        <w:t xml:space="preserve">Demographic: </w:t>
      </w:r>
      <w:r>
        <w:rPr>
          <w:rFonts w:hint="eastAsia"/>
        </w:rPr>
        <w:t xml:space="preserve"> </w:t>
      </w:r>
      <w:r>
        <w:tab/>
      </w:r>
      <w:r>
        <w:tab/>
      </w:r>
      <w:r w:rsidRPr="00A06D95">
        <w:t>age</w:t>
      </w:r>
    </w:p>
    <w:p w14:paraId="5175A34A" w14:textId="72FD0DC4" w:rsidR="00A06D95" w:rsidRPr="00A06D95" w:rsidRDefault="00A06D95" w:rsidP="00A06D95">
      <w:pPr>
        <w:numPr>
          <w:ilvl w:val="0"/>
          <w:numId w:val="2"/>
        </w:numPr>
      </w:pPr>
      <w:r w:rsidRPr="00A06D95">
        <w:t xml:space="preserve">Socioeconomic: </w:t>
      </w:r>
      <w:r>
        <w:tab/>
      </w:r>
      <w:r>
        <w:tab/>
      </w:r>
      <w:r w:rsidRPr="00A06D95">
        <w:t xml:space="preserve">IRSD quintile </w:t>
      </w:r>
      <w:r>
        <w:br/>
      </w:r>
      <w:r>
        <w:rPr>
          <w:rFonts w:hint="eastAsia"/>
        </w:rPr>
        <w:t xml:space="preserve"> </w:t>
      </w:r>
      <w:r>
        <w:tab/>
      </w:r>
      <w:r>
        <w:tab/>
      </w:r>
      <w:r>
        <w:tab/>
      </w:r>
      <w:r>
        <w:tab/>
      </w:r>
      <w:r>
        <w:tab/>
      </w:r>
      <w:r w:rsidRPr="00A06D95">
        <w:t>(1 = most disadvantaged, 5 = least disadvantaged)</w:t>
      </w:r>
    </w:p>
    <w:p w14:paraId="29062B05" w14:textId="71060FCA" w:rsidR="00A06D95" w:rsidRPr="00A06D95" w:rsidRDefault="00A06D95" w:rsidP="00A06D95">
      <w:pPr>
        <w:numPr>
          <w:ilvl w:val="0"/>
          <w:numId w:val="2"/>
        </w:numPr>
      </w:pPr>
      <w:r w:rsidRPr="00A06D95">
        <w:t xml:space="preserve">Behavioural: </w:t>
      </w:r>
      <w:r>
        <w:tab/>
      </w:r>
      <w:r>
        <w:tab/>
      </w:r>
      <w:r w:rsidRPr="00A06D95">
        <w:t>smoking status</w:t>
      </w:r>
    </w:p>
    <w:p w14:paraId="6CAD3030" w14:textId="370A67AF" w:rsidR="00A06D95" w:rsidRPr="00A06D95" w:rsidRDefault="00A06D95" w:rsidP="00A06D95">
      <w:pPr>
        <w:numPr>
          <w:ilvl w:val="0"/>
          <w:numId w:val="2"/>
        </w:numPr>
      </w:pPr>
      <w:r w:rsidRPr="00A06D95">
        <w:t xml:space="preserve">Clinical conditions: </w:t>
      </w:r>
      <w:r>
        <w:tab/>
      </w:r>
      <w:r w:rsidRPr="00A06D95">
        <w:t xml:space="preserve">diabetes, </w:t>
      </w:r>
      <w:r>
        <w:br/>
      </w:r>
      <w:r>
        <w:rPr>
          <w:rFonts w:hint="eastAsia"/>
        </w:rPr>
        <w:t xml:space="preserve"> </w:t>
      </w:r>
      <w:r>
        <w:tab/>
      </w:r>
      <w:r>
        <w:tab/>
      </w:r>
      <w:r>
        <w:tab/>
      </w:r>
      <w:r>
        <w:tab/>
      </w:r>
      <w:r>
        <w:tab/>
      </w:r>
      <w:r w:rsidRPr="00A06D95">
        <w:t xml:space="preserve">chronic kidney disease (CKD), </w:t>
      </w:r>
      <w:r>
        <w:br/>
      </w:r>
      <w:r>
        <w:rPr>
          <w:rFonts w:hint="eastAsia"/>
        </w:rPr>
        <w:t xml:space="preserve"> </w:t>
      </w:r>
      <w:r>
        <w:tab/>
      </w:r>
      <w:r>
        <w:tab/>
      </w:r>
      <w:r>
        <w:tab/>
      </w:r>
      <w:r>
        <w:tab/>
      </w:r>
      <w:r>
        <w:tab/>
      </w:r>
      <w:r w:rsidRPr="00A06D95">
        <w:t>atrial fibrillation (AF)</w:t>
      </w:r>
    </w:p>
    <w:p w14:paraId="4B1E8551" w14:textId="50AFF305" w:rsidR="00A06D95" w:rsidRPr="00A06D95" w:rsidRDefault="00A06D95" w:rsidP="00A06D95">
      <w:pPr>
        <w:numPr>
          <w:ilvl w:val="0"/>
          <w:numId w:val="2"/>
        </w:numPr>
      </w:pPr>
      <w:r>
        <w:rPr>
          <w:rFonts w:hint="eastAsia"/>
        </w:rPr>
        <w:t>Measurements</w:t>
      </w:r>
      <w:r w:rsidRPr="00A06D95">
        <w:t xml:space="preserve">: </w:t>
      </w:r>
      <w:r>
        <w:rPr>
          <w:rFonts w:hint="eastAsia"/>
        </w:rPr>
        <w:t xml:space="preserve"> </w:t>
      </w:r>
      <w:r>
        <w:tab/>
      </w:r>
      <w:r>
        <w:tab/>
      </w:r>
      <w:r w:rsidRPr="00A06D95">
        <w:t xml:space="preserve">body mass index (BMI), </w:t>
      </w:r>
      <w:r>
        <w:br/>
      </w:r>
      <w:r>
        <w:rPr>
          <w:rFonts w:hint="eastAsia"/>
        </w:rPr>
        <w:t xml:space="preserve"> </w:t>
      </w:r>
      <w:r>
        <w:tab/>
      </w:r>
      <w:r>
        <w:tab/>
      </w:r>
      <w:r>
        <w:tab/>
      </w:r>
      <w:r>
        <w:tab/>
      </w:r>
      <w:r>
        <w:tab/>
      </w:r>
      <w:r w:rsidRPr="00A06D95">
        <w:t xml:space="preserve">systolic blood pressure (SBP), </w:t>
      </w:r>
      <w:r>
        <w:br/>
      </w:r>
      <w:r>
        <w:rPr>
          <w:rFonts w:hint="eastAsia"/>
        </w:rPr>
        <w:t xml:space="preserve"> </w:t>
      </w:r>
      <w:r>
        <w:tab/>
      </w:r>
      <w:r>
        <w:tab/>
      </w:r>
      <w:r>
        <w:tab/>
      </w:r>
      <w:r>
        <w:tab/>
      </w:r>
      <w:r>
        <w:tab/>
      </w:r>
      <w:r w:rsidRPr="00A06D95">
        <w:t xml:space="preserve">estimated glomerular filtration rate (eGFR), </w:t>
      </w:r>
      <w:r>
        <w:br/>
      </w:r>
      <w:r>
        <w:rPr>
          <w:rFonts w:hint="eastAsia"/>
        </w:rPr>
        <w:t xml:space="preserve"> </w:t>
      </w:r>
      <w:r>
        <w:tab/>
      </w:r>
      <w:r>
        <w:tab/>
      </w:r>
      <w:r>
        <w:tab/>
      </w:r>
      <w:r>
        <w:tab/>
      </w:r>
      <w:r>
        <w:tab/>
      </w:r>
      <w:r w:rsidRPr="00A06D95">
        <w:t>HbA1c</w:t>
      </w:r>
    </w:p>
    <w:p w14:paraId="6CED5335" w14:textId="5D3C2925" w:rsidR="00A06D95" w:rsidRPr="00A06D95" w:rsidRDefault="00A06D95" w:rsidP="00A06D95">
      <w:pPr>
        <w:numPr>
          <w:ilvl w:val="0"/>
          <w:numId w:val="2"/>
        </w:numPr>
      </w:pPr>
      <w:r w:rsidRPr="00A06D95">
        <w:t xml:space="preserve">Outcomes: </w:t>
      </w:r>
      <w:r>
        <w:rPr>
          <w:rFonts w:hint="eastAsia"/>
        </w:rPr>
        <w:t xml:space="preserve"> </w:t>
      </w:r>
      <w:r>
        <w:tab/>
      </w:r>
      <w:r>
        <w:tab/>
      </w:r>
      <w:r>
        <w:tab/>
      </w:r>
      <w:r w:rsidRPr="00A06D95">
        <w:t xml:space="preserve">5-year cardiovascular disease (CVD) event, </w:t>
      </w:r>
      <w:r>
        <w:br/>
      </w:r>
      <w:r>
        <w:rPr>
          <w:rFonts w:hint="eastAsia"/>
        </w:rPr>
        <w:t xml:space="preserve"> </w:t>
      </w:r>
      <w:r>
        <w:tab/>
      </w:r>
      <w:r>
        <w:tab/>
      </w:r>
      <w:r>
        <w:tab/>
      </w:r>
      <w:r>
        <w:tab/>
      </w:r>
      <w:r>
        <w:tab/>
      </w:r>
      <w:r w:rsidRPr="00A06D95">
        <w:t>follow-up time</w:t>
      </w:r>
    </w:p>
    <w:p w14:paraId="679E0FD6" w14:textId="0CDFE41C" w:rsidR="00A06D95" w:rsidRPr="00A06D95" w:rsidRDefault="00A06D95" w:rsidP="00A06D95"/>
    <w:p w14:paraId="284ECAA6" w14:textId="77777777" w:rsidR="00A06D95" w:rsidRDefault="00A06D95">
      <w:pPr>
        <w:widowControl/>
        <w:rPr>
          <w:u w:val="single"/>
        </w:rPr>
      </w:pPr>
      <w:r>
        <w:rPr>
          <w:u w:val="single"/>
        </w:rPr>
        <w:br w:type="page"/>
      </w:r>
    </w:p>
    <w:p w14:paraId="35D2810D" w14:textId="3FD6A398" w:rsidR="00A06D95" w:rsidRPr="00A06D95" w:rsidRDefault="00A06D95" w:rsidP="00A06D95">
      <w:pPr>
        <w:rPr>
          <w:u w:val="single"/>
        </w:rPr>
      </w:pPr>
      <w:r w:rsidRPr="00A06D95">
        <w:rPr>
          <w:u w:val="single"/>
        </w:rPr>
        <w:lastRenderedPageBreak/>
        <w:t>Task Description</w:t>
      </w:r>
    </w:p>
    <w:p w14:paraId="67AD904F" w14:textId="680367BA" w:rsidR="00A06D95" w:rsidRPr="00A06D95" w:rsidRDefault="00A06D95" w:rsidP="00A06D95">
      <w:r w:rsidRPr="00A06D95">
        <w:t>This assignment assesses your ability to stratify, summarise, visualise, and interpret health data across socioeconomic groups.</w:t>
      </w:r>
      <w:r>
        <w:br/>
      </w:r>
    </w:p>
    <w:p w14:paraId="08861692" w14:textId="77777777" w:rsidR="00A06D95" w:rsidRPr="00A06D95" w:rsidRDefault="00A06D95" w:rsidP="00A06D95">
      <w:pPr>
        <w:rPr>
          <w:b/>
          <w:bCs/>
        </w:rPr>
      </w:pPr>
      <w:r w:rsidRPr="00A06D95">
        <w:rPr>
          <w:b/>
          <w:bCs/>
        </w:rPr>
        <w:t>Part A — Socioeconomic Stratification (4 marks)</w:t>
      </w:r>
    </w:p>
    <w:p w14:paraId="1B1C99C9" w14:textId="77777777" w:rsidR="00A06D95" w:rsidRPr="00A06D95" w:rsidRDefault="00A06D95" w:rsidP="00A06D95">
      <w:r w:rsidRPr="00A06D95">
        <w:t>Using Data Asset 1:</w:t>
      </w:r>
    </w:p>
    <w:p w14:paraId="33447715" w14:textId="77777777" w:rsidR="00A06D95" w:rsidRPr="00A06D95" w:rsidRDefault="00A06D95" w:rsidP="00A06D95">
      <w:pPr>
        <w:numPr>
          <w:ilvl w:val="0"/>
          <w:numId w:val="3"/>
        </w:numPr>
      </w:pPr>
      <w:r w:rsidRPr="00A06D95">
        <w:t>Stratify the cohort by IRSD quintile (1–5).</w:t>
      </w:r>
    </w:p>
    <w:p w14:paraId="649929E8" w14:textId="77777777" w:rsidR="00A06D95" w:rsidRPr="00A06D95" w:rsidRDefault="00A06D95" w:rsidP="00A06D95">
      <w:pPr>
        <w:numPr>
          <w:ilvl w:val="0"/>
          <w:numId w:val="3"/>
        </w:numPr>
      </w:pPr>
      <w:r w:rsidRPr="00A06D95">
        <w:t>Ensure that IRSD is treated as an ordered socioeconomic variable, not merely a categorical label.</w:t>
      </w:r>
    </w:p>
    <w:p w14:paraId="62E99BD8" w14:textId="77777777" w:rsidR="00A06D95" w:rsidRPr="00A06D95" w:rsidRDefault="00A06D95" w:rsidP="00A06D95">
      <w:r w:rsidRPr="00A06D95">
        <w:t>Your stratification should be internally consistent and applied uniformly across all analyses.</w:t>
      </w:r>
    </w:p>
    <w:p w14:paraId="370CA342" w14:textId="19FFDF63" w:rsidR="00A06D95" w:rsidRPr="00A06D95" w:rsidRDefault="00A06D95" w:rsidP="00A06D95"/>
    <w:p w14:paraId="7ADFE321" w14:textId="77777777" w:rsidR="00A06D95" w:rsidRPr="00A06D95" w:rsidRDefault="00A06D95" w:rsidP="00A06D95">
      <w:pPr>
        <w:rPr>
          <w:b/>
          <w:bCs/>
        </w:rPr>
      </w:pPr>
      <w:r w:rsidRPr="00A06D95">
        <w:rPr>
          <w:b/>
          <w:bCs/>
        </w:rPr>
        <w:t>Part B — Distributional Summarisation (6 marks)</w:t>
      </w:r>
    </w:p>
    <w:p w14:paraId="7A19661E" w14:textId="721F28F2" w:rsidR="00A06D95" w:rsidRPr="00A06D95" w:rsidRDefault="00A06D95" w:rsidP="00A06D95">
      <w:pPr>
        <w:rPr>
          <w:rFonts w:hint="eastAsia"/>
        </w:rPr>
      </w:pPr>
      <w:r w:rsidRPr="00A06D95">
        <w:t xml:space="preserve">For each IRSD quintile, summarise the distribution of </w:t>
      </w:r>
      <w:r>
        <w:rPr>
          <w:rFonts w:hint="eastAsia"/>
        </w:rPr>
        <w:t>all the available</w:t>
      </w:r>
      <w:r w:rsidRPr="00A06D95">
        <w:t xml:space="preserve"> variables</w:t>
      </w:r>
      <w:r>
        <w:rPr>
          <w:rFonts w:hint="eastAsia"/>
        </w:rPr>
        <w:t>.</w:t>
      </w:r>
    </w:p>
    <w:p w14:paraId="580CC103" w14:textId="04423310" w:rsidR="00A06D95" w:rsidRPr="00A06D95" w:rsidRDefault="00A06D95" w:rsidP="00A06D95">
      <w:r w:rsidRPr="00A06D95">
        <w:t>Your summaries should be appropriate to variable type and suitable for visual inspection of socioeconomic gradients.</w:t>
      </w:r>
    </w:p>
    <w:p w14:paraId="7C55656E" w14:textId="3072D15D" w:rsidR="00A06D95" w:rsidRPr="00A06D95" w:rsidRDefault="00A06D95" w:rsidP="00A06D95"/>
    <w:p w14:paraId="732128E4" w14:textId="77777777" w:rsidR="00A06D95" w:rsidRPr="00A06D95" w:rsidRDefault="00A06D95" w:rsidP="00A06D95">
      <w:pPr>
        <w:rPr>
          <w:b/>
          <w:bCs/>
        </w:rPr>
      </w:pPr>
      <w:r w:rsidRPr="00A06D95">
        <w:rPr>
          <w:b/>
          <w:bCs/>
        </w:rPr>
        <w:t>Part C — Visualisation (6 marks)</w:t>
      </w:r>
    </w:p>
    <w:p w14:paraId="5A2A9D73" w14:textId="77777777" w:rsidR="00A06D95" w:rsidRPr="00A06D95" w:rsidRDefault="00A06D95" w:rsidP="00A06D95">
      <w:r w:rsidRPr="00A06D95">
        <w:t>Produce a single, coherent multi-panel figure that presents IRSD-stratified distributions for all variables listed above.</w:t>
      </w:r>
    </w:p>
    <w:p w14:paraId="2FE730E6" w14:textId="77777777" w:rsidR="00A06D95" w:rsidRPr="00A06D95" w:rsidRDefault="00A06D95" w:rsidP="00A06D95">
      <w:r w:rsidRPr="00A06D95">
        <w:t>Your figure must:</w:t>
      </w:r>
    </w:p>
    <w:p w14:paraId="534BC584" w14:textId="77777777" w:rsidR="00A06D95" w:rsidRPr="00A06D95" w:rsidRDefault="00A06D95" w:rsidP="00A06D95">
      <w:pPr>
        <w:numPr>
          <w:ilvl w:val="0"/>
          <w:numId w:val="5"/>
        </w:numPr>
      </w:pPr>
      <w:r w:rsidRPr="00A06D95">
        <w:t>Use boxplots for continuous variables.</w:t>
      </w:r>
    </w:p>
    <w:p w14:paraId="1CE52A41" w14:textId="77777777" w:rsidR="00A06D95" w:rsidRPr="00A06D95" w:rsidRDefault="00A06D95" w:rsidP="00A06D95">
      <w:pPr>
        <w:numPr>
          <w:ilvl w:val="0"/>
          <w:numId w:val="5"/>
        </w:numPr>
      </w:pPr>
      <w:r w:rsidRPr="00A06D95">
        <w:t>Use stacked bar plots for smoking status.</w:t>
      </w:r>
    </w:p>
    <w:p w14:paraId="1E92B62A" w14:textId="77777777" w:rsidR="00A06D95" w:rsidRPr="00A06D95" w:rsidRDefault="00A06D95" w:rsidP="00A06D95">
      <w:pPr>
        <w:numPr>
          <w:ilvl w:val="0"/>
          <w:numId w:val="5"/>
        </w:numPr>
      </w:pPr>
      <w:r w:rsidRPr="00A06D95">
        <w:t>Use binary distribution plots (counts or proportions) for diabetes, CKD, AF, and CVD events.</w:t>
      </w:r>
    </w:p>
    <w:p w14:paraId="7D6325B9" w14:textId="77777777" w:rsidR="00A06D95" w:rsidRPr="00A06D95" w:rsidRDefault="00A06D95" w:rsidP="00A06D95">
      <w:pPr>
        <w:numPr>
          <w:ilvl w:val="0"/>
          <w:numId w:val="5"/>
        </w:numPr>
      </w:pPr>
      <w:r w:rsidRPr="00A06D95">
        <w:t>Display IRSD quintile (1–5) on the x-axis of every panel.</w:t>
      </w:r>
    </w:p>
    <w:p w14:paraId="5FAB1A73" w14:textId="77777777" w:rsidR="00A06D95" w:rsidRPr="00A06D95" w:rsidRDefault="00A06D95" w:rsidP="00A06D95">
      <w:pPr>
        <w:numPr>
          <w:ilvl w:val="0"/>
          <w:numId w:val="5"/>
        </w:numPr>
      </w:pPr>
      <w:r w:rsidRPr="00A06D95">
        <w:t>Use consistent axis labelling and scaling across panels.</w:t>
      </w:r>
    </w:p>
    <w:p w14:paraId="42228B83" w14:textId="77777777" w:rsidR="00A06D95" w:rsidRPr="00A06D95" w:rsidRDefault="00A06D95" w:rsidP="00A06D95">
      <w:pPr>
        <w:numPr>
          <w:ilvl w:val="0"/>
          <w:numId w:val="5"/>
        </w:numPr>
      </w:pPr>
      <w:r w:rsidRPr="00A06D95">
        <w:t>Be clearly legible and suitable for inclusion in an academic manuscript appendix.</w:t>
      </w:r>
    </w:p>
    <w:p w14:paraId="75879C3A" w14:textId="7CD159EB" w:rsidR="00A06D95" w:rsidRPr="00A06D95" w:rsidRDefault="00A06D95" w:rsidP="00A06D95"/>
    <w:p w14:paraId="6E8157E0" w14:textId="77777777" w:rsidR="00A06D95" w:rsidRPr="00A06D95" w:rsidRDefault="00A06D95" w:rsidP="00A06D95">
      <w:pPr>
        <w:rPr>
          <w:b/>
          <w:bCs/>
        </w:rPr>
      </w:pPr>
      <w:r w:rsidRPr="00A06D95">
        <w:rPr>
          <w:b/>
          <w:bCs/>
        </w:rPr>
        <w:t>Part D — Interpretation and Modelling Implications (4 marks)</w:t>
      </w:r>
    </w:p>
    <w:p w14:paraId="7315217C" w14:textId="77777777" w:rsidR="00A06D95" w:rsidRPr="00A06D95" w:rsidRDefault="00A06D95" w:rsidP="00A06D95">
      <w:r w:rsidRPr="00A06D95">
        <w:t>In 3–4 concise sentences, interpret the key socioeconomic patterns observed in your figure. Your discussion should address:</w:t>
      </w:r>
    </w:p>
    <w:p w14:paraId="0CB28EA8" w14:textId="77777777" w:rsidR="00A06D95" w:rsidRPr="00A06D95" w:rsidRDefault="00A06D95" w:rsidP="00A06D95">
      <w:pPr>
        <w:numPr>
          <w:ilvl w:val="0"/>
          <w:numId w:val="6"/>
        </w:numPr>
      </w:pPr>
      <w:r w:rsidRPr="00A06D95">
        <w:t>Which risk factors show clear socioeconomic gradients,</w:t>
      </w:r>
    </w:p>
    <w:p w14:paraId="39177935" w14:textId="77777777" w:rsidR="00A06D95" w:rsidRPr="00A06D95" w:rsidRDefault="00A06D95" w:rsidP="00A06D95">
      <w:pPr>
        <w:numPr>
          <w:ilvl w:val="0"/>
          <w:numId w:val="6"/>
        </w:numPr>
      </w:pPr>
      <w:r w:rsidRPr="00A06D95">
        <w:t>Which conditions remain rare across all quintiles,</w:t>
      </w:r>
    </w:p>
    <w:p w14:paraId="5491A63E" w14:textId="77777777" w:rsidR="00A06D95" w:rsidRPr="00A06D95" w:rsidRDefault="00A06D95" w:rsidP="00A06D95">
      <w:pPr>
        <w:numPr>
          <w:ilvl w:val="0"/>
          <w:numId w:val="6"/>
        </w:numPr>
      </w:pPr>
      <w:r w:rsidRPr="00A06D95">
        <w:t>Why these patterns matter for calibration, fairness, and downstream risk modelling.</w:t>
      </w:r>
    </w:p>
    <w:p w14:paraId="72A37701" w14:textId="06738B01" w:rsidR="00A06D95" w:rsidRPr="00A06D95" w:rsidRDefault="00A06D95" w:rsidP="00A06D95">
      <w:r w:rsidRPr="00A06D95">
        <w:t>Your interpretation should be grounded in what is visible in the figure.</w:t>
      </w:r>
    </w:p>
    <w:p w14:paraId="68433B59" w14:textId="77777777" w:rsidR="00A06D95" w:rsidRDefault="00A06D95" w:rsidP="00A06D95">
      <w:pPr>
        <w:rPr>
          <w:u w:val="single"/>
        </w:rPr>
      </w:pPr>
      <w:r w:rsidRPr="00A06D95">
        <w:rPr>
          <w:u w:val="single"/>
        </w:rPr>
        <w:lastRenderedPageBreak/>
        <w:t>Marking Criteria (20 marks total)</w:t>
      </w:r>
    </w:p>
    <w:tbl>
      <w:tblPr>
        <w:tblStyle w:val="ae"/>
        <w:tblW w:w="0" w:type="auto"/>
        <w:tblInd w:w="80" w:type="dxa"/>
        <w:tblLook w:val="04A0" w:firstRow="1" w:lastRow="0" w:firstColumn="1" w:lastColumn="0" w:noHBand="0" w:noVBand="1"/>
      </w:tblPr>
      <w:tblGrid>
        <w:gridCol w:w="3094"/>
        <w:gridCol w:w="3753"/>
        <w:gridCol w:w="1369"/>
      </w:tblGrid>
      <w:tr w:rsidR="00A06D95" w14:paraId="0CCD004F" w14:textId="77777777" w:rsidTr="00A06D95">
        <w:tc>
          <w:tcPr>
            <w:tcW w:w="3147" w:type="dxa"/>
            <w:shd w:val="clear" w:color="auto" w:fill="F2F2F2" w:themeFill="background1" w:themeFillShade="F2"/>
            <w:vAlign w:val="center"/>
          </w:tcPr>
          <w:p w14:paraId="597B97AE" w14:textId="08256B4A" w:rsidR="00A06D95" w:rsidRDefault="00A06D95" w:rsidP="00A06D95">
            <w:pPr>
              <w:rPr>
                <w:u w:val="single"/>
              </w:rPr>
            </w:pPr>
            <w:r>
              <w:rPr>
                <w:rFonts w:ascii="Calibri" w:hAnsi="Calibri" w:cs="Calibri"/>
                <w:b/>
                <w:bCs/>
                <w:color w:val="000000"/>
              </w:rPr>
              <w:t>Component</w:t>
            </w:r>
          </w:p>
        </w:tc>
        <w:tc>
          <w:tcPr>
            <w:tcW w:w="3827" w:type="dxa"/>
            <w:shd w:val="clear" w:color="auto" w:fill="F2F2F2" w:themeFill="background1" w:themeFillShade="F2"/>
            <w:vAlign w:val="center"/>
          </w:tcPr>
          <w:p w14:paraId="7576DDED" w14:textId="1E919CA0" w:rsidR="00A06D95" w:rsidRDefault="00A06D95" w:rsidP="00A06D95">
            <w:pPr>
              <w:rPr>
                <w:u w:val="single"/>
              </w:rPr>
            </w:pPr>
            <w:r>
              <w:rPr>
                <w:rFonts w:ascii="Calibri" w:hAnsi="Calibri" w:cs="Calibri"/>
                <w:b/>
                <w:bCs/>
                <w:color w:val="000000"/>
              </w:rPr>
              <w:t>Criteria</w:t>
            </w:r>
          </w:p>
        </w:tc>
        <w:tc>
          <w:tcPr>
            <w:tcW w:w="1388" w:type="dxa"/>
            <w:shd w:val="clear" w:color="auto" w:fill="F2F2F2" w:themeFill="background1" w:themeFillShade="F2"/>
            <w:vAlign w:val="center"/>
          </w:tcPr>
          <w:p w14:paraId="6C2CC6A1" w14:textId="53325614" w:rsidR="00A06D95" w:rsidRDefault="00A06D95" w:rsidP="00A06D95">
            <w:pPr>
              <w:rPr>
                <w:u w:val="single"/>
              </w:rPr>
            </w:pPr>
            <w:r>
              <w:rPr>
                <w:rFonts w:ascii="Calibri" w:hAnsi="Calibri" w:cs="Calibri"/>
                <w:b/>
                <w:bCs/>
                <w:color w:val="000000"/>
              </w:rPr>
              <w:t>Marks</w:t>
            </w:r>
          </w:p>
        </w:tc>
      </w:tr>
      <w:tr w:rsidR="00A06D95" w14:paraId="65F14DA1" w14:textId="77777777" w:rsidTr="00A06D95">
        <w:tc>
          <w:tcPr>
            <w:tcW w:w="3147" w:type="dxa"/>
            <w:vAlign w:val="center"/>
          </w:tcPr>
          <w:p w14:paraId="2F9186E1" w14:textId="4D1D20B2" w:rsidR="00A06D95" w:rsidRDefault="00A06D95" w:rsidP="00A06D95">
            <w:pPr>
              <w:rPr>
                <w:u w:val="single"/>
              </w:rPr>
            </w:pPr>
            <w:r>
              <w:rPr>
                <w:rFonts w:ascii="Calibri" w:hAnsi="Calibri" w:cs="Calibri"/>
                <w:b/>
                <w:bCs/>
                <w:color w:val="000000"/>
              </w:rPr>
              <w:t>A. Stratification</w:t>
            </w:r>
          </w:p>
        </w:tc>
        <w:tc>
          <w:tcPr>
            <w:tcW w:w="3827" w:type="dxa"/>
            <w:vAlign w:val="center"/>
          </w:tcPr>
          <w:p w14:paraId="7CF037B5" w14:textId="717C27ED" w:rsidR="00A06D95" w:rsidRDefault="00A06D95" w:rsidP="00A06D95">
            <w:pPr>
              <w:rPr>
                <w:u w:val="single"/>
              </w:rPr>
            </w:pPr>
            <w:r>
              <w:rPr>
                <w:rFonts w:ascii="Calibri" w:hAnsi="Calibri" w:cs="Calibri"/>
                <w:color w:val="000000"/>
              </w:rPr>
              <w:t>Correct, ordered stratification by IRSD quintile</w:t>
            </w:r>
          </w:p>
        </w:tc>
        <w:tc>
          <w:tcPr>
            <w:tcW w:w="1388" w:type="dxa"/>
            <w:vAlign w:val="center"/>
          </w:tcPr>
          <w:p w14:paraId="26961005" w14:textId="43149214" w:rsidR="00A06D95" w:rsidRDefault="00A06D95" w:rsidP="00A06D95">
            <w:pPr>
              <w:rPr>
                <w:u w:val="single"/>
              </w:rPr>
            </w:pPr>
            <w:r>
              <w:rPr>
                <w:rFonts w:ascii="Calibri" w:hAnsi="Calibri" w:cs="Calibri"/>
                <w:color w:val="000000"/>
              </w:rPr>
              <w:t>4</w:t>
            </w:r>
          </w:p>
        </w:tc>
      </w:tr>
      <w:tr w:rsidR="00A06D95" w14:paraId="15F664B9" w14:textId="77777777" w:rsidTr="00A06D95">
        <w:tc>
          <w:tcPr>
            <w:tcW w:w="3147" w:type="dxa"/>
            <w:vAlign w:val="center"/>
          </w:tcPr>
          <w:p w14:paraId="753C1411" w14:textId="0734E129" w:rsidR="00A06D95" w:rsidRDefault="00A06D95" w:rsidP="00A06D95">
            <w:pPr>
              <w:rPr>
                <w:u w:val="single"/>
              </w:rPr>
            </w:pPr>
            <w:r>
              <w:rPr>
                <w:rFonts w:ascii="Calibri" w:hAnsi="Calibri" w:cs="Calibri"/>
                <w:b/>
                <w:bCs/>
                <w:color w:val="000000"/>
              </w:rPr>
              <w:t>B. Distributional summaries</w:t>
            </w:r>
          </w:p>
        </w:tc>
        <w:tc>
          <w:tcPr>
            <w:tcW w:w="3827" w:type="dxa"/>
            <w:vAlign w:val="center"/>
          </w:tcPr>
          <w:p w14:paraId="1CDAD6AD" w14:textId="12AE97D9" w:rsidR="00A06D95" w:rsidRDefault="00A06D95" w:rsidP="00A06D95">
            <w:pPr>
              <w:rPr>
                <w:u w:val="single"/>
              </w:rPr>
            </w:pPr>
            <w:r>
              <w:rPr>
                <w:rFonts w:ascii="Calibri" w:hAnsi="Calibri" w:cs="Calibri"/>
                <w:color w:val="000000"/>
              </w:rPr>
              <w:t>Appropriate summaries for all required variables</w:t>
            </w:r>
          </w:p>
        </w:tc>
        <w:tc>
          <w:tcPr>
            <w:tcW w:w="1388" w:type="dxa"/>
            <w:vAlign w:val="center"/>
          </w:tcPr>
          <w:p w14:paraId="126A6020" w14:textId="4F040AEA" w:rsidR="00A06D95" w:rsidRDefault="00A06D95" w:rsidP="00A06D95">
            <w:pPr>
              <w:rPr>
                <w:u w:val="single"/>
              </w:rPr>
            </w:pPr>
            <w:r>
              <w:rPr>
                <w:rFonts w:ascii="Calibri" w:hAnsi="Calibri" w:cs="Calibri"/>
                <w:color w:val="000000"/>
              </w:rPr>
              <w:t>6</w:t>
            </w:r>
          </w:p>
        </w:tc>
      </w:tr>
      <w:tr w:rsidR="00A06D95" w14:paraId="001A819A" w14:textId="77777777" w:rsidTr="00A06D95">
        <w:tc>
          <w:tcPr>
            <w:tcW w:w="3147" w:type="dxa"/>
            <w:vAlign w:val="center"/>
          </w:tcPr>
          <w:p w14:paraId="2882D06B" w14:textId="69239DDA" w:rsidR="00A06D95" w:rsidRDefault="00A06D95" w:rsidP="00A06D95">
            <w:pPr>
              <w:rPr>
                <w:u w:val="single"/>
              </w:rPr>
            </w:pPr>
            <w:r>
              <w:rPr>
                <w:rFonts w:ascii="Calibri" w:hAnsi="Calibri" w:cs="Calibri"/>
                <w:b/>
                <w:bCs/>
                <w:color w:val="000000"/>
              </w:rPr>
              <w:t>C. Visualisation quality</w:t>
            </w:r>
          </w:p>
        </w:tc>
        <w:tc>
          <w:tcPr>
            <w:tcW w:w="3827" w:type="dxa"/>
            <w:vAlign w:val="center"/>
          </w:tcPr>
          <w:p w14:paraId="3D827017" w14:textId="166BB526" w:rsidR="00A06D95" w:rsidRDefault="00A06D95" w:rsidP="00A06D95">
            <w:pPr>
              <w:rPr>
                <w:u w:val="single"/>
              </w:rPr>
            </w:pPr>
            <w:r>
              <w:rPr>
                <w:rFonts w:ascii="Calibri" w:hAnsi="Calibri" w:cs="Calibri"/>
                <w:color w:val="000000"/>
              </w:rPr>
              <w:t>Correct plot types, consistent axes, complete and coherent multi-panel figure</w:t>
            </w:r>
          </w:p>
        </w:tc>
        <w:tc>
          <w:tcPr>
            <w:tcW w:w="1388" w:type="dxa"/>
            <w:vAlign w:val="center"/>
          </w:tcPr>
          <w:p w14:paraId="5012E651" w14:textId="3D113D6F" w:rsidR="00A06D95" w:rsidRDefault="00A06D95" w:rsidP="00A06D95">
            <w:pPr>
              <w:rPr>
                <w:u w:val="single"/>
              </w:rPr>
            </w:pPr>
            <w:r>
              <w:rPr>
                <w:rFonts w:ascii="Calibri" w:hAnsi="Calibri" w:cs="Calibri"/>
                <w:color w:val="000000"/>
              </w:rPr>
              <w:t>6</w:t>
            </w:r>
          </w:p>
        </w:tc>
      </w:tr>
      <w:tr w:rsidR="00A06D95" w14:paraId="79A305D5" w14:textId="77777777" w:rsidTr="00A06D95">
        <w:tc>
          <w:tcPr>
            <w:tcW w:w="3147" w:type="dxa"/>
            <w:vAlign w:val="center"/>
          </w:tcPr>
          <w:p w14:paraId="13EAB210" w14:textId="596EA1DD" w:rsidR="00A06D95" w:rsidRDefault="00A06D95" w:rsidP="00A06D95">
            <w:pPr>
              <w:rPr>
                <w:u w:val="single"/>
              </w:rPr>
            </w:pPr>
            <w:r>
              <w:rPr>
                <w:rFonts w:ascii="Calibri" w:hAnsi="Calibri" w:cs="Calibri"/>
                <w:b/>
                <w:bCs/>
                <w:color w:val="000000"/>
              </w:rPr>
              <w:t>D. Interpretation</w:t>
            </w:r>
          </w:p>
        </w:tc>
        <w:tc>
          <w:tcPr>
            <w:tcW w:w="3827" w:type="dxa"/>
            <w:vAlign w:val="center"/>
          </w:tcPr>
          <w:p w14:paraId="2DBDBD5F" w14:textId="044493A0" w:rsidR="00A06D95" w:rsidRDefault="00A06D95" w:rsidP="00A06D95">
            <w:pPr>
              <w:rPr>
                <w:u w:val="single"/>
              </w:rPr>
            </w:pPr>
            <w:r>
              <w:rPr>
                <w:rFonts w:ascii="Calibri" w:hAnsi="Calibri" w:cs="Calibri"/>
                <w:color w:val="000000"/>
              </w:rPr>
              <w:t>Clear, accurate interpretation linking socioeconomic structure to modelling implications</w:t>
            </w:r>
          </w:p>
        </w:tc>
        <w:tc>
          <w:tcPr>
            <w:tcW w:w="1388" w:type="dxa"/>
            <w:vAlign w:val="center"/>
          </w:tcPr>
          <w:p w14:paraId="6316B823" w14:textId="55E009A9" w:rsidR="00A06D95" w:rsidRDefault="00A06D95" w:rsidP="00A06D95">
            <w:pPr>
              <w:rPr>
                <w:u w:val="single"/>
              </w:rPr>
            </w:pPr>
            <w:r>
              <w:rPr>
                <w:rFonts w:ascii="Calibri" w:hAnsi="Calibri" w:cs="Calibri"/>
                <w:color w:val="000000"/>
              </w:rPr>
              <w:t>4</w:t>
            </w:r>
          </w:p>
        </w:tc>
      </w:tr>
      <w:tr w:rsidR="00A06D95" w14:paraId="5CE27513" w14:textId="77777777" w:rsidTr="00A06D95">
        <w:tc>
          <w:tcPr>
            <w:tcW w:w="3147" w:type="dxa"/>
            <w:vAlign w:val="center"/>
          </w:tcPr>
          <w:p w14:paraId="7E23A487" w14:textId="0EDF7C81" w:rsidR="00A06D95" w:rsidRDefault="00A06D95" w:rsidP="00A06D95">
            <w:pPr>
              <w:rPr>
                <w:u w:val="single"/>
              </w:rPr>
            </w:pPr>
            <w:r>
              <w:rPr>
                <w:rFonts w:ascii="Calibri" w:hAnsi="Calibri" w:cs="Calibri"/>
                <w:b/>
                <w:bCs/>
                <w:color w:val="000000"/>
              </w:rPr>
              <w:t>Total</w:t>
            </w:r>
          </w:p>
        </w:tc>
        <w:tc>
          <w:tcPr>
            <w:tcW w:w="3827" w:type="dxa"/>
            <w:vAlign w:val="center"/>
          </w:tcPr>
          <w:p w14:paraId="386BBB77" w14:textId="77777777" w:rsidR="00A06D95" w:rsidRDefault="00A06D95" w:rsidP="00A06D95">
            <w:pPr>
              <w:rPr>
                <w:u w:val="single"/>
              </w:rPr>
            </w:pPr>
          </w:p>
        </w:tc>
        <w:tc>
          <w:tcPr>
            <w:tcW w:w="1388" w:type="dxa"/>
            <w:vAlign w:val="center"/>
          </w:tcPr>
          <w:p w14:paraId="180397C7" w14:textId="2EB807C1" w:rsidR="00A06D95" w:rsidRDefault="00A06D95" w:rsidP="00A06D95">
            <w:pPr>
              <w:rPr>
                <w:u w:val="single"/>
              </w:rPr>
            </w:pPr>
            <w:r>
              <w:rPr>
                <w:rFonts w:ascii="Calibri" w:hAnsi="Calibri" w:cs="Calibri"/>
                <w:b/>
                <w:bCs/>
                <w:color w:val="000000"/>
              </w:rPr>
              <w:t>20</w:t>
            </w:r>
          </w:p>
        </w:tc>
      </w:tr>
    </w:tbl>
    <w:p w14:paraId="1E123961" w14:textId="2D1911E8" w:rsidR="001D73DC" w:rsidRPr="00A06D95" w:rsidRDefault="001D73DC">
      <w:pPr>
        <w:rPr>
          <w:rFonts w:hint="eastAsia"/>
        </w:rPr>
      </w:pPr>
    </w:p>
    <w:sectPr w:rsidR="001D73DC" w:rsidRPr="00A06D9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16D85"/>
    <w:multiLevelType w:val="multilevel"/>
    <w:tmpl w:val="8C94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428C5"/>
    <w:multiLevelType w:val="multilevel"/>
    <w:tmpl w:val="8F2C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03859"/>
    <w:multiLevelType w:val="multilevel"/>
    <w:tmpl w:val="D0A8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C7B8A"/>
    <w:multiLevelType w:val="multilevel"/>
    <w:tmpl w:val="4394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33284E"/>
    <w:multiLevelType w:val="multilevel"/>
    <w:tmpl w:val="F5F0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655ED"/>
    <w:multiLevelType w:val="multilevel"/>
    <w:tmpl w:val="5088E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FC5EF5"/>
    <w:multiLevelType w:val="multilevel"/>
    <w:tmpl w:val="6D608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87C7B"/>
    <w:multiLevelType w:val="multilevel"/>
    <w:tmpl w:val="92C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90793">
    <w:abstractNumId w:val="0"/>
  </w:num>
  <w:num w:numId="2" w16cid:durableId="1962303863">
    <w:abstractNumId w:val="7"/>
  </w:num>
  <w:num w:numId="3" w16cid:durableId="881013748">
    <w:abstractNumId w:val="6"/>
  </w:num>
  <w:num w:numId="4" w16cid:durableId="1775859625">
    <w:abstractNumId w:val="5"/>
  </w:num>
  <w:num w:numId="5" w16cid:durableId="1531993815">
    <w:abstractNumId w:val="3"/>
  </w:num>
  <w:num w:numId="6" w16cid:durableId="1855533525">
    <w:abstractNumId w:val="1"/>
  </w:num>
  <w:num w:numId="7" w16cid:durableId="1489202178">
    <w:abstractNumId w:val="2"/>
  </w:num>
  <w:num w:numId="8" w16cid:durableId="1869099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95"/>
    <w:rsid w:val="001D73DC"/>
    <w:rsid w:val="005D0226"/>
    <w:rsid w:val="00A06D9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43379"/>
  <w15:chartTrackingRefBased/>
  <w15:docId w15:val="{DC6C1196-93F4-4523-A5CE-09F56092D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NZ"/>
    </w:rPr>
  </w:style>
  <w:style w:type="paragraph" w:styleId="1">
    <w:name w:val="heading 1"/>
    <w:basedOn w:val="a"/>
    <w:next w:val="a"/>
    <w:link w:val="10"/>
    <w:uiPriority w:val="9"/>
    <w:qFormat/>
    <w:rsid w:val="00A06D9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06D9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06D95"/>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A06D95"/>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A06D9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06D9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06D9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06D9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06D9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06D95"/>
    <w:rPr>
      <w:rFonts w:asciiTheme="majorHAnsi" w:eastAsiaTheme="majorEastAsia" w:hAnsiTheme="majorHAnsi" w:cstheme="majorBidi"/>
      <w:color w:val="2F5496" w:themeColor="accent1" w:themeShade="BF"/>
      <w:sz w:val="48"/>
      <w:szCs w:val="48"/>
      <w:lang w:val="en-NZ"/>
    </w:rPr>
  </w:style>
  <w:style w:type="character" w:customStyle="1" w:styleId="20">
    <w:name w:val="標題 2 字元"/>
    <w:basedOn w:val="a0"/>
    <w:link w:val="2"/>
    <w:uiPriority w:val="9"/>
    <w:semiHidden/>
    <w:rsid w:val="00A06D95"/>
    <w:rPr>
      <w:rFonts w:asciiTheme="majorHAnsi" w:eastAsiaTheme="majorEastAsia" w:hAnsiTheme="majorHAnsi" w:cstheme="majorBidi"/>
      <w:color w:val="2F5496" w:themeColor="accent1" w:themeShade="BF"/>
      <w:sz w:val="40"/>
      <w:szCs w:val="40"/>
      <w:lang w:val="en-NZ"/>
    </w:rPr>
  </w:style>
  <w:style w:type="character" w:customStyle="1" w:styleId="30">
    <w:name w:val="標題 3 字元"/>
    <w:basedOn w:val="a0"/>
    <w:link w:val="3"/>
    <w:uiPriority w:val="9"/>
    <w:semiHidden/>
    <w:rsid w:val="00A06D95"/>
    <w:rPr>
      <w:rFonts w:eastAsiaTheme="majorEastAsia" w:cstheme="majorBidi"/>
      <w:color w:val="2F5496" w:themeColor="accent1" w:themeShade="BF"/>
      <w:sz w:val="32"/>
      <w:szCs w:val="32"/>
      <w:lang w:val="en-NZ"/>
    </w:rPr>
  </w:style>
  <w:style w:type="character" w:customStyle="1" w:styleId="40">
    <w:name w:val="標題 4 字元"/>
    <w:basedOn w:val="a0"/>
    <w:link w:val="4"/>
    <w:uiPriority w:val="9"/>
    <w:semiHidden/>
    <w:rsid w:val="00A06D95"/>
    <w:rPr>
      <w:rFonts w:eastAsiaTheme="majorEastAsia" w:cstheme="majorBidi"/>
      <w:color w:val="2F5496" w:themeColor="accent1" w:themeShade="BF"/>
      <w:sz w:val="28"/>
      <w:szCs w:val="28"/>
      <w:lang w:val="en-NZ"/>
    </w:rPr>
  </w:style>
  <w:style w:type="character" w:customStyle="1" w:styleId="50">
    <w:name w:val="標題 5 字元"/>
    <w:basedOn w:val="a0"/>
    <w:link w:val="5"/>
    <w:uiPriority w:val="9"/>
    <w:semiHidden/>
    <w:rsid w:val="00A06D95"/>
    <w:rPr>
      <w:rFonts w:eastAsiaTheme="majorEastAsia" w:cstheme="majorBidi"/>
      <w:color w:val="2F5496" w:themeColor="accent1" w:themeShade="BF"/>
      <w:lang w:val="en-NZ"/>
    </w:rPr>
  </w:style>
  <w:style w:type="character" w:customStyle="1" w:styleId="60">
    <w:name w:val="標題 6 字元"/>
    <w:basedOn w:val="a0"/>
    <w:link w:val="6"/>
    <w:uiPriority w:val="9"/>
    <w:semiHidden/>
    <w:rsid w:val="00A06D95"/>
    <w:rPr>
      <w:rFonts w:eastAsiaTheme="majorEastAsia" w:cstheme="majorBidi"/>
      <w:color w:val="595959" w:themeColor="text1" w:themeTint="A6"/>
      <w:lang w:val="en-NZ"/>
    </w:rPr>
  </w:style>
  <w:style w:type="character" w:customStyle="1" w:styleId="70">
    <w:name w:val="標題 7 字元"/>
    <w:basedOn w:val="a0"/>
    <w:link w:val="7"/>
    <w:uiPriority w:val="9"/>
    <w:semiHidden/>
    <w:rsid w:val="00A06D95"/>
    <w:rPr>
      <w:rFonts w:eastAsiaTheme="majorEastAsia" w:cstheme="majorBidi"/>
      <w:color w:val="595959" w:themeColor="text1" w:themeTint="A6"/>
      <w:lang w:val="en-NZ"/>
    </w:rPr>
  </w:style>
  <w:style w:type="character" w:customStyle="1" w:styleId="80">
    <w:name w:val="標題 8 字元"/>
    <w:basedOn w:val="a0"/>
    <w:link w:val="8"/>
    <w:uiPriority w:val="9"/>
    <w:semiHidden/>
    <w:rsid w:val="00A06D95"/>
    <w:rPr>
      <w:rFonts w:eastAsiaTheme="majorEastAsia" w:cstheme="majorBidi"/>
      <w:color w:val="272727" w:themeColor="text1" w:themeTint="D8"/>
      <w:lang w:val="en-NZ"/>
    </w:rPr>
  </w:style>
  <w:style w:type="character" w:customStyle="1" w:styleId="90">
    <w:name w:val="標題 9 字元"/>
    <w:basedOn w:val="a0"/>
    <w:link w:val="9"/>
    <w:uiPriority w:val="9"/>
    <w:semiHidden/>
    <w:rsid w:val="00A06D95"/>
    <w:rPr>
      <w:rFonts w:eastAsiaTheme="majorEastAsia" w:cstheme="majorBidi"/>
      <w:color w:val="272727" w:themeColor="text1" w:themeTint="D8"/>
      <w:lang w:val="en-NZ"/>
    </w:rPr>
  </w:style>
  <w:style w:type="paragraph" w:styleId="a3">
    <w:name w:val="Title"/>
    <w:basedOn w:val="a"/>
    <w:next w:val="a"/>
    <w:link w:val="a4"/>
    <w:uiPriority w:val="10"/>
    <w:qFormat/>
    <w:rsid w:val="00A06D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06D95"/>
    <w:rPr>
      <w:rFonts w:asciiTheme="majorHAnsi" w:eastAsiaTheme="majorEastAsia" w:hAnsiTheme="majorHAnsi" w:cstheme="majorBidi"/>
      <w:spacing w:val="-10"/>
      <w:kern w:val="28"/>
      <w:sz w:val="56"/>
      <w:szCs w:val="56"/>
      <w:lang w:val="en-NZ"/>
    </w:rPr>
  </w:style>
  <w:style w:type="paragraph" w:styleId="a5">
    <w:name w:val="Subtitle"/>
    <w:basedOn w:val="a"/>
    <w:next w:val="a"/>
    <w:link w:val="a6"/>
    <w:uiPriority w:val="11"/>
    <w:qFormat/>
    <w:rsid w:val="00A06D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06D95"/>
    <w:rPr>
      <w:rFonts w:asciiTheme="majorHAnsi" w:eastAsiaTheme="majorEastAsia" w:hAnsiTheme="majorHAnsi" w:cstheme="majorBidi"/>
      <w:color w:val="595959" w:themeColor="text1" w:themeTint="A6"/>
      <w:spacing w:val="15"/>
      <w:sz w:val="28"/>
      <w:szCs w:val="28"/>
      <w:lang w:val="en-NZ"/>
    </w:rPr>
  </w:style>
  <w:style w:type="paragraph" w:styleId="a7">
    <w:name w:val="Quote"/>
    <w:basedOn w:val="a"/>
    <w:next w:val="a"/>
    <w:link w:val="a8"/>
    <w:uiPriority w:val="29"/>
    <w:qFormat/>
    <w:rsid w:val="00A06D95"/>
    <w:pPr>
      <w:spacing w:before="160" w:after="160"/>
      <w:jc w:val="center"/>
    </w:pPr>
    <w:rPr>
      <w:i/>
      <w:iCs/>
      <w:color w:val="404040" w:themeColor="text1" w:themeTint="BF"/>
    </w:rPr>
  </w:style>
  <w:style w:type="character" w:customStyle="1" w:styleId="a8">
    <w:name w:val="引文 字元"/>
    <w:basedOn w:val="a0"/>
    <w:link w:val="a7"/>
    <w:uiPriority w:val="29"/>
    <w:rsid w:val="00A06D95"/>
    <w:rPr>
      <w:i/>
      <w:iCs/>
      <w:color w:val="404040" w:themeColor="text1" w:themeTint="BF"/>
      <w:lang w:val="en-NZ"/>
    </w:rPr>
  </w:style>
  <w:style w:type="paragraph" w:styleId="a9">
    <w:name w:val="List Paragraph"/>
    <w:basedOn w:val="a"/>
    <w:uiPriority w:val="34"/>
    <w:qFormat/>
    <w:rsid w:val="00A06D95"/>
    <w:pPr>
      <w:ind w:left="720"/>
      <w:contextualSpacing/>
    </w:pPr>
  </w:style>
  <w:style w:type="character" w:styleId="aa">
    <w:name w:val="Intense Emphasis"/>
    <w:basedOn w:val="a0"/>
    <w:uiPriority w:val="21"/>
    <w:qFormat/>
    <w:rsid w:val="00A06D95"/>
    <w:rPr>
      <w:i/>
      <w:iCs/>
      <w:color w:val="2F5496" w:themeColor="accent1" w:themeShade="BF"/>
    </w:rPr>
  </w:style>
  <w:style w:type="paragraph" w:styleId="ab">
    <w:name w:val="Intense Quote"/>
    <w:basedOn w:val="a"/>
    <w:next w:val="a"/>
    <w:link w:val="ac"/>
    <w:uiPriority w:val="30"/>
    <w:qFormat/>
    <w:rsid w:val="00A06D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A06D95"/>
    <w:rPr>
      <w:i/>
      <w:iCs/>
      <w:color w:val="2F5496" w:themeColor="accent1" w:themeShade="BF"/>
      <w:lang w:val="en-NZ"/>
    </w:rPr>
  </w:style>
  <w:style w:type="character" w:styleId="ad">
    <w:name w:val="Intense Reference"/>
    <w:basedOn w:val="a0"/>
    <w:uiPriority w:val="32"/>
    <w:qFormat/>
    <w:rsid w:val="00A06D95"/>
    <w:rPr>
      <w:b/>
      <w:bCs/>
      <w:smallCaps/>
      <w:color w:val="2F5496" w:themeColor="accent1" w:themeShade="BF"/>
      <w:spacing w:val="5"/>
    </w:rPr>
  </w:style>
  <w:style w:type="table" w:styleId="ae">
    <w:name w:val="Table Grid"/>
    <w:basedOn w:val="a1"/>
    <w:uiPriority w:val="39"/>
    <w:rsid w:val="00A06D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667</Words>
  <Characters>3803</Characters>
  <Application>Microsoft Office Word</Application>
  <DocSecurity>0</DocSecurity>
  <Lines>31</Lines>
  <Paragraphs>8</Paragraphs>
  <ScaleCrop>false</ScaleCrop>
  <Company/>
  <LinksUpToDate>false</LinksUpToDate>
  <CharactersWithSpaces>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 Kuo</dc:creator>
  <cp:keywords/>
  <dc:description/>
  <cp:lastModifiedBy>Nic Kuo</cp:lastModifiedBy>
  <cp:revision>1</cp:revision>
  <dcterms:created xsi:type="dcterms:W3CDTF">2026-01-11T22:22:00Z</dcterms:created>
  <dcterms:modified xsi:type="dcterms:W3CDTF">2026-01-11T22:32:00Z</dcterms:modified>
</cp:coreProperties>
</file>