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les Données d'Entrée (Inputs) pour CLIMADA en Côte d'Ivoire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1. Données d'Aléa (Hazard)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Ce sont les données qui décrivent l'intensité et la fréquence des phénomènes climatiques.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tbl>
      <w:tblPr>
        <w:tblStyle w:val="701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58"/>
        <w:gridCol w:w="23180"/>
        <w:gridCol w:w="34788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0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Type d'Aléa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Sources Internationales (Bon pour commencer)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Sources Nationales (Essentiel pour la précision)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0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Inondations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Données de Pluie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hyperlink r:id="rId8" w:tooltip="https://www.chc.ucsb.edu/data/chirps" w:history="1">
              <w:r>
                <w:rPr>
                  <w:rStyle w:val="87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CHIRPS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hyperlink r:id="rId9" w:tooltip="https://gpm.nasa.gov/data/directory" w:history="1">
              <w:r>
                <w:rPr>
                  <w:rStyle w:val="87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NASA GPM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(données satellitaires de précipitation).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Topographie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hyperlink r:id="rId10" w:tooltip="https://www.google.com/search?q=https://www.usgs.gov/landsat-missions/shuttle-radar-topography-mission" w:history="1">
              <w:r>
                <w:rPr>
                  <w:rStyle w:val="87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SRTM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ou </w:t>
            </w:r>
            <w:hyperlink r:id="rId11" w:tooltip="https://lpdaac.usgs.gov/products/astgtmv003/" w:history="1">
              <w:r>
                <w:rPr>
                  <w:rStyle w:val="87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ASTER GDEM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(Modèles Numériques de Terrain pour voir où l'eau s'écoule).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Modèles d'inondation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hyperlink r:id="rId12" w:tooltip="https://www.wri.org/aqueduct" w:history="1">
              <w:r>
                <w:rPr>
                  <w:rStyle w:val="87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Aqueduct Flood Tool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(WRI).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Données pluviométriques et hydrologiques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SODEXAM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(stations météo au sol),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Direction des Ressources en Eau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(mesures de débit des fleuves),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ANAGED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(informations sur les réseaux de drainage urbain).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Cartes d'inondations existantes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Programmes de recherche, études d'impact, plans de gestion des risques (BNETD, Ministère de l'Environnement).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0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Sécheresse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Indices de sécheresse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hyperlink r:id="rId13" w:tooltip="https://spei.csic.es/map/maps.html" w:history="1">
              <w:r>
                <w:rPr>
                  <w:rStyle w:val="87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SPEI Global Drought Monitor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Données de pluie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hyperlink r:id="rId14" w:tooltip="https://www.chc.ucsb.edu/data/chirps" w:history="1">
              <w:r>
                <w:rPr>
                  <w:rStyle w:val="87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CHIRPS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pour calculer vos propres indices.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Données pluviométriques et de température historiques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SODEXAM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 Ces données locales sont cruciales pour calculer des indices de sécheresse (SPI, SPEI) calibrés pour le climat ivoirien.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Données agronomiques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Ministère de l'Agriculture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Centre National de Recherche Agronomique (CNRA)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0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Érosion Côtière &amp; Élévation du Niveau de la Mer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1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Niveau de la mer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hyperlink r:id="rId15" w:tooltip="https://marine.copernicus.eu/" w:history="1">
              <w:r>
                <w:rPr>
                  <w:rStyle w:val="87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Copernicus Marine Service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données satellitaires de la NASA/NOAA.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Données de vagues et de tempêtes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Modèles mondiaux comme ERA5.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78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Taux d'érosion historique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Centre de Recherches Océanologiques (CRO)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Ministère de l'Environnement et du Développement Durable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Données topographiques et bathymétriques côtières précises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BNETD, Autorités portuaires (Abidjan, San-Pédro).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2. Données d'Exposition (Exposure)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Ce sont les données qui décrivent la localisation et la valeur des actifs qui peuvent être endommagés.</w:t>
      </w:r>
      <w:r/>
    </w:p>
    <w:tbl>
      <w:tblPr>
        <w:tblStyle w:val="701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300"/>
        <w:gridCol w:w="15170"/>
        <w:gridCol w:w="3195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Type d'Actif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Sources Internationales (Bon pour une première estimation)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9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Sources Nationales (Gold Standard)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Population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6" w:tooltip="https://www.worldpop.org/" w:history="1">
              <w:r>
                <w:rPr>
                  <w:rStyle w:val="87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WorldPop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hyperlink r:id="rId17" w:tooltip="https://ghsl.jrc.ec.europa.eu/ghs_pop.php" w:history="1">
              <w:r>
                <w:rPr>
                  <w:rStyle w:val="87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GHS-POP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(Grilles de population à haute résolution).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9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Institut National de la Statistique (INS)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Les données du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Recensement Général de la Population et de l'Habitat (RGPH)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sont la source la plus fiable et détaillée.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Infrastructures &amp; Bâtiments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/>
            <w:hyperlink r:id="rId18" w:tooltip="https://www.openstreetmap.org/" w:history="1">
              <w:r>
                <w:rPr>
                  <w:rStyle w:val="87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OpenStreetMap (OSM)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: Très utile pour les routes, les bâtiments. La qualité peut varier. </w:t>
            </w:r>
            <w:hyperlink r:id="rId19" w:tooltip="https://ghsl.jrc.ec.europa.eu/" w:history="1">
              <w:r>
                <w:rPr>
                  <w:rStyle w:val="87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Global Human Settlement Layer (GHSL)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: Empreintes des bâtiments.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9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BNETD (Bureau National d'Études Techniques et de Développement)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Une mine d'or pour les données sur les infrastructures nationales.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Ministère de l'Équipement et de l'Entretien Routier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Cartes des réseaux routiers.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INS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Données sur le parc de logements.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Cadastre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Données sur la localisation et la valeur des parcelles.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Actifs Économiques &amp; Agricoles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17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Données sur l'utilisation des sols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hyperlink r:id="rId20" w:tooltip="https://www.google.com/search?q=https://lcviewer.vito.be/2019" w:history="1">
              <w:r>
                <w:rPr>
                  <w:rStyle w:val="87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Copernicus Global Land Cover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</w:t>
            </w:r>
            <w:hyperlink r:id="rId21" w:tooltip="https://esa-worldcover.org/en" w:history="1">
              <w:r>
                <w:rPr>
                  <w:rStyle w:val="872"/>
                  <w:rFonts w:ascii="Times New Roman" w:hAnsi="Times New Roman" w:eastAsia="Times New Roman" w:cs="Times New Roman"/>
                  <w:color w:val="0000ee"/>
                  <w:sz w:val="24"/>
                  <w:u w:val="single"/>
                </w:rPr>
                <w:t xml:space="preserve">ESA WorldCover</w:t>
              </w:r>
            </w:hyperlink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Valeur économique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Données de la Banque Mondiale.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19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INS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Comptes nationaux pour estimer la valeur ajoutée par secteur et par région.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Ministère de l'Agriculture et du Développement Rural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Cartes précises des cultures, statistiques de rendement, valeur de la production.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Organismes de filières :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Conseil du Café-Cacao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, etc.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3. Fonctions de Vulnérabilité / Dommage (Impact Functions)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C'est la partie la plus complexe, car elle nécessite de lier l'intensité d'un aléa à un pourcentage de dommage.</w:t>
      </w:r>
      <w:r/>
    </w:p>
    <w:tbl>
      <w:tblPr>
        <w:tblStyle w:val="701"/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682"/>
        <w:gridCol w:w="4552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Sources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5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Base de Données de CLIMADA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5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Le logiciel vient avec un certain nombre de fonctions de dommage génériques (par exemple, pour les inondations en fonction du type de bâtiment) qui peuvent être utilisées comme point de départ.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Littérature Scientifique et Rapports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5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Chercher des études d'impact (sur Google Scholar, dans les rapports de la Banque Mondiale, du PNUD, etc.) pour des contextes similaires à la Côte d'Ivoire ou en Afrique de l'Ouest. C'est souvent là que l'on trouve des courbes hauteur d'eau-dommage ou stres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 hydrique-perte de rendement.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8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Expertise Locale (CRUCIAL)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55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C'est la source la plus précieuse. Il faut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collaborer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avec : •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 ingénieurs civils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(du BNETD, du Ministère de l'Équipement) pour estimer la résistance des bâtiments et infrastructures ivoiriennes. •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 agronomes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(du CNRA, du Ministère de l'Agriculture) pour comprendre comment les sécheresses affectent les rendements du cacao, du maïs, etc. •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 assureurs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qui ont leurs propres modèles de dommages. •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 économistes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qui ont mené des enquêtes post-catastrophe.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Exporter vers Sheets</w:t>
      </w:r>
      <w:r>
        <w:rPr>
          <w:rFonts w:ascii="Times New Roman" w:hAnsi="Times New Roman" w:eastAsia="Times New Roman" w:cs="Times New Roman"/>
          <w:sz w:val="24"/>
        </w:rPr>
      </w: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1">
    <w:name w:val="Table Grid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1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7">
    <w:name w:val="Heading 1"/>
    <w:basedOn w:val="886"/>
    <w:next w:val="886"/>
    <w:link w:val="83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8">
    <w:name w:val="Heading 2"/>
    <w:basedOn w:val="886"/>
    <w:next w:val="886"/>
    <w:link w:val="83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9">
    <w:name w:val="Heading 3"/>
    <w:basedOn w:val="886"/>
    <w:next w:val="886"/>
    <w:link w:val="83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0">
    <w:name w:val="Heading 4"/>
    <w:basedOn w:val="886"/>
    <w:next w:val="886"/>
    <w:link w:val="84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1">
    <w:name w:val="Heading 5"/>
    <w:basedOn w:val="886"/>
    <w:next w:val="886"/>
    <w:link w:val="84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2">
    <w:name w:val="Heading 6"/>
    <w:basedOn w:val="886"/>
    <w:next w:val="886"/>
    <w:link w:val="84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3">
    <w:name w:val="Heading 7"/>
    <w:basedOn w:val="886"/>
    <w:next w:val="886"/>
    <w:link w:val="84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4">
    <w:name w:val="Heading 8"/>
    <w:basedOn w:val="886"/>
    <w:next w:val="886"/>
    <w:link w:val="84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5">
    <w:name w:val="Heading 9"/>
    <w:basedOn w:val="886"/>
    <w:next w:val="886"/>
    <w:link w:val="84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6" w:default="1">
    <w:name w:val="Default Paragraph Font"/>
    <w:uiPriority w:val="1"/>
    <w:semiHidden/>
    <w:unhideWhenUsed/>
    <w:pPr>
      <w:pBdr/>
      <w:spacing/>
      <w:ind/>
    </w:pPr>
  </w:style>
  <w:style w:type="character" w:styleId="837">
    <w:name w:val="Heading 1 Char"/>
    <w:basedOn w:val="836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8">
    <w:name w:val="Heading 2 Char"/>
    <w:basedOn w:val="836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9">
    <w:name w:val="Heading 3 Char"/>
    <w:basedOn w:val="836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0">
    <w:name w:val="Heading 4 Char"/>
    <w:basedOn w:val="836"/>
    <w:link w:val="83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1">
    <w:name w:val="Heading 5 Char"/>
    <w:basedOn w:val="836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2">
    <w:name w:val="Heading 6 Char"/>
    <w:basedOn w:val="836"/>
    <w:link w:val="83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3">
    <w:name w:val="Heading 7 Char"/>
    <w:basedOn w:val="836"/>
    <w:link w:val="83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4">
    <w:name w:val="Heading 8 Char"/>
    <w:basedOn w:val="836"/>
    <w:link w:val="83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5">
    <w:name w:val="Heading 9 Char"/>
    <w:basedOn w:val="836"/>
    <w:link w:val="83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6">
    <w:name w:val="Title"/>
    <w:basedOn w:val="886"/>
    <w:next w:val="886"/>
    <w:link w:val="84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7">
    <w:name w:val="Title Char"/>
    <w:basedOn w:val="836"/>
    <w:link w:val="84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8">
    <w:name w:val="Subtitle"/>
    <w:basedOn w:val="886"/>
    <w:next w:val="886"/>
    <w:link w:val="84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9">
    <w:name w:val="Subtitle Char"/>
    <w:basedOn w:val="836"/>
    <w:link w:val="84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0">
    <w:name w:val="Quote"/>
    <w:basedOn w:val="886"/>
    <w:next w:val="886"/>
    <w:link w:val="85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1">
    <w:name w:val="Quote Char"/>
    <w:basedOn w:val="836"/>
    <w:link w:val="85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2">
    <w:name w:val="Intense Emphasis"/>
    <w:basedOn w:val="83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3">
    <w:name w:val="Intense Quote"/>
    <w:basedOn w:val="886"/>
    <w:next w:val="886"/>
    <w:link w:val="85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4">
    <w:name w:val="Intense Quote Char"/>
    <w:basedOn w:val="836"/>
    <w:link w:val="85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5">
    <w:name w:val="Intense Reference"/>
    <w:basedOn w:val="83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6">
    <w:name w:val="Subtle Emphasis"/>
    <w:basedOn w:val="83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6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6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6"/>
    <w:link w:val="861"/>
    <w:uiPriority w:val="99"/>
    <w:pPr>
      <w:pBdr/>
      <w:spacing/>
      <w:ind/>
    </w:pPr>
  </w:style>
  <w:style w:type="paragraph" w:styleId="863">
    <w:name w:val="Footer"/>
    <w:basedOn w:val="886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6"/>
    <w:link w:val="863"/>
    <w:uiPriority w:val="99"/>
    <w:pPr>
      <w:pBdr/>
      <w:spacing/>
      <w:ind/>
    </w:pPr>
  </w:style>
  <w:style w:type="paragraph" w:styleId="865">
    <w:name w:val="Caption"/>
    <w:basedOn w:val="886"/>
    <w:next w:val="88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6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6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6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6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6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6"/>
    <w:next w:val="886"/>
    <w:uiPriority w:val="39"/>
    <w:unhideWhenUsed/>
    <w:pPr>
      <w:pBdr/>
      <w:spacing w:after="100"/>
      <w:ind/>
    </w:pPr>
  </w:style>
  <w:style w:type="paragraph" w:styleId="875">
    <w:name w:val="toc 2"/>
    <w:basedOn w:val="886"/>
    <w:next w:val="886"/>
    <w:uiPriority w:val="39"/>
    <w:unhideWhenUsed/>
    <w:pPr>
      <w:pBdr/>
      <w:spacing w:after="100"/>
      <w:ind w:left="220"/>
    </w:pPr>
  </w:style>
  <w:style w:type="paragraph" w:styleId="876">
    <w:name w:val="toc 3"/>
    <w:basedOn w:val="886"/>
    <w:next w:val="886"/>
    <w:uiPriority w:val="39"/>
    <w:unhideWhenUsed/>
    <w:pPr>
      <w:pBdr/>
      <w:spacing w:after="100"/>
      <w:ind w:left="440"/>
    </w:pPr>
  </w:style>
  <w:style w:type="paragraph" w:styleId="877">
    <w:name w:val="toc 4"/>
    <w:basedOn w:val="886"/>
    <w:next w:val="886"/>
    <w:uiPriority w:val="39"/>
    <w:unhideWhenUsed/>
    <w:pPr>
      <w:pBdr/>
      <w:spacing w:after="100"/>
      <w:ind w:left="660"/>
    </w:pPr>
  </w:style>
  <w:style w:type="paragraph" w:styleId="878">
    <w:name w:val="toc 5"/>
    <w:basedOn w:val="886"/>
    <w:next w:val="886"/>
    <w:uiPriority w:val="39"/>
    <w:unhideWhenUsed/>
    <w:pPr>
      <w:pBdr/>
      <w:spacing w:after="100"/>
      <w:ind w:left="880"/>
    </w:pPr>
  </w:style>
  <w:style w:type="paragraph" w:styleId="879">
    <w:name w:val="toc 6"/>
    <w:basedOn w:val="886"/>
    <w:next w:val="886"/>
    <w:uiPriority w:val="39"/>
    <w:unhideWhenUsed/>
    <w:pPr>
      <w:pBdr/>
      <w:spacing w:after="100"/>
      <w:ind w:left="1100"/>
    </w:pPr>
  </w:style>
  <w:style w:type="paragraph" w:styleId="880">
    <w:name w:val="toc 7"/>
    <w:basedOn w:val="886"/>
    <w:next w:val="886"/>
    <w:uiPriority w:val="39"/>
    <w:unhideWhenUsed/>
    <w:pPr>
      <w:pBdr/>
      <w:spacing w:after="100"/>
      <w:ind w:left="1320"/>
    </w:pPr>
  </w:style>
  <w:style w:type="paragraph" w:styleId="881">
    <w:name w:val="toc 8"/>
    <w:basedOn w:val="886"/>
    <w:next w:val="886"/>
    <w:uiPriority w:val="39"/>
    <w:unhideWhenUsed/>
    <w:pPr>
      <w:pBdr/>
      <w:spacing w:after="100"/>
      <w:ind w:left="1540"/>
    </w:pPr>
  </w:style>
  <w:style w:type="paragraph" w:styleId="882">
    <w:name w:val="toc 9"/>
    <w:basedOn w:val="886"/>
    <w:next w:val="886"/>
    <w:uiPriority w:val="39"/>
    <w:unhideWhenUsed/>
    <w:pPr>
      <w:pBdr/>
      <w:spacing w:after="100"/>
      <w:ind w:left="1760"/>
    </w:pPr>
  </w:style>
  <w:style w:type="character" w:styleId="883">
    <w:name w:val="Placeholder Text"/>
    <w:basedOn w:val="836"/>
    <w:uiPriority w:val="99"/>
    <w:semiHidden/>
    <w:pPr>
      <w:pBdr/>
      <w:spacing/>
      <w:ind/>
    </w:pPr>
    <w:rPr>
      <w:color w:val="666666"/>
    </w:rPr>
  </w:style>
  <w:style w:type="paragraph" w:styleId="884">
    <w:name w:val="TOC Heading"/>
    <w:uiPriority w:val="39"/>
    <w:unhideWhenUsed/>
    <w:pPr>
      <w:pBdr/>
      <w:spacing/>
      <w:ind/>
    </w:pPr>
  </w:style>
  <w:style w:type="paragraph" w:styleId="885">
    <w:name w:val="table of figures"/>
    <w:basedOn w:val="886"/>
    <w:next w:val="886"/>
    <w:uiPriority w:val="99"/>
    <w:unhideWhenUsed/>
    <w:pPr>
      <w:pBdr/>
      <w:spacing w:after="0" w:afterAutospacing="0"/>
      <w:ind/>
    </w:pPr>
  </w:style>
  <w:style w:type="paragraph" w:styleId="886" w:default="1">
    <w:name w:val="Normal"/>
    <w:qFormat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No Spacing"/>
    <w:basedOn w:val="886"/>
    <w:uiPriority w:val="1"/>
    <w:qFormat/>
    <w:pPr>
      <w:pBdr/>
      <w:spacing w:after="0" w:line="240" w:lineRule="auto"/>
      <w:ind/>
    </w:pPr>
  </w:style>
  <w:style w:type="paragraph" w:styleId="890">
    <w:name w:val="List Paragraph"/>
    <w:basedOn w:val="886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www.chc.ucsb.edu/data/chirps" TargetMode="External"/><Relationship Id="rId9" Type="http://schemas.openxmlformats.org/officeDocument/2006/relationships/hyperlink" Target="https://gpm.nasa.gov/data/directory" TargetMode="External"/><Relationship Id="rId10" Type="http://schemas.openxmlformats.org/officeDocument/2006/relationships/hyperlink" Target="https://www.google.com/search?q=https://www.usgs.gov/landsat-missions/shuttle-radar-topography-mission" TargetMode="External"/><Relationship Id="rId11" Type="http://schemas.openxmlformats.org/officeDocument/2006/relationships/hyperlink" Target="https://lpdaac.usgs.gov/products/astgtmv003/" TargetMode="External"/><Relationship Id="rId12" Type="http://schemas.openxmlformats.org/officeDocument/2006/relationships/hyperlink" Target="https://www.wri.org/aqueduct" TargetMode="External"/><Relationship Id="rId13" Type="http://schemas.openxmlformats.org/officeDocument/2006/relationships/hyperlink" Target="https://spei.csic.es/map/maps.html" TargetMode="External"/><Relationship Id="rId14" Type="http://schemas.openxmlformats.org/officeDocument/2006/relationships/hyperlink" Target="https://www.chc.ucsb.edu/data/chirps" TargetMode="External"/><Relationship Id="rId15" Type="http://schemas.openxmlformats.org/officeDocument/2006/relationships/hyperlink" Target="https://marine.copernicus.eu/" TargetMode="External"/><Relationship Id="rId16" Type="http://schemas.openxmlformats.org/officeDocument/2006/relationships/hyperlink" Target="https://www.worldpop.org/" TargetMode="External"/><Relationship Id="rId17" Type="http://schemas.openxmlformats.org/officeDocument/2006/relationships/hyperlink" Target="https://ghsl.jrc.ec.europa.eu/ghs_pop.php" TargetMode="External"/><Relationship Id="rId18" Type="http://schemas.openxmlformats.org/officeDocument/2006/relationships/hyperlink" Target="https://www.openstreetmap.org/" TargetMode="External"/><Relationship Id="rId19" Type="http://schemas.openxmlformats.org/officeDocument/2006/relationships/hyperlink" Target="https://ghsl.jrc.ec.europa.eu/" TargetMode="External"/><Relationship Id="rId20" Type="http://schemas.openxmlformats.org/officeDocument/2006/relationships/hyperlink" Target="https://www.google.com/search?q=https://lcviewer.vito.be/2019" TargetMode="External"/><Relationship Id="rId21" Type="http://schemas.openxmlformats.org/officeDocument/2006/relationships/hyperlink" Target="https://esa-worldcover.org/e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2025-10-01T13:28:43Z</dcterms:modified>
</cp:coreProperties>
</file>