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17365D"/>
          <w:sz w:val="38"/>
        </w:rPr>
        <w:t>UNIVERSIDAD DE CARTAGENA</w:t>
      </w:r>
    </w:p>
    <w:p>
      <w:pPr>
        <w:jc w:val="center"/>
      </w:pPr>
      <w:r>
        <w:rPr>
          <w:color w:val="5A6B7B"/>
          <w:sz w:val="22"/>
        </w:rPr>
        <w:t>Ingeniería de Software · Periodo 2026-2</w:t>
      </w:r>
    </w:p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6"/>
        </w:rPr>
        <w:t>Sistema de nómina</w:t>
        <w:br/>
        <w:t>orientado a objetos</w:t>
      </w:r>
    </w:p>
    <w:p>
      <w:pPr>
        <w:jc w:val="center"/>
      </w:pPr>
      <w:r>
        <w:rPr>
          <w:color w:val="2F75B5"/>
          <w:sz w:val="30"/>
        </w:rPr>
        <w:t>Informe técnico y evidencias de ejecución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Asignatura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Ingeniería de Software B1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Unidad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Unidad 3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Docente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Carlos Jose Caceres Ochoa (según tarjeta del curso en SIMA)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Estudiante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Nicolás Andrés Arnedo Puello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Modalidad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Desarrollo individual</w:t>
            </w:r>
          </w:p>
        </w:tc>
      </w:tr>
      <w:tr>
        <w:tc>
          <w:tcPr>
            <w:tcW w:type="dxa" w:w="2232"/>
            <w:shd w:fill="EAF2F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Fecha de preparación</w:t>
            </w:r>
          </w:p>
        </w:tc>
        <w:tc>
          <w:tcPr>
            <w:tcW w:type="dxa" w:w="712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8"/>
              </w:rPr>
              <w:t>31 de octubre de 2026</w:t>
            </w:r>
          </w:p>
        </w:tc>
      </w:tr>
    </w:tbl>
    <w:p>
      <w:pPr>
        <w:spacing w:before="520"/>
        <w:jc w:val="center"/>
      </w:pPr>
      <w:r>
        <w:rPr>
          <w:i/>
          <w:color w:val="5A6B7B"/>
          <w:sz w:val="18"/>
        </w:rPr>
        <w:t>Realicé el análisis, el diseño, la implementación, las pruebas y la documentación de forma individual.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Realicé de forma individual esta actividad de la Unidad 3 y desarrollé un sistema de nómina en Java. El modelo implementa cuatro tipos de empleado, aplica las reglas expresas, valida entradas y evita salarios netos negativos. En la ejecución local del 31 de octubre de 2026, las 10 pruebas unitarias finalizaron sin fallas ni errores.</w:t>
      </w:r>
    </w:p>
    <w:p>
      <w:r>
        <w:t>El código, las pruebas, el informe y la exposición corresponden al trabajo que realicé individualmente. Para los valores que no estaban definidos en el enunciado adopté supuestos de demostración.</w:t>
      </w:r>
    </w:p>
    <w:p>
      <w:pPr>
        <w:pStyle w:val="Heading1"/>
      </w:pPr>
      <w:r>
        <w:t>1. Alcance y trazabilidad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5616"/>
        <w:gridCol w:w="1440"/>
      </w:tblGrid>
      <w:tr>
        <w:tc>
          <w:tcPr>
            <w:tcW w:type="dxa" w:w="2376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5616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Implementación o evidencia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Programación orientada a objetos para cuatro tipos de empleado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Clases SalariedEmployee, HourlyEmployee, CommissionEmployee y TemporaryEmployee bajo el contrato Employee.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Implementado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Principios SOLID, código limpio y refactorización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Tipos cohesivos, interfaces estrechas y política de deducción inyectada.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Implementado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Comentarios de código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Comentarios breves en decisiones no obvias y reglas documentadas en metodología.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Incluido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Pruebas unitarias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JUnit Jupiter y Maven Surefire; 10 casos ejecutados.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10 aprobadas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Metodología de desarrollo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Secuencia de análisis, modelado, implementación y verificación.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Documentada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Repositorio del proyecto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Código fuente e historial de versiones en el repositorio público enlazado al final.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Disponible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Exposición en video</w:t>
            </w:r>
          </w:p>
        </w:tc>
        <w:tc>
          <w:tcPr>
            <w:tcW w:type="dxa" w:w="561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Enlace de YouTube incluido al final del informe.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Enlace disponible</w:t>
            </w:r>
          </w:p>
        </w:tc>
      </w:tr>
    </w:tbl>
    <w:p>
      <w:pPr>
        <w:spacing w:after="0"/>
      </w:pPr>
    </w:p>
    <w:p>
      <w:pPr>
        <w:pStyle w:val="Heading1"/>
      </w:pPr>
      <w:r>
        <w:t>2. Reglas de negocio implementadas</w:t>
      </w:r>
    </w:p>
    <w:p>
      <w:pPr>
        <w:pStyle w:val="Heading2"/>
      </w:pPr>
      <w:r>
        <w:t>Tipos de empleado</w:t>
      </w:r>
    </w:p>
    <w:p>
      <w:pPr>
        <w:pStyle w:val="ListBullet"/>
        <w:spacing w:after="60"/>
      </w:pPr>
      <w:r>
        <w:t>Asalariado: salario fijo mensual; suma un bono de 10% del salario fijo solo con más de cinco años de servicio. En cinco años exactos no aplica el bono.</w:t>
      </w:r>
    </w:p>
    <w:p>
      <w:pPr>
        <w:pStyle w:val="ListBullet"/>
        <w:spacing w:after="60"/>
      </w:pPr>
      <w:r>
        <w:t>Por horas: paga hasta 40 horas a tarifa base; las horas posteriores se liquidan a 1.5 veces la tarifa normal. No recibe bonos.</w:t>
      </w:r>
    </w:p>
    <w:p>
      <w:pPr>
        <w:pStyle w:val="ListBullet"/>
        <w:spacing w:after="60"/>
      </w:pPr>
      <w:r>
        <w:t>Por comisión: salario base más la comisión calculada con una tasa configurable. Si las ventas superan COP 20.000.000, agrega un bono de 3% de las ventas.</w:t>
      </w:r>
    </w:p>
    <w:p>
      <w:pPr>
        <w:pStyle w:val="ListBullet"/>
        <w:spacing w:after="60"/>
      </w:pPr>
      <w:r>
        <w:t>Temporal: salario fijo y duración contractual positiva; no recibe beneficios ni bonos adicionales.</w:t>
      </w:r>
    </w:p>
    <w:p>
      <w:pPr>
        <w:pStyle w:val="Heading2"/>
      </w:pPr>
      <w:r>
        <w:t>Deducciones y beneficios</w:t>
      </w:r>
    </w:p>
    <w:p>
      <w:pPr>
        <w:pStyle w:val="ListBullet"/>
        <w:spacing w:after="60"/>
      </w:pPr>
      <w:r>
        <w:t>Seguro social y pensión: 4% combinado del salario bruto, según la consigna.</w:t>
      </w:r>
    </w:p>
    <w:p>
      <w:pPr>
        <w:pStyle w:val="ListBullet"/>
        <w:spacing w:after="60"/>
      </w:pPr>
      <w:r>
        <w:t>ARL: se calcula con una tasa configurable sobre el salario bruto en el modelo.</w:t>
      </w:r>
    </w:p>
    <w:p>
      <w:pPr>
        <w:pStyle w:val="ListBullet"/>
        <w:spacing w:after="60"/>
      </w:pPr>
      <w:r>
        <w:t>Alimentación: COP 1.000.000 para asalariados y empleados por comisión, separado del pago neto porque lo cubre la empresa.</w:t>
      </w:r>
    </w:p>
    <w:p>
      <w:pPr>
        <w:pStyle w:val="ListBullet"/>
        <w:spacing w:after="60"/>
      </w:pPr>
      <w:r>
        <w:t>Ahorro: 2% para empleados por horas con más de un año y aceptación del fondo; se registra como aporte separado del efectivo neto.</w:t>
      </w:r>
    </w:p>
    <w:p>
      <w:pPr>
        <w:pStyle w:val="Heading1"/>
      </w:pPr>
      <w:r>
        <w:t>3. Diseño y decisiones técnicas</w:t>
      </w:r>
    </w:p>
    <w:p>
      <w:r>
        <w:t>El sistema separa las reglas por tipo de empleado. PayrollService compone el resultado y recibe DeductionPolicy mediante su constructor. PercentageDeductionPolicy aplica el 4% indicado y una tasa ARL provista desde configuración. El fondo de ahorro usa una interfaz aparte porque no aplica a todos los empleados.</w:t>
      </w:r>
    </w:p>
    <w:p>
      <w:pPr>
        <w:ind w:left="360" w:right="360"/>
      </w:pPr>
      <w:r>
        <w:rPr>
          <w:rFonts w:ascii="Consolas" w:hAnsi="Consolas"/>
          <w:color w:val="17365D"/>
          <w:sz w:val="18"/>
        </w:rPr>
        <w:t>Employee → { SalariedEmployee, HourlyEmployee, CommissionEmployee, TemporaryEmployee }</w:t>
        <w:br/>
        <w:t>HourlyEmployee → SavingsFundParticipant</w:t>
        <w:br/>
        <w:t>PayrollService → DeductionPolicy → PercentageDeductionPolicy</w:t>
        <w:br/>
        <w:t>PayrollService.calculate(Employee) → PayrollResult</w:t>
      </w:r>
    </w:p>
    <w:p>
      <w:pPr>
        <w:pStyle w:val="Heading2"/>
      </w:pPr>
      <w:r>
        <w:t>Aplicación de SOLID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00"/>
      </w:tblGrid>
      <w:tr>
        <w:tc>
          <w:tcPr>
            <w:tcW w:type="dxa" w:w="2232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20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Aplicación concreta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Responsabilidad única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Cada clase de empleado calcula sus ingresos; la política calcula deducciones; el servicio arma la liquidación; la demostración presenta los datos.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Abierto/cerrado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Un nuevo empleado puede implementarse como otro tipo Employee sin editar las reglas existentes.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Sustitución de Liskov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Los cuatro tipos entregan salario bruto y beneficios mediante el mismo contrato.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Segregación de interfaces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SavingsFundParticipant se implementa solo en el tipo que puede aportar al fondo.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Inversión de dependencias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PayrollService depende de DeductionPolicy y recibe la implementación por constructor.</w:t>
            </w:r>
          </w:p>
        </w:tc>
      </w:tr>
    </w:tbl>
    <w:p>
      <w:pPr>
        <w:spacing w:after="0"/>
      </w:pPr>
    </w:p>
    <w:p>
      <w:pPr>
        <w:pStyle w:val="Heading2"/>
      </w:pPr>
      <w:r>
        <w:t>Buenas prácticas y refactorización</w:t>
      </w:r>
    </w:p>
    <w:p>
      <w:r>
        <w:t>Separé las reglas de negocio en tipos cohesivos; Money reúne validaciones y redondeo; DeductionPolicy desacopla la configuración de tasas; BigDecimal evita errores de precisión típicos de punto flotante para dinero. Las validaciones rechazan horas o ventas negativas y el servicio rechaza un neto inferior a cero.</w:t>
      </w:r>
    </w:p>
    <w:p>
      <w:pPr>
        <w:pStyle w:val="Heading1"/>
      </w:pPr>
      <w:r>
        <w:t>4. Metodología aplicada</w:t>
      </w:r>
    </w:p>
    <w:p>
      <w:pPr>
        <w:pStyle w:val="ListNumber"/>
        <w:spacing w:after="60"/>
      </w:pPr>
      <w:r>
        <w:t>Análisis: extraje del enunciado actores, reglas y condiciones límite.</w:t>
      </w:r>
    </w:p>
    <w:p>
      <w:pPr>
        <w:pStyle w:val="ListNumber"/>
        <w:spacing w:after="60"/>
      </w:pPr>
      <w:r>
        <w:t>Diseño: definí el contrato Employee, tipos especializados y una política configurable de deducciones.</w:t>
      </w:r>
    </w:p>
    <w:p>
      <w:pPr>
        <w:pStyle w:val="ListNumber"/>
        <w:spacing w:after="60"/>
      </w:pPr>
      <w:r>
        <w:t>Implementación: codifiqué cada regla en el dominio y la composición del pago en PayrollService.</w:t>
      </w:r>
    </w:p>
    <w:p>
      <w:pPr>
        <w:pStyle w:val="ListNumber"/>
        <w:spacing w:after="60"/>
      </w:pPr>
      <w:r>
        <w:t>Verificación: añadí pruebas para los umbrales, errores de entrada y cálculos monetarios.</w:t>
      </w:r>
    </w:p>
    <w:p>
      <w:pPr>
        <w:pStyle w:val="ListNumber"/>
        <w:spacing w:after="60"/>
      </w:pPr>
      <w:r>
        <w:t>Demostración: ejecuté escenarios de los cuatro tipos con valores asumidos para los parámetros no definidos.</w:t>
      </w:r>
    </w:p>
    <w:p>
      <w:r>
        <w:t>Realicé estas etapas individualmente, desde el análisis del enunciado hasta la ejecución de las pruebas y la documentación de resultados.</w:t>
      </w:r>
    </w:p>
    <w:p>
      <w:pPr>
        <w:pStyle w:val="Heading1"/>
      </w:pPr>
      <w:r>
        <w:t>5. Pruebas unitarias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056"/>
      </w:tblGrid>
      <w:tr>
        <w:tc>
          <w:tcPr>
            <w:tcW w:type="dxa" w:w="2376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Caso</w:t>
            </w:r>
          </w:p>
        </w:tc>
        <w:tc>
          <w:tcPr>
            <w:tcW w:type="dxa" w:w="7056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Comprobación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Antigüedad asalariado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10% solo con más de cinco años; límite de cinco años exactos.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Empleado por horas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40 horas regulares y horas extra a 1.5; 4% social/pensión; ARL configurable; ahorro opcional.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Elegibilidad de ahorro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Más de un año y consentimiento explícito.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Bono por comisión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3% solo al superar COP 20.000.000; el valor exacto del umbral no activa el bono.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Alimentación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Beneficio de empresa separado del salario neto.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Temporal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Salario fijo sin beneficios adicionales.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Validaciones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Horas y ventas negativas, tasas fuera de rango y neto negativo se rechazan.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Redondeo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7"/>
              </w:rPr>
              <w:t>Montos redondeados a dos decimales con HALF_UP.</w:t>
            </w:r>
          </w:p>
        </w:tc>
      </w:tr>
    </w:tbl>
    <w:p>
      <w:pPr>
        <w:spacing w:after="0"/>
      </w:pPr>
    </w:p>
    <w:p>
      <w:r>
        <w:t>La ejecución del 31 de octubre de 2026 reportó 10 pruebas ejecutadas, 0 fallas, 0 errores y 0 omitidas. El registro está en docs/evidence/pruebas_maven_real.txt.</w:t>
      </w:r>
    </w:p>
    <w:p>
      <w:pPr>
        <w:pStyle w:val="Heading1"/>
      </w:pPr>
      <w:r>
        <w:t>6. Ejemplo de salida</w:t>
      </w:r>
    </w:p>
    <w:p>
      <w:r>
        <w:t>La demostración utiliza valores asumidos para los parámetros no especificados en el enunciado. Los registros y nombres que aparecen son ficticios y se usan con fines académicos.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440"/>
        <w:gridCol w:w="1440"/>
        <w:gridCol w:w="1440"/>
        <w:gridCol w:w="1224"/>
        <w:gridCol w:w="1080"/>
        <w:gridCol w:w="1440"/>
      </w:tblGrid>
      <w:tr>
        <w:tc>
          <w:tcPr>
            <w:tcW w:type="dxa" w:w="1224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Bruto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Beneficio empresa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SS + pensión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ARL demo</w:t>
            </w:r>
          </w:p>
        </w:tc>
        <w:tc>
          <w:tcPr>
            <w:tcW w:type="dxa" w:w="108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Ahorro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Neto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Asalariada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4.400.000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1.000.000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176.000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44.000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4.180.000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Por horas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950.000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38.000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9.500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19.000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883.500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Por comisión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5.000.000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1.000.000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200.000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50.000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4.750.000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Temporal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1.800.000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72.000</w:t>
            </w:r>
          </w:p>
        </w:tc>
        <w:tc>
          <w:tcPr>
            <w:tcW w:type="dxa" w:w="122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18.000</w:t>
            </w:r>
          </w:p>
        </w:tc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0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53247"/>
                <w:sz w:val="14"/>
              </w:rPr>
              <w:t>COP 1.710.000</w:t>
            </w:r>
          </w:p>
        </w:tc>
      </w:tr>
    </w:tbl>
    <w:p>
      <w:pPr>
        <w:spacing w:after="0"/>
      </w:pPr>
    </w:p>
    <w:p>
      <w:r>
        <w:t>Para los parámetros no definidos en el enunciado adopté supuestos de demostración.</w:t>
      </w:r>
    </w:p>
    <w:p>
      <w:pPr>
        <w:pStyle w:val="Heading1"/>
      </w:pPr>
      <w:r>
        <w:t>7. Capturas de evidencia</w:t>
      </w:r>
    </w:p>
    <w:p>
      <w:r>
        <w:t>Estas capturas registran la salida original producida por las ejecuciones locales del sistema y de las pruebas el 31 de octubre de 2026. Las rutas absolutas de esta computadora se omitieron del registro publicado.</w:t>
      </w:r>
    </w:p>
    <w:p>
      <w:r>
        <w:drawing>
          <wp:inline xmlns:a="http://schemas.openxmlformats.org/drawingml/2006/main" xmlns:pic="http://schemas.openxmlformats.org/drawingml/2006/picture">
            <wp:extent cx="6108192" cy="6428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jecucion_prueb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6428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B7B"/>
          <w:sz w:val="17"/>
        </w:rPr>
        <w:t>Figura 1. Salida de Maven: 10 pruebas ejecutadas y BUILD SUCCESS.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108192" cy="2036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jecucion_de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036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B7B"/>
          <w:sz w:val="17"/>
        </w:rPr>
        <w:t>Figura 2. Salida de la demostración de nómina para cuatro modalidades de empleo.</w:t>
      </w:r>
    </w:p>
    <w:p>
      <w:pPr>
        <w:pStyle w:val="Heading1"/>
      </w:pPr>
      <w:r>
        <w:t>8. Desarrollo individual y enlaces</w:t>
      </w:r>
    </w:p>
    <w:p>
      <w:r>
        <w:t>Realicé esta actividad y el desarrollo del sistema de manera individual. Organicé el trabajo en análisis, diseño orientado a objetos, implementación, pruebas y presentación de resultados.</w:t>
      </w:r>
    </w:p>
    <w:p>
      <w:r>
        <w:t xml:space="preserve">Video de exposición: </w:t>
      </w:r>
      <w:hyperlink r:id="rId13">
        <w:r>
          <w:rPr>
            <w:color w:val="2F75B5"/>
            <w:u w:val="single"/>
          </w:rPr>
          <w:t>https://youtu.be/EykNXmOPGHQ</w:t>
        </w:r>
      </w:hyperlink>
    </w:p>
    <w:p>
      <w:r>
        <w:t xml:space="preserve">Repositorio del proyecto: </w:t>
      </w:r>
      <w:hyperlink r:id="rId14">
        <w:r>
          <w:rPr>
            <w:color w:val="2F75B5"/>
            <w:u w:val="single"/>
          </w:rPr>
          <w:t>https://github.com/Nicand16/sistema-nomina-u3-java</w:t>
        </w:r>
      </w:hyperlink>
    </w:p>
    <w:p>
      <w:pPr>
        <w:pStyle w:val="Heading1"/>
      </w:pPr>
      <w:r>
        <w:t>9. Ejecución local</w:t>
      </w:r>
    </w:p>
    <w:p>
      <w:r>
        <w:rPr>
          <w:rFonts w:ascii="Consolas" w:hAnsi="Consolas"/>
          <w:sz w:val="18"/>
        </w:rPr>
        <w:t>mvn clean test</w:t>
        <w:br/>
        <w:t>java -cp target/classes co.edu.unicartagena.nomina.cli.PayrollDemo 1.0 5.0</w:t>
      </w:r>
    </w:p>
    <w:p>
      <w:r>
        <w:t>Para los parámetros no definidos en el enunciado adopté supuestos de demostración.</w:t>
      </w:r>
    </w:p>
    <w:p>
      <w:pPr>
        <w:pStyle w:val="Heading1"/>
      </w:pPr>
      <w:r>
        <w:t>Referencias técnicas</w:t>
      </w:r>
    </w:p>
    <w:p>
      <w:r>
        <w:t>Universidad de Cartagena. (s. f.). Actividad Unidad Tres [consigna en PDF proporcionada para esta actividad, 2 páginas].</w:t>
      </w:r>
    </w:p>
    <w:p>
      <w:r>
        <w:t>JUnit Team. (2024). JUnit 5 User Guide, version 5.11.4. https://docs.junit.org/5.11.4/user-guide/index.html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B7B"/>
        <w:sz w:val="16"/>
      </w:rPr>
      <w:t xml:space="preserve">Universidad de Cartagena · Ingeniería de Software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B7B"/>
        <w:sz w:val="16"/>
      </w:rPr>
      <w:t>ACTIVIDAD DE LA UNIDAD 3 · SISTEMA DE NÓMINA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youtu.be/EykNXmOPGHQ" TargetMode="External"/><Relationship Id="rId14" Type="http://schemas.openxmlformats.org/officeDocument/2006/relationships/hyperlink" Target="https://github.com/Nicand16/sistema-nomina-u3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