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Aptos Display" w:hAnsi="Aptos Display"/>
          <w:b/>
          <w:color w:val="17365D"/>
          <w:sz w:val="38"/>
        </w:rPr>
        <w:t>UNIVERSIDAD DE CARTAGENA</w:t>
      </w:r>
    </w:p>
    <w:p>
      <w:pPr>
        <w:jc w:val="center"/>
      </w:pPr>
      <w:r>
        <w:rPr>
          <w:color w:val="5A6B7B"/>
          <w:sz w:val="22"/>
        </w:rPr>
        <w:t>Ingeniería de Software · Periodo 2026-2</w:t>
      </w:r>
    </w:p>
    <w:p>
      <w:pPr>
        <w:spacing w:before="1160"/>
        <w:jc w:val="center"/>
      </w:pPr>
      <w:r>
        <w:rPr>
          <w:rFonts w:ascii="Aptos Display" w:hAnsi="Aptos Display"/>
          <w:b/>
          <w:color w:val="17365D"/>
          <w:sz w:val="56"/>
        </w:rPr>
        <w:t>Sistema de nómina</w:t>
        <w:br/>
        <w:t>orientado a objetos</w:t>
      </w:r>
    </w:p>
    <w:p>
      <w:pPr>
        <w:jc w:val="center"/>
      </w:pPr>
      <w:r>
        <w:rPr>
          <w:color w:val="2F75B5"/>
          <w:sz w:val="30"/>
        </w:rPr>
        <w:t>Informe técnico y evidencias de pruebas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Asignatura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Ingeniería de Software B1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Unidad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Unidad 3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Docente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Carlos Jose Caceres Ochoa (según tarjeta del curso en SIMA)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Estudiante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Nicolás Andrés Arnedo Puello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Modalidad reportada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Trabajo individual, sin compañeros participantes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Asistencia técnica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Codex apoyó en la implementación y documentación</w:t>
            </w:r>
          </w:p>
        </w:tc>
      </w:tr>
      <w:tr>
        <w:tc>
          <w:tcPr>
            <w:tcW w:type="dxa" w:w="2232"/>
            <w:shd w:fill="EAF2F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Fecha de preparación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8"/>
              </w:rPr>
              <w:t>31 de octubre de 2026</w:t>
            </w:r>
          </w:p>
        </w:tc>
      </w:tr>
    </w:tbl>
    <w:p>
      <w:pPr>
        <w:spacing w:before="520"/>
        <w:jc w:val="center"/>
      </w:pPr>
      <w:r>
        <w:rPr>
          <w:i/>
          <w:color w:val="5A6B7B"/>
          <w:sz w:val="18"/>
        </w:rPr>
        <w:t>Trabajo individual informado por el estudiante. La consigna menciona exposición por CIPA; validar si se acepta esta modalidad antes de entregar.</w:t>
      </w:r>
    </w:p>
    <w:p>
      <w:r>
        <w:br w:type="page"/>
      </w:r>
    </w:p>
    <w:p>
      <w:pPr>
        <w:pStyle w:val="Heading1"/>
      </w:pPr>
      <w:r>
        <w:t>Resumen</w:t>
      </w:r>
    </w:p>
    <w:p>
      <w:r>
        <w:t>Este informe documenta un sistema Java de nómina construido a partir de la consigna de la Unidad 3. El modelo implementa cuatro tipos de empleado, aplica las reglas expresas, valida entradas y evita salarios netos negativos. La suite local ejecutó 10 pruebas unitarias con 0 fallas, 0 errores y 0 casos omitidos.</w:t>
      </w:r>
    </w:p>
    <w:p>
      <w:r>
        <w:t>La consigna también exige una entrega en CIPA, un repositorio GitHub que muestre el control de versiones del grupo y un video de exposición en YouTube. El estudiante informa que trabajó sin compañeros. Codex asistió en código y documentos. El repositorio publicado es personal y no demuestra aportes grupales; el video no está grabado.</w:t>
      </w:r>
    </w:p>
    <w:p>
      <w:pPr>
        <w:pStyle w:val="Heading1"/>
      </w:pPr>
      <w:r>
        <w:t>1. Alcance y trazabilidad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5400"/>
        <w:gridCol w:w="1512"/>
      </w:tblGrid>
      <w:tr>
        <w:tc>
          <w:tcPr>
            <w:tcW w:type="dxa" w:w="252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Requisito de la consigna</w:t>
            </w:r>
          </w:p>
        </w:tc>
        <w:tc>
          <w:tcPr>
            <w:tcW w:type="dxa" w:w="540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Implementación o evidencia</w:t>
            </w:r>
          </w:p>
        </w:tc>
        <w:tc>
          <w:tcPr>
            <w:tcW w:type="dxa" w:w="1512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Programación orientada a objetos para cuatro tipos de empleado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Clases SalariedEmployee, HourlyEmployee, CommissionEmployee y TemporaryEmployee bajo el contrato Employee.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Implementado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Principios SOLID, código limpio y refactorización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Tipos cohesivos, interfaces estrechas y política de deducción inyectada.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Implementado en la solución local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Comentarios de código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Comentarios breves en decisiones no obvias; reglas documentadas en metodología.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Incluido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Pruebas unitarias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JUnit Jupiter y Maven Surefire; 10 casos ejecutados.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10 aprobadas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Describir metodología de desarrollo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Secuencia incremental de análisis, modelado, implementación y verificación.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Documentado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Repositorio GitHub con control de versiones del CIPA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Repositorio personal público; no acredita control de versiones de un grupo ni aportes de compañeros.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Validar si satisface la consigna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Video de YouTube exponiendo en CIPA</w:t>
            </w:r>
          </w:p>
        </w:tc>
        <w:tc>
          <w:tcPr>
            <w:tcW w:type="dxa" w:w="54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No se grabó video ni se inventó participación; la guía deja el espacio para realizarlo.</w:t>
            </w:r>
          </w:p>
        </w:tc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Pendiente del CIPA</w:t>
            </w:r>
          </w:p>
        </w:tc>
      </w:tr>
    </w:tbl>
    <w:p>
      <w:pPr>
        <w:spacing w:after="0"/>
      </w:pPr>
    </w:p>
    <w:p>
      <w:pPr>
        <w:pStyle w:val="Heading1"/>
      </w:pPr>
      <w:r>
        <w:t>2. Reglas de negocio implementadas</w:t>
      </w:r>
    </w:p>
    <w:p>
      <w:pPr>
        <w:pStyle w:val="Heading2"/>
      </w:pPr>
      <w:r>
        <w:t>Tipos de empleado</w:t>
      </w:r>
    </w:p>
    <w:p>
      <w:pPr>
        <w:pStyle w:val="ListBullet"/>
        <w:spacing w:after="60"/>
      </w:pPr>
      <w:r>
        <w:t>Asalariado: salario fijo mensual; suma un bono de 10% del salario fijo solo con más de cinco años de servicio. En cinco años exactos no aplica el bono.</w:t>
      </w:r>
    </w:p>
    <w:p>
      <w:pPr>
        <w:pStyle w:val="ListBullet"/>
        <w:spacing w:after="60"/>
      </w:pPr>
      <w:r>
        <w:t>Por horas: paga hasta 40 horas a tarifa base; las horas posteriores se liquidan a 1.5 veces la tarifa normal. No recibe bonos.</w:t>
      </w:r>
    </w:p>
    <w:p>
      <w:pPr>
        <w:pStyle w:val="ListBullet"/>
        <w:spacing w:after="60"/>
      </w:pPr>
      <w:r>
        <w:t>Por comisión: salario base más la comisión calculada con una tasa configurable. Si las ventas superan COP 20.000.000, agrega un bono de 3% de las ventas.</w:t>
      </w:r>
    </w:p>
    <w:p>
      <w:pPr>
        <w:pStyle w:val="ListBullet"/>
        <w:spacing w:after="60"/>
      </w:pPr>
      <w:r>
        <w:t>Temporal: salario fijo y duración contractual positiva; no recibe beneficios ni bonos adicionales.</w:t>
      </w:r>
    </w:p>
    <w:p>
      <w:pPr>
        <w:pStyle w:val="Heading2"/>
      </w:pPr>
      <w:r>
        <w:t>Deducciones y beneficios</w:t>
      </w:r>
    </w:p>
    <w:p>
      <w:pPr>
        <w:pStyle w:val="ListBullet"/>
        <w:spacing w:after="60"/>
      </w:pPr>
      <w:r>
        <w:t>Seguro social y pensión: 4% combinado del salario bruto, según la consigna.</w:t>
      </w:r>
    </w:p>
    <w:p>
      <w:pPr>
        <w:pStyle w:val="ListBullet"/>
        <w:spacing w:after="60"/>
      </w:pPr>
      <w:r>
        <w:t>ARL: se calcula con una tasa configurable sobre salario bruto en el modelo. El enunciado no incluye tasa ni base específica; ambas deben confirmarse antes de usar cifras reales.</w:t>
      </w:r>
    </w:p>
    <w:p>
      <w:pPr>
        <w:pStyle w:val="ListBullet"/>
        <w:spacing w:after="60"/>
      </w:pPr>
      <w:r>
        <w:t>Alimentación: COP 1.000.000 para empleados asalariados y por comisión, separado del pago neto porque lo cubre la empresa.</w:t>
      </w:r>
    </w:p>
    <w:p>
      <w:pPr>
        <w:pStyle w:val="ListBullet"/>
        <w:spacing w:after="60"/>
      </w:pPr>
      <w:r>
        <w:t>Ahorro: 2% para empleados por horas con más de un año y aceptación del fondo. La implementación lo descuenta del efectivo neto y lo registra como aporte; el grupo debe confirmar esta interpretación.</w:t>
      </w:r>
    </w:p>
    <w:p>
      <w:pPr>
        <w:pStyle w:val="Heading1"/>
      </w:pPr>
      <w:r>
        <w:t>3. Diseño y decisiones técnicas</w:t>
      </w:r>
    </w:p>
    <w:p>
      <w:r>
        <w:t>El sistema separa las reglas por tipo de empleado. PayrollService compone el resultado y recibe DeductionPolicy mediante su constructor. PercentageDeductionPolicy aplica el 4% indicado y una tasa ARL provista desde configuración. El fondo de ahorro usa una interfaz aparte porque no aplica a todos los empleados.</w:t>
      </w:r>
    </w:p>
    <w:p>
      <w:pPr>
        <w:ind w:left="360" w:right="360"/>
      </w:pPr>
      <w:r>
        <w:rPr>
          <w:rFonts w:ascii="Consolas" w:hAnsi="Consolas"/>
          <w:color w:val="17365D"/>
          <w:sz w:val="18"/>
        </w:rPr>
        <w:t>Employee → { SalariedEmployee, HourlyEmployee, CommissionEmployee, TemporaryEmployee }</w:t>
        <w:br/>
        <w:t>HourlyEmployee → SavingsFundParticipant</w:t>
        <w:br/>
        <w:t>PayrollService → DeductionPolicy → PercentageDeductionPolicy</w:t>
        <w:br/>
        <w:t>PayrollService.calculate(Employee) → PayrollResult</w:t>
      </w:r>
    </w:p>
    <w:p>
      <w:pPr>
        <w:pStyle w:val="Heading2"/>
      </w:pPr>
      <w:r>
        <w:t>Aplicación de SOLID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200"/>
      </w:tblGrid>
      <w:tr>
        <w:tc>
          <w:tcPr>
            <w:tcW w:type="dxa" w:w="2232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Principio</w:t>
            </w:r>
          </w:p>
        </w:tc>
        <w:tc>
          <w:tcPr>
            <w:tcW w:type="dxa" w:w="720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Aplicación concreta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Responsabilidad única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Cada clase de empleado calcula sus propios ingresos; la política calcula deducciones; el servicio arma la liquidación; la demo solo presenta datos.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Abierto/cerrado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Un nuevo empleado puede implementarse como otro tipo Employee sin editar las reglas existentes.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Sustitución de Liskov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Los cuatro tipos entregan salario bruto y beneficios mediante el mismo contrato.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Segregación de interfaces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SavingsFundParticipant se implementa solo en el tipo que puede aportar al fondo.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Inversión de dependencias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PayrollService depende de DeductionPolicy y recibe la implementación por constructor.</w:t>
            </w:r>
          </w:p>
        </w:tc>
      </w:tr>
    </w:tbl>
    <w:p>
      <w:pPr>
        <w:spacing w:after="0"/>
      </w:pPr>
    </w:p>
    <w:p>
      <w:pPr>
        <w:pStyle w:val="Heading2"/>
      </w:pPr>
      <w:r>
        <w:t>Buenas prácticas y refactorización</w:t>
      </w:r>
    </w:p>
    <w:p>
      <w:r>
        <w:t>Se evitó concentrar todas las condiciones en un único bloque condicional. Las reglas quedaron junto al tipo que las origina; Money reúne validaciones y redondeo; DeductionPolicy desacopla la configuración de tasas; BigDecimal evita errores de precisión típicos de punto flotante para dinero. Las validaciones rechazan horas o ventas negativas y el servicio rechaza un neto inferior a cero.</w:t>
      </w:r>
    </w:p>
    <w:p>
      <w:pPr>
        <w:pStyle w:val="Heading1"/>
      </w:pPr>
      <w:r>
        <w:t>4. Metodología aplicada</w:t>
      </w:r>
    </w:p>
    <w:p>
      <w:pPr>
        <w:pStyle w:val="ListNumber"/>
        <w:spacing w:after="60"/>
      </w:pPr>
      <w:r>
        <w:t>Análisis: transcribir del enunciado actores, reglas y condiciones límite.</w:t>
      </w:r>
    </w:p>
    <w:p>
      <w:pPr>
        <w:pStyle w:val="ListNumber"/>
        <w:spacing w:after="60"/>
      </w:pPr>
      <w:r>
        <w:t>Diseño: crear un contrato Employee, tipos especializados y una política configurable de deducciones.</w:t>
      </w:r>
    </w:p>
    <w:p>
      <w:pPr>
        <w:pStyle w:val="ListNumber"/>
        <w:spacing w:after="60"/>
      </w:pPr>
      <w:r>
        <w:t>Implementación: codificar cada regla en el dominio y la composición del pago en PayrollService.</w:t>
      </w:r>
    </w:p>
    <w:p>
      <w:pPr>
        <w:pStyle w:val="ListNumber"/>
        <w:spacing w:after="60"/>
      </w:pPr>
      <w:r>
        <w:t>Verificación: añadir pruebas para los umbrales, errores de entrada y cálculos monetarios.</w:t>
      </w:r>
    </w:p>
    <w:p>
      <w:pPr>
        <w:pStyle w:val="ListNumber"/>
        <w:spacing w:after="60"/>
      </w:pPr>
      <w:r>
        <w:t>Demostración: ejecutar escenarios de los cuatro tipos con tasas explícitas rotuladas como ilustrativas.</w:t>
      </w:r>
    </w:p>
    <w:p>
      <w:r>
        <w:t>La metodología describe esta preparación técnica local. No es evidencia de reuniones, tareas distribuidas ni decisiones ya tomadas por el CIPA.</w:t>
      </w:r>
    </w:p>
    <w:p>
      <w:pPr>
        <w:pStyle w:val="Heading1"/>
      </w:pPr>
      <w:r>
        <w:t>5. Pruebas unitarias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056"/>
      </w:tblGrid>
      <w:tr>
        <w:tc>
          <w:tcPr>
            <w:tcW w:type="dxa" w:w="2376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Caso</w:t>
            </w:r>
          </w:p>
        </w:tc>
        <w:tc>
          <w:tcPr>
            <w:tcW w:type="dxa" w:w="7056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Comprobación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Antigüedad asalariado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10% solo con más de cinco años; límite de cinco años exactos.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Empleado por horas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40 horas regulares y horas extra a 1.5; 4% social/pensión; ARL configurable; ahorro opcional.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Elegibilidad de ahorro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Más de un año y consentimiento explícito.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Bono por comisión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3% solo al superar COP 20.000.000; el valor exacto del umbral no activa el bono.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Alimentación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Beneficio de empresa separado del salario neto.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Temporal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Salario fijo sin beneficios adicionales.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Validaciones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Horas y ventas negativas, tasas fuera de rango y neto negativo se rechazan.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Redondeo</w:t>
            </w:r>
          </w:p>
        </w:tc>
        <w:tc>
          <w:tcPr>
            <w:tcW w:type="dxa" w:w="7056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7"/>
              </w:rPr>
              <w:t>Montos redondeados a dos decimales con HALF_UP.</w:t>
            </w:r>
          </w:p>
        </w:tc>
      </w:tr>
    </w:tbl>
    <w:p>
      <w:pPr>
        <w:spacing w:after="0"/>
      </w:pPr>
    </w:p>
    <w:p>
      <w:r>
        <w:t>Resultado de la última ejecución Maven Surefire/JUnit: 10 pruebas ejecutadas, 0 fallas, 0 errores, 0 omitidas; BUILD SUCCESS. El detalle íntegro está en docs/evidence/pruebas_maven.log y en target/surefire-reports.</w:t>
      </w:r>
    </w:p>
    <w:p>
      <w:pPr>
        <w:pStyle w:val="Heading1"/>
      </w:pPr>
      <w:r>
        <w:t>6. Ejemplo de salida</w:t>
      </w:r>
    </w:p>
    <w:p>
      <w:r>
        <w:t>La demostración recibió 1.0% como tasa ARL y 5.0% como tasa de comisión. Son valores de prueba; la consigna no proporciona las tasas. El comando exige que se ingresen explícitamente y no asume porcentajes por defecto. Los nombres y registros mostrados son ficticios y no representan empleados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440"/>
        <w:gridCol w:w="1440"/>
        <w:gridCol w:w="1440"/>
        <w:gridCol w:w="1224"/>
        <w:gridCol w:w="1080"/>
        <w:gridCol w:w="1440"/>
      </w:tblGrid>
      <w:tr>
        <w:tc>
          <w:tcPr>
            <w:tcW w:type="dxa" w:w="1224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44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Bruto</w:t>
            </w:r>
          </w:p>
        </w:tc>
        <w:tc>
          <w:tcPr>
            <w:tcW w:type="dxa" w:w="144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Beneficio empresa</w:t>
            </w:r>
          </w:p>
        </w:tc>
        <w:tc>
          <w:tcPr>
            <w:tcW w:type="dxa" w:w="144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SS + pensión</w:t>
            </w:r>
          </w:p>
        </w:tc>
        <w:tc>
          <w:tcPr>
            <w:tcW w:type="dxa" w:w="1224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ARL demo</w:t>
            </w:r>
          </w:p>
        </w:tc>
        <w:tc>
          <w:tcPr>
            <w:tcW w:type="dxa" w:w="108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Ahorro</w:t>
            </w:r>
          </w:p>
        </w:tc>
        <w:tc>
          <w:tcPr>
            <w:tcW w:type="dxa" w:w="1440"/>
            <w:shd w:fill="17365D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Neto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Asalariada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4.400.000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1.000.000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176.000</w:t>
            </w:r>
          </w:p>
        </w:tc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44.000</w:t>
            </w:r>
          </w:p>
        </w:tc>
        <w:tc>
          <w:tcPr>
            <w:tcW w:type="dxa" w:w="108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4.180.000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Por horas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950.000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38.000</w:t>
            </w:r>
          </w:p>
        </w:tc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9.500</w:t>
            </w:r>
          </w:p>
        </w:tc>
        <w:tc>
          <w:tcPr>
            <w:tcW w:type="dxa" w:w="108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19.000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883.500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Por comisión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5.000.000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1.000.000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200.000</w:t>
            </w:r>
          </w:p>
        </w:tc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50.000</w:t>
            </w:r>
          </w:p>
        </w:tc>
        <w:tc>
          <w:tcPr>
            <w:tcW w:type="dxa" w:w="108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4.750.000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Temporal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1.800.000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72.000</w:t>
            </w:r>
          </w:p>
        </w:tc>
        <w:tc>
          <w:tcPr>
            <w:tcW w:type="dxa" w:w="1224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18.000</w:t>
            </w:r>
          </w:p>
        </w:tc>
        <w:tc>
          <w:tcPr>
            <w:tcW w:type="dxa" w:w="108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0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53247"/>
                <w:sz w:val="14"/>
              </w:rPr>
              <w:t>COP 1.710.000</w:t>
            </w:r>
          </w:p>
        </w:tc>
      </w:tr>
    </w:tbl>
    <w:p>
      <w:pPr>
        <w:spacing w:after="0"/>
      </w:pPr>
    </w:p>
    <w:p>
      <w:r>
        <w:t>La tasa del ahorro y la tasa social/pensión derivan del enunciado; el fondo de ahorro se muestra separado de la deducción legal. La ARL y comisión aparecen marcadas como parámetros ilustrativos.</w:t>
      </w:r>
    </w:p>
    <w:p>
      <w:pPr>
        <w:pStyle w:val="Heading1"/>
      </w:pPr>
      <w:r>
        <w:t>7. Capturas de evidencia</w:t>
      </w:r>
    </w:p>
    <w:p>
      <w:r>
        <w:t>Las capturas corresponden a páginas locales de evidencia generadas a partir del XML real de Maven Surefire y de la salida guardada de PayrollDemo. Se capturaron el 31 de octubre de 2026 con Microsoft Edge y Playwright. No representan una prueba de colaboración, un repositorio remoto ni un video.</w:t>
      </w:r>
    </w:p>
    <w:p>
      <w:r>
        <w:drawing>
          <wp:inline xmlns:a="http://schemas.openxmlformats.org/drawingml/2006/main" xmlns:pic="http://schemas.openxmlformats.org/drawingml/2006/picture">
            <wp:extent cx="6108192" cy="4199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uebas_unitar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8192" cy="4199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A6B7B"/>
          <w:sz w:val="17"/>
        </w:rPr>
        <w:t>Figura 1. Vista de evidencia construida a partir del reporte XML de las 10 pruebas unitarias.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108192" cy="4199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mostracion_nomi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8192" cy="4199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A6B7B"/>
          <w:sz w:val="17"/>
        </w:rPr>
        <w:t>Figura 2. Vista de los resultados exactos guardados por PayrollDemo; tasas ARL y de comisión ilustrativas.</w:t>
      </w:r>
    </w:p>
    <w:p>
      <w:pPr>
        <w:pStyle w:val="Heading1"/>
      </w:pPr>
      <w:r>
        <w:t>8. Pendientes de validación y entrega</w:t>
      </w:r>
    </w:p>
    <w:p>
      <w:pPr>
        <w:pStyle w:val="ListBullet"/>
        <w:spacing w:after="60"/>
      </w:pPr>
      <w:r>
        <w:t>Confirmar con el docente o las instrucciones del curso si aceptan la modalidad individual, porque la consigna menciona una exposición por CIPA.</w:t>
      </w:r>
    </w:p>
    <w:p>
      <w:pPr>
        <w:pStyle w:val="ListBullet"/>
        <w:spacing w:after="60"/>
      </w:pPr>
      <w:r>
        <w:t>Acordar con el docente o la empresa la tasa ARL, su base, la tasa de comisión y la interpretación del fondo de ahorro.</w:t>
      </w:r>
    </w:p>
    <w:p>
      <w:pPr>
        <w:pStyle w:val="ListBullet"/>
        <w:spacing w:after="60"/>
      </w:pPr>
      <w:r>
        <w:t>El repositorio actual es personal y no demuestra participación de un CIPA; confirmar si cumple el requisito de control de versiones grupal.</w:t>
      </w:r>
    </w:p>
    <w:p>
      <w:pPr>
        <w:pStyle w:val="ListBullet"/>
        <w:spacing w:after="60"/>
      </w:pPr>
      <w:r>
        <w:t>Preparar y grabar la exposición real que corresponda a la modalidad aceptada, y agregar el enlace auténtico si se mantiene el requisito de YouTube.</w:t>
      </w:r>
    </w:p>
    <w:p>
      <w:pPr>
        <w:pStyle w:val="ListBullet"/>
        <w:spacing w:after="60"/>
      </w:pPr>
      <w:r>
        <w:t>Generar el PDF final revisado y cargarlo en SIMA antes del 1 de noviembre de 2026 a las 23:59, según la captura compartida.</w:t>
      </w:r>
    </w:p>
    <w:p>
      <w:r>
        <w:t>No se atribuyen aportes a compañeros ni se afirma que la exposición haya sido grabada. La entrega no se declara completa mientras la modalidad y los requisitos pendientes no se validen.</w:t>
      </w:r>
    </w:p>
    <w:p>
      <w:pPr>
        <w:pStyle w:val="Heading1"/>
      </w:pPr>
      <w:r>
        <w:t>9. Ejecución local</w:t>
      </w:r>
    </w:p>
    <w:p>
      <w:r>
        <w:rPr>
          <w:rFonts w:ascii="Consolas" w:hAnsi="Consolas"/>
          <w:sz w:val="18"/>
        </w:rPr>
        <w:t>mvn clean test</w:t>
        <w:br/>
        <w:t>java -cp target/classes co.edu.unicartagena.nomina.cli.PayrollDemo 1.0 5.0</w:t>
      </w:r>
    </w:p>
    <w:p>
      <w:r>
        <w:t>En el segundo comando, sustituya ambas tasas solo por valores acordados. Los parámetros del ejemplo son ilustrativos.</w:t>
      </w:r>
    </w:p>
    <w:p>
      <w:pPr>
        <w:pStyle w:val="Heading1"/>
      </w:pPr>
      <w:r>
        <w:t>Referencias técnicas</w:t>
      </w:r>
    </w:p>
    <w:p>
      <w:r>
        <w:t>Universidad de Cartagena. (s. f.). Actividad Unidad Tres [consigna en PDF proporcionada para esta tarea, 2 páginas].</w:t>
      </w:r>
    </w:p>
    <w:p>
      <w:r>
        <w:t>JUnit Team. (2025). JUnit 5 User Guide. https://docs.junit.org/5.12.1/user-guide/index.html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79" w:right="1123" w:bottom="965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6B7B"/>
        <w:sz w:val="16"/>
      </w:rPr>
      <w:t xml:space="preserve">Universidad de Cartagena · Ingeniería de Software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A6B7B"/>
        <w:sz w:val="16"/>
      </w:rPr>
      <w:t>ACTIVIDAD DE LA UNIDAD 3 · SISTEMA DE NÓMINA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