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before="1400"/>
        <w:jc w:val="center"/>
      </w:pPr>
      <w:r>
        <w:rPr>
          <w:b/>
          <w:bCs/>
          <w:color w:val="14453B"/>
          <w:sz w:val="48"/>
          <w:szCs w:val="48"/>
        </w:rPr>
        <w:t xml:space="preserve">E-COMMERCE SATIŞ ANALİZİ</w:t>
      </w:r>
    </w:p>
    <w:p>
      <w:pPr>
        <w:spacing w:after="400"/>
        <w:jc w:val="center"/>
      </w:pPr>
      <w:r>
        <w:rPr>
          <w:color w:val="595959"/>
          <w:sz w:val="26"/>
          <w:szCs w:val="26"/>
        </w:rPr>
        <w:t xml:space="preserve">Onlayn Pərakəndə Satış Datası üzrə Hərtərəfli Biznes Analitikası Hesabatı</w:t>
      </w:r>
    </w:p>
    <w:p>
      <w:pPr>
        <w:spacing w:after="60"/>
        <w:jc w:val="center"/>
      </w:pPr>
      <w:r>
        <w:rPr>
          <w:color w:val="595959"/>
          <w:sz w:val="20"/>
          <w:szCs w:val="20"/>
        </w:rPr>
        <w:t xml:space="preserve">Dövr: Dekabr 2010 – Dekabr 2011  |  UK əsaslı onlayn hədiyyə mağazası</w:t>
      </w:r>
    </w:p>
    <w:p>
      <w:pPr>
        <w:spacing w:after="1400"/>
        <w:jc w:val="center"/>
      </w:pPr>
      <w:r>
        <w:rPr>
          <w:i/>
          <w:iCs/>
          <w:color w:val="999999"/>
          <w:sz w:val="18"/>
          <w:szCs w:val="18"/>
        </w:rPr>
        <w:t xml:space="preserve">Python (pandas, scikit-learn, matplotlib) əsasında hazırlanmışdır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38"/>
        <w:gridCol w:w="2338"/>
        <w:gridCol w:w="2338"/>
        <w:gridCol w:w="2338"/>
      </w:tblGrid>
      <w:tr>
        <w:tc>
          <w:tcPr>
            <w:tcW w:type="pct" w:w="25%"/>
            <w:shd w:fill="EAF3F1" w:val="clear"/>
            <w:tcMar>
              <w:top w:type="dxa" w:w="150"/>
              <w:left w:type="dxa" w:w="120"/>
              <w:bottom w:type="dxa" w:w="150"/>
              <w:right w:type="dxa" w:w="120"/>
            </w:tcMar>
          </w:tcPr>
          <w:p>
            <w:pPr>
              <w:spacing w:after="60"/>
              <w:jc w:val="center"/>
            </w:pPr>
            <w:r>
              <w:rPr>
                <w:b/>
                <w:bCs/>
                <w:color w:val="14453B"/>
                <w:sz w:val="28"/>
                <w:szCs w:val="28"/>
              </w:rPr>
              <w:t xml:space="preserve">£9,970,953</w:t>
            </w:r>
          </w:p>
          <w:p>
            <w:pPr>
              <w:jc w:val="center"/>
            </w:pPr>
            <w:r>
              <w:rPr>
                <w:color w:val="595959"/>
                <w:sz w:val="18"/>
                <w:szCs w:val="18"/>
              </w:rPr>
              <w:t xml:space="preserve">Ümumi Gəlir</w:t>
            </w:r>
          </w:p>
        </w:tc>
        <w:tc>
          <w:tcPr>
            <w:tcW w:type="pct" w:w="25%"/>
            <w:shd w:fill="EAF3F1" w:val="clear"/>
            <w:tcMar>
              <w:top w:type="dxa" w:w="150"/>
              <w:left w:type="dxa" w:w="120"/>
              <w:bottom w:type="dxa" w:w="150"/>
              <w:right w:type="dxa" w:w="120"/>
            </w:tcMar>
          </w:tcPr>
          <w:p>
            <w:pPr>
              <w:spacing w:after="60"/>
              <w:jc w:val="center"/>
            </w:pPr>
            <w:r>
              <w:rPr>
                <w:b/>
                <w:bCs/>
                <w:color w:val="14453B"/>
                <w:sz w:val="28"/>
                <w:szCs w:val="28"/>
              </w:rPr>
              <w:t xml:space="preserve">19,711</w:t>
            </w:r>
          </w:p>
          <w:p>
            <w:pPr>
              <w:jc w:val="center"/>
            </w:pPr>
            <w:r>
              <w:rPr>
                <w:color w:val="595959"/>
                <w:sz w:val="18"/>
                <w:szCs w:val="18"/>
              </w:rPr>
              <w:t xml:space="preserve">Sifariş sayı</w:t>
            </w:r>
          </w:p>
        </w:tc>
        <w:tc>
          <w:tcPr>
            <w:tcW w:type="pct" w:w="25%"/>
            <w:shd w:fill="EAF3F1" w:val="clear"/>
            <w:tcMar>
              <w:top w:type="dxa" w:w="150"/>
              <w:left w:type="dxa" w:w="120"/>
              <w:bottom w:type="dxa" w:w="150"/>
              <w:right w:type="dxa" w:w="120"/>
            </w:tcMar>
          </w:tcPr>
          <w:p>
            <w:pPr>
              <w:spacing w:after="60"/>
              <w:jc w:val="center"/>
            </w:pPr>
            <w:r>
              <w:rPr>
                <w:b/>
                <w:bCs/>
                <w:color w:val="14453B"/>
                <w:sz w:val="28"/>
                <w:szCs w:val="28"/>
              </w:rPr>
              <w:t xml:space="preserve">4,333</w:t>
            </w:r>
          </w:p>
          <w:p>
            <w:pPr>
              <w:jc w:val="center"/>
            </w:pPr>
            <w:r>
              <w:rPr>
                <w:color w:val="595959"/>
                <w:sz w:val="18"/>
                <w:szCs w:val="18"/>
              </w:rPr>
              <w:t xml:space="preserve">Müştəri sayı</w:t>
            </w:r>
          </w:p>
        </w:tc>
        <w:tc>
          <w:tcPr>
            <w:tcW w:type="pct" w:w="25%"/>
            <w:shd w:fill="EAF3F1" w:val="clear"/>
            <w:tcMar>
              <w:top w:type="dxa" w:w="150"/>
              <w:left w:type="dxa" w:w="120"/>
              <w:bottom w:type="dxa" w:w="150"/>
              <w:right w:type="dxa" w:w="120"/>
            </w:tcMar>
          </w:tcPr>
          <w:p>
            <w:pPr>
              <w:spacing w:after="60"/>
              <w:jc w:val="center"/>
            </w:pPr>
            <w:r>
              <w:rPr>
                <w:b/>
                <w:bCs/>
                <w:color w:val="14453B"/>
                <w:sz w:val="28"/>
                <w:szCs w:val="28"/>
              </w:rPr>
              <w:t xml:space="preserve">3,914</w:t>
            </w:r>
          </w:p>
          <w:p>
            <w:pPr>
              <w:jc w:val="center"/>
            </w:pPr>
            <w:r>
              <w:rPr>
                <w:color w:val="595959"/>
                <w:sz w:val="18"/>
                <w:szCs w:val="18"/>
              </w:rPr>
              <w:t xml:space="preserve">Məhsul sayı</w:t>
            </w:r>
          </w:p>
        </w:tc>
      </w:tr>
    </w:tbl>
    <w:p>
      <w:r>
        <w:br w:type="page"/>
      </w:r>
    </w:p>
    <w:p>
      <w:pPr>
        <w:pStyle w:val="Heading1"/>
        <w:spacing w:after="200" w:before="400"/>
      </w:pPr>
      <w:r>
        <w:t xml:space="preserve">İcmal (Executive Summary)</w:t>
      </w:r>
    </w:p>
    <w:p>
      <w:pPr>
        <w:spacing w:after="160"/>
      </w:pPr>
      <w:r>
        <w:t xml:space="preserve">Bu hesabat, 2010-cü il dekabrdan 2011-ci il dekabrına qədər (12 ay) fəaliyyət göstərən UK əsaslı bir onlayn hədiyyə/dekorasiya mağazasının 19,711 sifarişini, 3,914 məhsulunu və 4,333 müştərisini əhatə edən tam satış datasının analizini təqdim edir. Analiz Python (pandas, scikit-learn) mühitində aparılmış, data təmizlənmə, kəşfiyyat analizi (EDA), müştəri seqmentasiyası (RFM), kohort analizi və sadə proqnozlaşdırma modelini əhatə edir.</w:t>
      </w:r>
    </w:p>
    <w:p>
      <w:pPr>
        <w:pStyle w:val="Heading2"/>
        <w:spacing w:after="150" w:before="300"/>
      </w:pPr>
      <w:r>
        <w:t xml:space="preserve">Əsas Tapıntılar</w:t>
      </w:r>
    </w:p>
    <w:p>
      <w:pPr>
        <w:pStyle w:val="ListParagraph"/>
        <w:numPr>
          <w:ilvl w:val="0"/>
          <w:numId w:val="1"/>
        </w:numPr>
        <w:spacing w:after="100"/>
      </w:pPr>
      <w:r>
        <w:t xml:space="preserve">Ümumi təmizlənmiş gəlir £9,970,953 təşkil edir; bunun 84.8%-i Birləşmiş Krallıqdan gəlir — bazar ciddi şəkildə tək ölkəyə bağlıdır.</w:t>
      </w:r>
    </w:p>
    <w:p>
      <w:pPr>
        <w:pStyle w:val="ListParagraph"/>
        <w:numPr>
          <w:ilvl w:val="0"/>
          <w:numId w:val="1"/>
        </w:numPr>
        <w:spacing w:after="100"/>
      </w:pPr>
      <w:r>
        <w:t xml:space="preserve">Sentyabr–Noyabr aylarında gəlir kəskin artır (bayram öncəsi mövsüm effekti) — Noyabr ayı ilin ən güclü ayıdır.</w:t>
      </w:r>
    </w:p>
    <w:p>
      <w:pPr>
        <w:pStyle w:val="ListParagraph"/>
        <w:numPr>
          <w:ilvl w:val="0"/>
          <w:numId w:val="1"/>
        </w:numPr>
        <w:spacing w:after="100"/>
      </w:pPr>
      <w:r>
        <w:t xml:space="preserve">Məhsulların cəmi 21.6%-i (867 məhsul) ümumi gəlirin 80%-ni yaradır (ABC/Pareto analizi) — stok və marketinq resursları bu qrupa fokuslanmalıdır.</w:t>
      </w:r>
    </w:p>
    <w:p>
      <w:pPr>
        <w:pStyle w:val="ListParagraph"/>
        <w:numPr>
          <w:ilvl w:val="0"/>
          <w:numId w:val="1"/>
        </w:numPr>
        <w:spacing w:after="100"/>
      </w:pPr>
      <w:r>
        <w:t xml:space="preserve">Müştəri bazasının yalnız 44.9%-i aktiv/sadiq statusdadır (VIP + Loyal); qalanı risk altında və ya itmiş vəziyyətdədir.</w:t>
      </w:r>
    </w:p>
    <w:p>
      <w:pPr>
        <w:pStyle w:val="ListParagraph"/>
        <w:numPr>
          <w:ilvl w:val="0"/>
          <w:numId w:val="1"/>
        </w:numPr>
        <w:spacing w:after="100"/>
      </w:pPr>
      <w:r>
        <w:t xml:space="preserve">İlk dəfə alış-veriş edən müştərilərin yalnız 36.3%-i 1 ay sonra geri qayıdır — ən böyük müştəri itkisi ilk ay ərzində baş verir.</w:t>
      </w:r>
    </w:p>
    <w:p>
      <w:pPr>
        <w:pStyle w:val="ListParagraph"/>
        <w:numPr>
          <w:ilvl w:val="0"/>
          <w:numId w:val="1"/>
        </w:numPr>
        <w:spacing w:after="100"/>
      </w:pPr>
      <w:r>
        <w:t xml:space="preserve">Dərin data-keyfiyyəti araşdırması nəticəsində, satış edilib bir neçə dəqiqə sonra tam ləğv edilmiş sifarişlər aşkarlanıb: bu, £315,092 dəyərində "xəyali" gəliri düzəltdi.</w:t>
      </w:r>
    </w:p>
    <w:p>
      <w:pPr>
        <w:pStyle w:val="Heading1"/>
        <w:spacing w:after="200" w:before="400"/>
      </w:pPr>
      <w:r>
        <w:t xml:space="preserve">1. Metodologiya və Data Keyfiyyəti</w:t>
      </w:r>
    </w:p>
    <w:p>
      <w:pPr>
        <w:spacing w:after="160"/>
      </w:pPr>
      <w:r>
        <w:t xml:space="preserve">Analiz üçün istifadə olunan xam dataset 541,909 tranzaksiya sətrindən ibarət idi. Təmizləmə prosesi bir neçə mərhələdə aparılmışdır:</w:t>
      </w:r>
    </w:p>
    <w:p>
      <w:pPr>
        <w:pStyle w:val="ListParagraph"/>
        <w:numPr>
          <w:ilvl w:val="0"/>
          <w:numId w:val="1"/>
        </w:numPr>
        <w:spacing w:after="100"/>
      </w:pPr>
      <w:r>
        <w:t xml:space="preserve">Ləğv edilmiş sifarişlər (InvoiceNo "C" prefiksli), mənfi/sıfır miqdar və qiymət dəyərləri, boş məhsul adları çıxarıldı.</w:t>
      </w:r>
    </w:p>
    <w:p>
      <w:pPr>
        <w:pStyle w:val="ListParagraph"/>
        <w:numPr>
          <w:ilvl w:val="0"/>
          <w:numId w:val="1"/>
        </w:numPr>
        <w:spacing w:after="100"/>
      </w:pPr>
      <w:r>
        <w:t xml:space="preserve">Çatdırılma haqqı, mühasibat düzəlişi kimi qeyri-məhsul sətirləri (POSTAGE, Manual, CARRIAGE, Adjust bad debt və s.) ayrıldı.</w:t>
      </w:r>
    </w:p>
    <w:p>
      <w:pPr>
        <w:pStyle w:val="ListParagraph"/>
        <w:numPr>
          <w:ilvl w:val="0"/>
          <w:numId w:val="1"/>
        </w:numPr>
        <w:spacing w:after="100"/>
      </w:pPr>
      <w:r>
        <w:t xml:space="preserve">Dərin yoxlama: hər ləğv (cancellation) sətri, uyğun gələn orijinal satışla (eyni müştəri + məhsul + miqdar + tarix) əlaqələndirilib, satış-sonra-dərhal-ləğv halları əsas datadan çıxarıldı.</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4E5" w:val="clear"/>
            <w:tcMar>
              <w:top w:type="dxa" w:w="180"/>
              <w:left w:type="dxa" w:w="220"/>
              <w:bottom w:type="dxa" w:w="180"/>
              <w:right w:type="dxa" w:w="220"/>
            </w:tcMar>
          </w:tcPr>
          <w:p>
            <w:pPr>
              <w:spacing w:after="80"/>
            </w:pPr>
            <w:r>
              <w:rPr>
                <w:b/>
                <w:bCs/>
                <w:color w:val="9C5700"/>
                <w:sz w:val="21"/>
                <w:szCs w:val="21"/>
              </w:rPr>
              <w:t xml:space="preserve">Diqqətəlayiq tapıntı — Data Keyfiyyəti Dərin Araşdırması</w:t>
            </w:r>
          </w:p>
          <w:p>
            <w:r>
              <w:rPr>
                <w:color w:val="5C4400"/>
                <w:sz w:val="20"/>
                <w:szCs w:val="20"/>
              </w:rPr>
              <w:t xml:space="preserve">İlkin təmizləmədən sonra da, iki müştərinin (bir neçə min ədədlik) nəhəng sifarişləri Top-10 məhsul siyahısında görünürdü. Araşdırma göstərdi ki, bu sifarişlər verildikdən 12–16 dəqiqə sonra tamamilə ləğv edilmişdi — yəni real gəlir deyildi. Sistemli yoxlama ilə bənzər halların hamısı tapılıb çıxarıldı: nəticədə £315,092 dəyərində "xəyali" gəlir düzəldildi (ümumi gəlirin 3.1%-i). Bu, səthi təmizləmənin (yalnız "C" prefiksinə baxmaq) kifayət etmədiyini, biznes qərarlarının dərin yoxlama tələb etdiyini göstərir.</w:t>
            </w:r>
          </w:p>
        </w:tc>
      </w:tr>
    </w:tbl>
    <w:p>
      <w:pPr>
        <w:spacing w:after="200"/>
      </w:pPr>
    </w:p>
    <w:p>
      <w:pPr>
        <w:pStyle w:val="Heading1"/>
        <w:spacing w:after="200" w:before="400"/>
      </w:pPr>
      <w:r>
        <w:t xml:space="preserve">2. Satış Trendləri</w:t>
      </w:r>
    </w:p>
    <w:p>
      <w:pPr>
        <w:spacing w:after="160"/>
      </w:pPr>
      <w:r>
        <w:t xml:space="preserve">Aylıq gəlir trendi aydın bir mövsümi naxış göstərir: ilin ilk yarısında nisbətən sabit səviyyə, sentyabr ayından başlayaraq isə kəskin artım.</w:t>
      </w:r>
    </w:p>
    <w:p>
      <w:pPr>
        <w:spacing w:after="200"/>
        <w:jc w:val="center"/>
      </w:pPr>
      <w:r>
        <w:drawing>
          <wp:inline distT="0" distB="0" distL="0" distR="0">
            <wp:extent cx="5334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667000"/>
                    </a:xfrm>
                    <a:prstGeom prst="rect">
                      <a:avLst/>
                    </a:prstGeom>
                  </pic:spPr>
                </pic:pic>
              </a:graphicData>
            </a:graphic>
          </wp:inline>
        </w:drawing>
      </w:r>
    </w:p>
    <w:p>
      <w:pPr>
        <w:spacing w:after="160"/>
      </w:pPr>
      <w:r>
        <w:t xml:space="preserve">Noyabr 2011 ilin ən güclü ayı olub (£1,449,923-ə yaxın gəlir) — bu, bayram öncəsi alış-veriş mövsümünü əks etdirir. Dekabr 2011 (yalnız 9 günə qədər data mövcud olduğu üçün) müqayisədən çıxarılıb ki, natamam ay səhv nəticəyə səbəb olmasın.</w:t>
      </w:r>
    </w:p>
    <w:p>
      <w:pPr>
        <w:pStyle w:val="Heading2"/>
        <w:spacing w:after="150" w:before="300"/>
      </w:pPr>
      <w:r>
        <w:t xml:space="preserve">Sadə Xətti Proqnoz</w:t>
      </w:r>
    </w:p>
    <w:p>
      <w:pPr>
        <w:spacing w:after="160"/>
      </w:pPr>
      <w:r>
        <w:t xml:space="preserve">12 aylıq trend əsasında qurulan sadə xətti reqressiya modeli, gələcək aylar üçün aşağıdakı proqnozu verir:</w:t>
      </w:r>
    </w:p>
    <w:p>
      <w:pPr>
        <w:pStyle w:val="ListParagraph"/>
        <w:numPr>
          <w:ilvl w:val="0"/>
          <w:numId w:val="1"/>
        </w:numPr>
        <w:spacing w:after="100"/>
      </w:pPr>
      <w:r>
        <w:t xml:space="preserve">Dekabr 2011 (tam ay olsaydı): £1,159,035</w:t>
      </w:r>
    </w:p>
    <w:p>
      <w:pPr>
        <w:pStyle w:val="ListParagraph"/>
        <w:numPr>
          <w:ilvl w:val="0"/>
          <w:numId w:val="1"/>
        </w:numPr>
        <w:spacing w:after="100"/>
      </w:pPr>
      <w:r>
        <w:t xml:space="preserve">Yanvar 2012: £1,215,242</w:t>
      </w:r>
    </w:p>
    <w:p>
      <w:pPr>
        <w:pStyle w:val="ListParagraph"/>
        <w:numPr>
          <w:ilvl w:val="0"/>
          <w:numId w:val="1"/>
        </w:numPr>
        <w:spacing w:after="100"/>
      </w:pPr>
      <w:r>
        <w:t xml:space="preserve">Fevral 2012: £1,271,449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4E5" w:val="clear"/>
            <w:tcMar>
              <w:top w:type="dxa" w:w="180"/>
              <w:left w:type="dxa" w:w="220"/>
              <w:bottom w:type="dxa" w:w="180"/>
              <w:right w:type="dxa" w:w="220"/>
            </w:tcMar>
          </w:tcPr>
          <w:p>
            <w:pPr>
              <w:spacing w:after="80"/>
            </w:pPr>
            <w:r>
              <w:rPr>
                <w:b/>
                <w:bCs/>
                <w:color w:val="9C5700"/>
                <w:sz w:val="21"/>
                <w:szCs w:val="21"/>
              </w:rPr>
              <w:t xml:space="preserve">Metodoloji məhdudiyyət</w:t>
            </w:r>
          </w:p>
          <w:p>
            <w:r>
              <w:rPr>
                <w:color w:val="5C4400"/>
                <w:sz w:val="20"/>
                <w:szCs w:val="20"/>
              </w:rPr>
              <w:t xml:space="preserve">Bu model yalnız xətti trendi tutur, mövsümi dalğalanmaları (məs. bayram öncəsi kəskin artım, yayın nisbi sakitliyi) nəzərə almır. Daha dəqiq proqnoz üçün mövsümi modellər (məs. SARIMA) tövsiyə olunur; hazırkı nəticə ümumi artım istiqamətini göstərmək üçün başlanğıc nöqtədir.</w:t>
            </w:r>
          </w:p>
        </w:tc>
      </w:tr>
    </w:tbl>
    <w:p>
      <w:pPr>
        <w:spacing w:after="200"/>
      </w:pPr>
    </w:p>
    <w:p>
      <w:r>
        <w:br w:type="page"/>
      </w:r>
    </w:p>
    <w:p>
      <w:pPr>
        <w:pStyle w:val="Heading1"/>
        <w:spacing w:after="200" w:before="400"/>
      </w:pPr>
      <w:r>
        <w:t xml:space="preserve">3. Məhsul Analizi</w:t>
      </w:r>
    </w:p>
    <w:p>
      <w:pPr>
        <w:pStyle w:val="Heading2"/>
        <w:spacing w:after="150" w:before="300"/>
      </w:pPr>
      <w:r>
        <w:t xml:space="preserve">Top 10 Məhsul (Gəlirə görə)</w:t>
      </w:r>
    </w:p>
    <w:p>
      <w:pPr>
        <w:spacing w:after="200"/>
        <w:jc w:val="center"/>
      </w:pPr>
      <w:r>
        <w:drawing>
          <wp:inline distT="0" distB="0" distL="0" distR="0">
            <wp:extent cx="53340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32385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50"/>
      </w:tblGrid>
      <w:tr>
        <w:tc>
          <w:tcPr>
            <w:tcW w:type="pct" w:w="64%"/>
            <w:shd w:fill="1F6F5C" w:val="clear"/>
            <w:tcMar>
              <w:top w:type="dxa" w:w="100"/>
              <w:left w:type="dxa" w:w="120"/>
              <w:bottom w:type="dxa" w:w="100"/>
              <w:right w:type="dxa" w:w="120"/>
            </w:tcMar>
          </w:tcPr>
          <w:p>
            <w:r>
              <w:rPr>
                <w:b/>
                <w:bCs/>
                <w:color w:val="FFFFFF"/>
                <w:sz w:val="20"/>
                <w:szCs w:val="20"/>
              </w:rPr>
              <w:t xml:space="preserve">Məhsul</w:t>
            </w:r>
          </w:p>
        </w:tc>
        <w:tc>
          <w:tcPr>
            <w:tcW w:type="pct" w:w="36%"/>
            <w:shd w:fill="1F6F5C" w:val="clear"/>
            <w:tcMar>
              <w:top w:type="dxa" w:w="100"/>
              <w:left w:type="dxa" w:w="120"/>
              <w:bottom w:type="dxa" w:w="100"/>
              <w:right w:type="dxa" w:w="120"/>
            </w:tcMar>
          </w:tcPr>
          <w:p>
            <w:r>
              <w:rPr>
                <w:b/>
                <w:bCs/>
                <w:color w:val="FFFFFF"/>
                <w:sz w:val="20"/>
                <w:szCs w:val="20"/>
              </w:rPr>
              <w:t xml:space="preserve">Gəlir (£)</w:t>
            </w:r>
          </w:p>
        </w:tc>
      </w:tr>
      <w:tr>
        <w:tc>
          <w:tcPr>
            <w:tcW w:type="pct" w:w="64%"/>
            <w:tcMar>
              <w:top w:type="dxa" w:w="90"/>
              <w:left w:type="dxa" w:w="120"/>
              <w:bottom w:type="dxa" w:w="90"/>
              <w:right w:type="dxa" w:w="120"/>
            </w:tcMar>
          </w:tcPr>
          <w:p>
            <w:r>
              <w:rPr>
                <w:sz w:val="20"/>
                <w:szCs w:val="20"/>
              </w:rPr>
              <w:t xml:space="preserve">REGENCY CAKESTAND 3 TIER</w:t>
            </w:r>
          </w:p>
        </w:tc>
        <w:tc>
          <w:tcPr>
            <w:tcW w:type="pct" w:w="36%"/>
            <w:tcMar>
              <w:top w:type="dxa" w:w="90"/>
              <w:left w:type="dxa" w:w="120"/>
              <w:bottom w:type="dxa" w:w="90"/>
              <w:right w:type="dxa" w:w="120"/>
            </w:tcMar>
          </w:tcPr>
          <w:p>
            <w:r>
              <w:rPr>
                <w:sz w:val="20"/>
                <w:szCs w:val="20"/>
              </w:rPr>
              <w:t xml:space="preserve">172,818</w:t>
            </w:r>
          </w:p>
        </w:tc>
      </w:tr>
      <w:tr>
        <w:tc>
          <w:tcPr>
            <w:tcW w:type="pct" w:w="64%"/>
            <w:tcMar>
              <w:top w:type="dxa" w:w="90"/>
              <w:left w:type="dxa" w:w="120"/>
              <w:bottom w:type="dxa" w:w="90"/>
              <w:right w:type="dxa" w:w="120"/>
            </w:tcMar>
          </w:tcPr>
          <w:p>
            <w:r>
              <w:rPr>
                <w:sz w:val="20"/>
                <w:szCs w:val="20"/>
              </w:rPr>
              <w:t xml:space="preserve">WHITE HANGING HEART T-LIGHT HOLDER</w:t>
            </w:r>
          </w:p>
        </w:tc>
        <w:tc>
          <w:tcPr>
            <w:tcW w:type="pct" w:w="36%"/>
            <w:tcMar>
              <w:top w:type="dxa" w:w="90"/>
              <w:left w:type="dxa" w:w="120"/>
              <w:bottom w:type="dxa" w:w="90"/>
              <w:right w:type="dxa" w:w="120"/>
            </w:tcMar>
          </w:tcPr>
          <w:p>
            <w:r>
              <w:rPr>
                <w:sz w:val="20"/>
                <w:szCs w:val="20"/>
              </w:rPr>
              <w:t xml:space="preserve">101,572</w:t>
            </w:r>
          </w:p>
        </w:tc>
      </w:tr>
      <w:tr>
        <w:tc>
          <w:tcPr>
            <w:tcW w:type="pct" w:w="64%"/>
            <w:tcMar>
              <w:top w:type="dxa" w:w="90"/>
              <w:left w:type="dxa" w:w="120"/>
              <w:bottom w:type="dxa" w:w="90"/>
              <w:right w:type="dxa" w:w="120"/>
            </w:tcMar>
          </w:tcPr>
          <w:p>
            <w:r>
              <w:rPr>
                <w:sz w:val="20"/>
                <w:szCs w:val="20"/>
              </w:rPr>
              <w:t xml:space="preserve">PARTY BUNTING</w:t>
            </w:r>
          </w:p>
        </w:tc>
        <w:tc>
          <w:tcPr>
            <w:tcW w:type="pct" w:w="36%"/>
            <w:tcMar>
              <w:top w:type="dxa" w:w="90"/>
              <w:left w:type="dxa" w:w="120"/>
              <w:bottom w:type="dxa" w:w="90"/>
              <w:right w:type="dxa" w:w="120"/>
            </w:tcMar>
          </w:tcPr>
          <w:p>
            <w:r>
              <w:rPr>
                <w:sz w:val="20"/>
                <w:szCs w:val="20"/>
              </w:rPr>
              <w:t xml:space="preserve">99,445</w:t>
            </w:r>
          </w:p>
        </w:tc>
      </w:tr>
      <w:tr>
        <w:tc>
          <w:tcPr>
            <w:tcW w:type="pct" w:w="64%"/>
            <w:tcMar>
              <w:top w:type="dxa" w:w="90"/>
              <w:left w:type="dxa" w:w="120"/>
              <w:bottom w:type="dxa" w:w="90"/>
              <w:right w:type="dxa" w:w="120"/>
            </w:tcMar>
          </w:tcPr>
          <w:p>
            <w:r>
              <w:rPr>
                <w:sz w:val="20"/>
                <w:szCs w:val="20"/>
              </w:rPr>
              <w:t xml:space="preserve">JUMBO BAG RED RETROSPOT</w:t>
            </w:r>
          </w:p>
        </w:tc>
        <w:tc>
          <w:tcPr>
            <w:tcW w:type="pct" w:w="36%"/>
            <w:tcMar>
              <w:top w:type="dxa" w:w="90"/>
              <w:left w:type="dxa" w:w="120"/>
              <w:bottom w:type="dxa" w:w="90"/>
              <w:right w:type="dxa" w:w="120"/>
            </w:tcMar>
          </w:tcPr>
          <w:p>
            <w:r>
              <w:rPr>
                <w:sz w:val="20"/>
                <w:szCs w:val="20"/>
              </w:rPr>
              <w:t xml:space="preserve">92,849</w:t>
            </w:r>
          </w:p>
        </w:tc>
      </w:tr>
      <w:tr>
        <w:tc>
          <w:tcPr>
            <w:tcW w:type="pct" w:w="64%"/>
            <w:tcMar>
              <w:top w:type="dxa" w:w="90"/>
              <w:left w:type="dxa" w:w="120"/>
              <w:bottom w:type="dxa" w:w="90"/>
              <w:right w:type="dxa" w:w="120"/>
            </w:tcMar>
          </w:tcPr>
          <w:p>
            <w:r>
              <w:rPr>
                <w:sz w:val="20"/>
                <w:szCs w:val="20"/>
              </w:rPr>
              <w:t xml:space="preserve">RABBIT NIGHT LIGHT</w:t>
            </w:r>
          </w:p>
        </w:tc>
        <w:tc>
          <w:tcPr>
            <w:tcW w:type="pct" w:w="36%"/>
            <w:tcMar>
              <w:top w:type="dxa" w:w="90"/>
              <w:left w:type="dxa" w:w="120"/>
              <w:bottom w:type="dxa" w:w="90"/>
              <w:right w:type="dxa" w:w="120"/>
            </w:tcMar>
          </w:tcPr>
          <w:p>
            <w:r>
              <w:rPr>
                <w:sz w:val="20"/>
                <w:szCs w:val="20"/>
              </w:rPr>
              <w:t xml:space="preserve">66,965</w:t>
            </w:r>
          </w:p>
        </w:tc>
      </w:tr>
      <w:tr>
        <w:tc>
          <w:tcPr>
            <w:tcW w:type="pct" w:w="64%"/>
            <w:tcMar>
              <w:top w:type="dxa" w:w="90"/>
              <w:left w:type="dxa" w:w="120"/>
              <w:bottom w:type="dxa" w:w="90"/>
              <w:right w:type="dxa" w:w="120"/>
            </w:tcMar>
          </w:tcPr>
          <w:p>
            <w:r>
              <w:rPr>
                <w:sz w:val="20"/>
                <w:szCs w:val="20"/>
              </w:rPr>
              <w:t xml:space="preserve">PAPER CHAIN KIT 50'S CHRISTMAS</w:t>
            </w:r>
          </w:p>
        </w:tc>
        <w:tc>
          <w:tcPr>
            <w:tcW w:type="pct" w:w="36%"/>
            <w:tcMar>
              <w:top w:type="dxa" w:w="90"/>
              <w:left w:type="dxa" w:w="120"/>
              <w:bottom w:type="dxa" w:w="90"/>
              <w:right w:type="dxa" w:w="120"/>
            </w:tcMar>
          </w:tcPr>
          <w:p>
            <w:r>
              <w:rPr>
                <w:sz w:val="20"/>
                <w:szCs w:val="20"/>
              </w:rPr>
              <w:t xml:space="preserve">64,952</w:t>
            </w:r>
          </w:p>
        </w:tc>
      </w:tr>
      <w:tr>
        <w:tc>
          <w:tcPr>
            <w:tcW w:type="pct" w:w="64%"/>
            <w:tcMar>
              <w:top w:type="dxa" w:w="90"/>
              <w:left w:type="dxa" w:w="120"/>
              <w:bottom w:type="dxa" w:w="90"/>
              <w:right w:type="dxa" w:w="120"/>
            </w:tcMar>
          </w:tcPr>
          <w:p>
            <w:r>
              <w:rPr>
                <w:sz w:val="20"/>
                <w:szCs w:val="20"/>
              </w:rPr>
              <w:t xml:space="preserve">ASSORTED COLOUR BIRD ORNAMENT</w:t>
            </w:r>
          </w:p>
        </w:tc>
        <w:tc>
          <w:tcPr>
            <w:tcW w:type="pct" w:w="36%"/>
            <w:tcMar>
              <w:top w:type="dxa" w:w="90"/>
              <w:left w:type="dxa" w:w="120"/>
              <w:bottom w:type="dxa" w:w="90"/>
              <w:right w:type="dxa" w:w="120"/>
            </w:tcMar>
          </w:tcPr>
          <w:p>
            <w:r>
              <w:rPr>
                <w:sz w:val="20"/>
                <w:szCs w:val="20"/>
              </w:rPr>
              <w:t xml:space="preserve">59,086</w:t>
            </w:r>
          </w:p>
        </w:tc>
      </w:tr>
      <w:tr>
        <w:tc>
          <w:tcPr>
            <w:tcW w:type="pct" w:w="64%"/>
            <w:tcMar>
              <w:top w:type="dxa" w:w="90"/>
              <w:left w:type="dxa" w:w="120"/>
              <w:bottom w:type="dxa" w:w="90"/>
              <w:right w:type="dxa" w:w="120"/>
            </w:tcMar>
          </w:tcPr>
          <w:p>
            <w:r>
              <w:rPr>
                <w:sz w:val="20"/>
                <w:szCs w:val="20"/>
              </w:rPr>
              <w:t xml:space="preserve">CHILLI LIGHTS</w:t>
            </w:r>
          </w:p>
        </w:tc>
        <w:tc>
          <w:tcPr>
            <w:tcW w:type="pct" w:w="36%"/>
            <w:tcMar>
              <w:top w:type="dxa" w:w="90"/>
              <w:left w:type="dxa" w:w="120"/>
              <w:bottom w:type="dxa" w:w="90"/>
              <w:right w:type="dxa" w:w="120"/>
            </w:tcMar>
          </w:tcPr>
          <w:p>
            <w:r>
              <w:rPr>
                <w:sz w:val="20"/>
                <w:szCs w:val="20"/>
              </w:rPr>
              <w:t xml:space="preserve">54,095</w:t>
            </w:r>
          </w:p>
        </w:tc>
      </w:tr>
      <w:tr>
        <w:tc>
          <w:tcPr>
            <w:tcW w:type="pct" w:w="64%"/>
            <w:tcMar>
              <w:top w:type="dxa" w:w="90"/>
              <w:left w:type="dxa" w:w="120"/>
              <w:bottom w:type="dxa" w:w="90"/>
              <w:right w:type="dxa" w:w="120"/>
            </w:tcMar>
          </w:tcPr>
          <w:p>
            <w:r>
              <w:rPr>
                <w:sz w:val="20"/>
                <w:szCs w:val="20"/>
              </w:rPr>
              <w:t xml:space="preserve">SPOTTY BUNTING</w:t>
            </w:r>
          </w:p>
        </w:tc>
        <w:tc>
          <w:tcPr>
            <w:tcW w:type="pct" w:w="36%"/>
            <w:tcMar>
              <w:top w:type="dxa" w:w="90"/>
              <w:left w:type="dxa" w:w="120"/>
              <w:bottom w:type="dxa" w:w="90"/>
              <w:right w:type="dxa" w:w="120"/>
            </w:tcMar>
          </w:tcPr>
          <w:p>
            <w:r>
              <w:rPr>
                <w:sz w:val="20"/>
                <w:szCs w:val="20"/>
              </w:rPr>
              <w:t xml:space="preserve">42,543</w:t>
            </w:r>
          </w:p>
        </w:tc>
      </w:tr>
      <w:tr>
        <w:tc>
          <w:tcPr>
            <w:tcW w:type="pct" w:w="64%"/>
            <w:tcMar>
              <w:top w:type="dxa" w:w="90"/>
              <w:left w:type="dxa" w:w="120"/>
              <w:bottom w:type="dxa" w:w="90"/>
              <w:right w:type="dxa" w:w="120"/>
            </w:tcMar>
          </w:tcPr>
          <w:p>
            <w:r>
              <w:rPr>
                <w:sz w:val="20"/>
                <w:szCs w:val="20"/>
              </w:rPr>
              <w:t xml:space="preserve">JUMBO BAG PINK POLKADOT</w:t>
            </w:r>
          </w:p>
        </w:tc>
        <w:tc>
          <w:tcPr>
            <w:tcW w:type="pct" w:w="36%"/>
            <w:tcMar>
              <w:top w:type="dxa" w:w="90"/>
              <w:left w:type="dxa" w:w="120"/>
              <w:bottom w:type="dxa" w:w="90"/>
              <w:right w:type="dxa" w:w="120"/>
            </w:tcMar>
          </w:tcPr>
          <w:p>
            <w:r>
              <w:rPr>
                <w:sz w:val="20"/>
                <w:szCs w:val="20"/>
              </w:rPr>
              <w:t xml:space="preserve">41,353</w:t>
            </w:r>
          </w:p>
        </w:tc>
      </w:tr>
    </w:tbl>
    <w:p>
      <w:pPr>
        <w:spacing w:after="200"/>
      </w:pPr>
    </w:p>
    <w:p>
      <w:pPr>
        <w:pStyle w:val="Heading2"/>
        <w:spacing w:after="150" w:before="300"/>
      </w:pPr>
      <w:r>
        <w:t xml:space="preserve">Gəlir vs. Real Populyarlıq</w:t>
      </w:r>
    </w:p>
    <w:p>
      <w:pPr>
        <w:spacing w:after="160"/>
      </w:pPr>
      <w:r>
        <w:t xml:space="preserve">Gəlirə görə sıralama ilə sifariş sayına (unikal alış sayına) görə sıralama fərqli mənzərə göstərir. Sifariş sayı, bir və ya iki nəhəng topdan-satış sifarişindən az təsirlənən, daha etibarlı "kütləvi tələbat" göstəricisidir: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0"/>
        <w:gridCol w:w="3350"/>
      </w:tblGrid>
      <w:tr>
        <w:tc>
          <w:tcPr>
            <w:tcW w:type="pct" w:w="64%"/>
            <w:shd w:fill="1F6F5C" w:val="clear"/>
            <w:tcMar>
              <w:top w:type="dxa" w:w="100"/>
              <w:left w:type="dxa" w:w="120"/>
              <w:bottom w:type="dxa" w:w="100"/>
              <w:right w:type="dxa" w:w="120"/>
            </w:tcMar>
          </w:tcPr>
          <w:p>
            <w:r>
              <w:rPr>
                <w:b/>
                <w:bCs/>
                <w:color w:val="FFFFFF"/>
                <w:sz w:val="20"/>
                <w:szCs w:val="20"/>
              </w:rPr>
              <w:t xml:space="preserve">Məhsul</w:t>
            </w:r>
          </w:p>
        </w:tc>
        <w:tc>
          <w:tcPr>
            <w:tcW w:type="pct" w:w="36%"/>
            <w:shd w:fill="1F6F5C" w:val="clear"/>
            <w:tcMar>
              <w:top w:type="dxa" w:w="100"/>
              <w:left w:type="dxa" w:w="120"/>
              <w:bottom w:type="dxa" w:w="100"/>
              <w:right w:type="dxa" w:w="120"/>
            </w:tcMar>
          </w:tcPr>
          <w:p>
            <w:r>
              <w:rPr>
                <w:b/>
                <w:bCs/>
                <w:color w:val="FFFFFF"/>
                <w:sz w:val="20"/>
                <w:szCs w:val="20"/>
              </w:rPr>
              <w:t xml:space="preserve">Sifariş sayı</w:t>
            </w:r>
          </w:p>
        </w:tc>
      </w:tr>
      <w:tr>
        <w:tc>
          <w:tcPr>
            <w:tcW w:type="pct" w:w="64%"/>
            <w:tcMar>
              <w:top w:type="dxa" w:w="90"/>
              <w:left w:type="dxa" w:w="120"/>
              <w:bottom w:type="dxa" w:w="90"/>
              <w:right w:type="dxa" w:w="120"/>
            </w:tcMar>
          </w:tcPr>
          <w:p>
            <w:r>
              <w:rPr>
                <w:sz w:val="20"/>
                <w:szCs w:val="20"/>
              </w:rPr>
              <w:t xml:space="preserve">WHITE HANGING HEART T-LIGHT HOLDER</w:t>
            </w:r>
          </w:p>
        </w:tc>
        <w:tc>
          <w:tcPr>
            <w:tcW w:type="pct" w:w="36%"/>
            <w:tcMar>
              <w:top w:type="dxa" w:w="90"/>
              <w:left w:type="dxa" w:w="120"/>
              <w:bottom w:type="dxa" w:w="90"/>
              <w:right w:type="dxa" w:w="120"/>
            </w:tcMar>
          </w:tcPr>
          <w:p>
            <w:r>
              <w:rPr>
                <w:sz w:val="20"/>
                <w:szCs w:val="20"/>
              </w:rPr>
              <w:t xml:space="preserve">2,252</w:t>
            </w:r>
          </w:p>
        </w:tc>
      </w:tr>
      <w:tr>
        <w:tc>
          <w:tcPr>
            <w:tcW w:type="pct" w:w="64%"/>
            <w:tcMar>
              <w:top w:type="dxa" w:w="90"/>
              <w:left w:type="dxa" w:w="120"/>
              <w:bottom w:type="dxa" w:w="90"/>
              <w:right w:type="dxa" w:w="120"/>
            </w:tcMar>
          </w:tcPr>
          <w:p>
            <w:r>
              <w:rPr>
                <w:sz w:val="20"/>
                <w:szCs w:val="20"/>
              </w:rPr>
              <w:t xml:space="preserve">JUMBO BAG RED RETROSPOT</w:t>
            </w:r>
          </w:p>
        </w:tc>
        <w:tc>
          <w:tcPr>
            <w:tcW w:type="pct" w:w="36%"/>
            <w:tcMar>
              <w:top w:type="dxa" w:w="90"/>
              <w:left w:type="dxa" w:w="120"/>
              <w:bottom w:type="dxa" w:w="90"/>
              <w:right w:type="dxa" w:w="120"/>
            </w:tcMar>
          </w:tcPr>
          <w:p>
            <w:r>
              <w:rPr>
                <w:sz w:val="20"/>
                <w:szCs w:val="20"/>
              </w:rPr>
              <w:t xml:space="preserve">2,082</w:t>
            </w:r>
          </w:p>
        </w:tc>
      </w:tr>
      <w:tr>
        <w:tc>
          <w:tcPr>
            <w:tcW w:type="pct" w:w="64%"/>
            <w:tcMar>
              <w:top w:type="dxa" w:w="90"/>
              <w:left w:type="dxa" w:w="120"/>
              <w:bottom w:type="dxa" w:w="90"/>
              <w:right w:type="dxa" w:w="120"/>
            </w:tcMar>
          </w:tcPr>
          <w:p>
            <w:r>
              <w:rPr>
                <w:sz w:val="20"/>
                <w:szCs w:val="20"/>
              </w:rPr>
              <w:t xml:space="preserve">REGENCY CAKESTAND 3 TIER</w:t>
            </w:r>
          </w:p>
        </w:tc>
        <w:tc>
          <w:tcPr>
            <w:tcW w:type="pct" w:w="36%"/>
            <w:tcMar>
              <w:top w:type="dxa" w:w="90"/>
              <w:left w:type="dxa" w:w="120"/>
              <w:bottom w:type="dxa" w:w="90"/>
              <w:right w:type="dxa" w:w="120"/>
            </w:tcMar>
          </w:tcPr>
          <w:p>
            <w:r>
              <w:rPr>
                <w:sz w:val="20"/>
                <w:szCs w:val="20"/>
              </w:rPr>
              <w:t xml:space="preserve">1,974</w:t>
            </w:r>
          </w:p>
        </w:tc>
      </w:tr>
      <w:tr>
        <w:tc>
          <w:tcPr>
            <w:tcW w:type="pct" w:w="64%"/>
            <w:tcMar>
              <w:top w:type="dxa" w:w="90"/>
              <w:left w:type="dxa" w:w="120"/>
              <w:bottom w:type="dxa" w:w="90"/>
              <w:right w:type="dxa" w:w="120"/>
            </w:tcMar>
          </w:tcPr>
          <w:p>
            <w:r>
              <w:rPr>
                <w:sz w:val="20"/>
                <w:szCs w:val="20"/>
              </w:rPr>
              <w:t xml:space="preserve">PARTY BUNTING</w:t>
            </w:r>
          </w:p>
        </w:tc>
        <w:tc>
          <w:tcPr>
            <w:tcW w:type="pct" w:w="36%"/>
            <w:tcMar>
              <w:top w:type="dxa" w:w="90"/>
              <w:left w:type="dxa" w:w="120"/>
              <w:bottom w:type="dxa" w:w="90"/>
              <w:right w:type="dxa" w:w="120"/>
            </w:tcMar>
          </w:tcPr>
          <w:p>
            <w:r>
              <w:rPr>
                <w:sz w:val="20"/>
                <w:szCs w:val="20"/>
              </w:rPr>
              <w:t xml:space="preserve">1,683</w:t>
            </w:r>
          </w:p>
        </w:tc>
      </w:tr>
      <w:tr>
        <w:tc>
          <w:tcPr>
            <w:tcW w:type="pct" w:w="64%"/>
            <w:tcMar>
              <w:top w:type="dxa" w:w="90"/>
              <w:left w:type="dxa" w:w="120"/>
              <w:bottom w:type="dxa" w:w="90"/>
              <w:right w:type="dxa" w:w="120"/>
            </w:tcMar>
          </w:tcPr>
          <w:p>
            <w:r>
              <w:rPr>
                <w:sz w:val="20"/>
                <w:szCs w:val="20"/>
              </w:rPr>
              <w:t xml:space="preserve">LUNCH BAG RED RETROSPOT</w:t>
            </w:r>
          </w:p>
        </w:tc>
        <w:tc>
          <w:tcPr>
            <w:tcW w:type="pct" w:w="36%"/>
            <w:tcMar>
              <w:top w:type="dxa" w:w="90"/>
              <w:left w:type="dxa" w:w="120"/>
              <w:bottom w:type="dxa" w:w="90"/>
              <w:right w:type="dxa" w:w="120"/>
            </w:tcMar>
          </w:tcPr>
          <w:p>
            <w:r>
              <w:rPr>
                <w:sz w:val="20"/>
                <w:szCs w:val="20"/>
              </w:rPr>
              <w:t xml:space="preserve">1,560</w:t>
            </w:r>
          </w:p>
        </w:tc>
      </w:tr>
    </w:tbl>
    <w:p>
      <w:pPr>
        <w:spacing w:after="200"/>
      </w:pPr>
    </w:p>
    <w:p>
      <w:pPr>
        <w:spacing w:after="160"/>
      </w:pPr>
      <w:r>
        <w:t xml:space="preserve">Tövsiyə: Stok planlaması sifariş sayına, marketinq/PR isə hər iki göstəriciyə əsaslanmalıdır.</w:t>
      </w:r>
    </w:p>
    <w:p>
      <w:pPr>
        <w:pStyle w:val="Heading2"/>
        <w:spacing w:after="150" w:before="300"/>
      </w:pPr>
      <w:r>
        <w:t xml:space="preserve">ABC (Pareto) Analizi</w:t>
      </w:r>
    </w:p>
    <w:p>
      <w:pPr>
        <w:spacing w:after="160"/>
      </w:pPr>
      <w:r>
        <w:t xml:space="preserve">Məhsul kataloqu (cəmi 4,008 məhsul) üç qrupa bölünür: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675"/>
        <w:gridCol w:w="3675"/>
      </w:tblGrid>
      <w:tr>
        <w:tc>
          <w:tcPr>
            <w:tcW w:type="pct" w:w="22%"/>
            <w:shd w:fill="1F6F5C" w:val="clear"/>
            <w:tcMar>
              <w:top w:type="dxa" w:w="100"/>
              <w:left w:type="dxa" w:w="120"/>
              <w:bottom w:type="dxa" w:w="100"/>
              <w:right w:type="dxa" w:w="120"/>
            </w:tcMar>
          </w:tcPr>
          <w:p>
            <w:r>
              <w:rPr>
                <w:b/>
                <w:bCs/>
                <w:color w:val="FFFFFF"/>
                <w:sz w:val="20"/>
                <w:szCs w:val="20"/>
              </w:rPr>
              <w:t xml:space="preserve">Qrup</w:t>
            </w:r>
          </w:p>
        </w:tc>
        <w:tc>
          <w:tcPr>
            <w:tcW w:type="pct" w:w="39%"/>
            <w:shd w:fill="1F6F5C" w:val="clear"/>
            <w:tcMar>
              <w:top w:type="dxa" w:w="100"/>
              <w:left w:type="dxa" w:w="120"/>
              <w:bottom w:type="dxa" w:w="100"/>
              <w:right w:type="dxa" w:w="120"/>
            </w:tcMar>
          </w:tcPr>
          <w:p>
            <w:r>
              <w:rPr>
                <w:b/>
                <w:bCs/>
                <w:color w:val="FFFFFF"/>
                <w:sz w:val="20"/>
                <w:szCs w:val="20"/>
              </w:rPr>
              <w:t xml:space="preserve">Məhsul sayı</w:t>
            </w:r>
          </w:p>
        </w:tc>
        <w:tc>
          <w:tcPr>
            <w:tcW w:type="pct" w:w="39%"/>
            <w:shd w:fill="1F6F5C" w:val="clear"/>
            <w:tcMar>
              <w:top w:type="dxa" w:w="100"/>
              <w:left w:type="dxa" w:w="120"/>
              <w:bottom w:type="dxa" w:w="100"/>
              <w:right w:type="dxa" w:w="120"/>
            </w:tcMar>
          </w:tcPr>
          <w:p>
            <w:r>
              <w:rPr>
                <w:b/>
                <w:bCs/>
                <w:color w:val="FFFFFF"/>
                <w:sz w:val="20"/>
                <w:szCs w:val="20"/>
              </w:rPr>
              <w:t xml:space="preserve">Gəlirdəki pay</w:t>
            </w:r>
          </w:p>
        </w:tc>
      </w:tr>
      <w:tr>
        <w:tc>
          <w:tcPr>
            <w:tcW w:type="pct" w:w="22%"/>
            <w:tcMar>
              <w:top w:type="dxa" w:w="90"/>
              <w:left w:type="dxa" w:w="120"/>
              <w:bottom w:type="dxa" w:w="90"/>
              <w:right w:type="dxa" w:w="120"/>
            </w:tcMar>
          </w:tcPr>
          <w:p>
            <w:r>
              <w:rPr>
                <w:sz w:val="20"/>
                <w:szCs w:val="20"/>
              </w:rPr>
              <w:t xml:space="preserve">A (əsas)</w:t>
            </w:r>
          </w:p>
        </w:tc>
        <w:tc>
          <w:tcPr>
            <w:tcW w:type="pct" w:w="39%"/>
            <w:tcMar>
              <w:top w:type="dxa" w:w="90"/>
              <w:left w:type="dxa" w:w="120"/>
              <w:bottom w:type="dxa" w:w="90"/>
              <w:right w:type="dxa" w:w="120"/>
            </w:tcMar>
          </w:tcPr>
          <w:p>
            <w:r>
              <w:rPr>
                <w:sz w:val="20"/>
                <w:szCs w:val="20"/>
              </w:rPr>
              <w:t xml:space="preserve">867 (21.6%)</w:t>
            </w:r>
          </w:p>
        </w:tc>
        <w:tc>
          <w:tcPr>
            <w:tcW w:type="pct" w:w="39%"/>
            <w:tcMar>
              <w:top w:type="dxa" w:w="90"/>
              <w:left w:type="dxa" w:w="120"/>
              <w:bottom w:type="dxa" w:w="90"/>
              <w:right w:type="dxa" w:w="120"/>
            </w:tcMar>
          </w:tcPr>
          <w:p>
            <w:r>
              <w:rPr>
                <w:sz w:val="20"/>
                <w:szCs w:val="20"/>
              </w:rPr>
              <w:t xml:space="preserve">80%</w:t>
            </w:r>
          </w:p>
        </w:tc>
      </w:tr>
      <w:tr>
        <w:tc>
          <w:tcPr>
            <w:tcW w:type="pct" w:w="22%"/>
            <w:tcMar>
              <w:top w:type="dxa" w:w="90"/>
              <w:left w:type="dxa" w:w="120"/>
              <w:bottom w:type="dxa" w:w="90"/>
              <w:right w:type="dxa" w:w="120"/>
            </w:tcMar>
          </w:tcPr>
          <w:p>
            <w:r>
              <w:rPr>
                <w:sz w:val="20"/>
                <w:szCs w:val="20"/>
              </w:rPr>
              <w:t xml:space="preserve">B (orta)</w:t>
            </w:r>
          </w:p>
        </w:tc>
        <w:tc>
          <w:tcPr>
            <w:tcW w:type="pct" w:w="39%"/>
            <w:tcMar>
              <w:top w:type="dxa" w:w="90"/>
              <w:left w:type="dxa" w:w="120"/>
              <w:bottom w:type="dxa" w:w="90"/>
              <w:right w:type="dxa" w:w="120"/>
            </w:tcMar>
          </w:tcPr>
          <w:p>
            <w:r>
              <w:rPr>
                <w:sz w:val="20"/>
                <w:szCs w:val="20"/>
              </w:rPr>
              <w:t xml:space="preserve">998 (24.9%)</w:t>
            </w:r>
          </w:p>
        </w:tc>
        <w:tc>
          <w:tcPr>
            <w:tcW w:type="pct" w:w="39%"/>
            <w:tcMar>
              <w:top w:type="dxa" w:w="90"/>
              <w:left w:type="dxa" w:w="120"/>
              <w:bottom w:type="dxa" w:w="90"/>
              <w:right w:type="dxa" w:w="120"/>
            </w:tcMar>
          </w:tcPr>
          <w:p>
            <w:r>
              <w:rPr>
                <w:sz w:val="20"/>
                <w:szCs w:val="20"/>
              </w:rPr>
              <w:t xml:space="preserve">əlavə 15%</w:t>
            </w:r>
          </w:p>
        </w:tc>
      </w:tr>
      <w:tr>
        <w:tc>
          <w:tcPr>
            <w:tcW w:type="pct" w:w="22%"/>
            <w:tcMar>
              <w:top w:type="dxa" w:w="90"/>
              <w:left w:type="dxa" w:w="120"/>
              <w:bottom w:type="dxa" w:w="90"/>
              <w:right w:type="dxa" w:w="120"/>
            </w:tcMar>
          </w:tcPr>
          <w:p>
            <w:r>
              <w:rPr>
                <w:sz w:val="20"/>
                <w:szCs w:val="20"/>
              </w:rPr>
              <w:t xml:space="preserve">C (zəif)</w:t>
            </w:r>
          </w:p>
        </w:tc>
        <w:tc>
          <w:tcPr>
            <w:tcW w:type="pct" w:w="39%"/>
            <w:tcMar>
              <w:top w:type="dxa" w:w="90"/>
              <w:left w:type="dxa" w:w="120"/>
              <w:bottom w:type="dxa" w:w="90"/>
              <w:right w:type="dxa" w:w="120"/>
            </w:tcMar>
          </w:tcPr>
          <w:p>
            <w:r>
              <w:rPr>
                <w:sz w:val="20"/>
                <w:szCs w:val="20"/>
              </w:rPr>
              <w:t xml:space="preserve">2143 (53.5%)</w:t>
            </w:r>
          </w:p>
        </w:tc>
        <w:tc>
          <w:tcPr>
            <w:tcW w:type="pct" w:w="39%"/>
            <w:tcMar>
              <w:top w:type="dxa" w:w="90"/>
              <w:left w:type="dxa" w:w="120"/>
              <w:bottom w:type="dxa" w:w="90"/>
              <w:right w:type="dxa" w:w="120"/>
            </w:tcMar>
          </w:tcPr>
          <w:p>
            <w:r>
              <w:rPr>
                <w:sz w:val="20"/>
                <w:szCs w:val="20"/>
              </w:rPr>
              <w:t xml:space="preserve">son 5%</w:t>
            </w:r>
          </w:p>
        </w:tc>
      </w:tr>
    </w:tbl>
    <w:p>
      <w:pPr>
        <w:spacing w:after="200"/>
      </w:pPr>
    </w:p>
    <w:p>
      <w:pPr>
        <w:spacing w:after="160"/>
      </w:pPr>
      <w:r>
        <w:t xml:space="preserve">Tövsiyə: Kataloqun yarısından çoxunu (C qrupu, 2143 məhsul) ümumi gəlirin cəmi 5%-i yaradır — bu məhsullar üçün stok/rəf yerini davam etdirməyin dəyəri sual altındadır.</w:t>
      </w:r>
    </w:p>
    <w:p>
      <w:pPr>
        <w:pStyle w:val="Heading2"/>
        <w:spacing w:after="150" w:before="300"/>
      </w:pPr>
      <w:r>
        <w:t xml:space="preserve">Birgə Alınan Məhsullar (Market Basket Analysis)</w:t>
      </w:r>
    </w:p>
    <w:p>
      <w:pPr>
        <w:spacing w:after="160"/>
      </w:pPr>
      <w:r>
        <w:t xml:space="preserve">Son 3 aylıq sifarişlər arasında ən çox birlikdə görünən məhsul cütləri, əsasən eyni məhsulun fərqli rəng/dizayn variantlarıdır:</w:t>
      </w:r>
    </w:p>
    <w:p>
      <w:pPr>
        <w:pStyle w:val="ListParagraph"/>
        <w:numPr>
          <w:ilvl w:val="0"/>
          <w:numId w:val="1"/>
        </w:numPr>
        <w:spacing w:after="100"/>
      </w:pPr>
      <w:r>
        <w:t xml:space="preserve">Paper Chain Kit — 50's Christmas + Vintage Christmas (361 dəfə birlikdə)</w:t>
      </w:r>
    </w:p>
    <w:p>
      <w:pPr>
        <w:pStyle w:val="ListParagraph"/>
        <w:numPr>
          <w:ilvl w:val="0"/>
          <w:numId w:val="1"/>
        </w:numPr>
        <w:spacing w:after="100"/>
      </w:pPr>
      <w:r>
        <w:t xml:space="preserve">Wooden Heart + Wooden Star Christmas Scandinavian (323 dəfə)</w:t>
      </w:r>
    </w:p>
    <w:p>
      <w:pPr>
        <w:pStyle w:val="ListParagraph"/>
        <w:numPr>
          <w:ilvl w:val="0"/>
          <w:numId w:val="1"/>
        </w:numPr>
        <w:spacing w:after="100"/>
      </w:pPr>
      <w:r>
        <w:t xml:space="preserve">Alarm Clock Bakelike Green + Red (243 dəfə)</w:t>
      </w:r>
    </w:p>
    <w:p>
      <w:pPr>
        <w:spacing w:after="160"/>
      </w:pPr>
      <w:r>
        <w:t xml:space="preserve">Tövsiyə: Bu cütləri "bundle" (dəst) təklifi kimi paketləyərək, cross-selling imkanı yaratmaq olar.</w:t>
      </w:r>
    </w:p>
    <w:p>
      <w:r>
        <w:br w:type="page"/>
      </w:r>
    </w:p>
    <w:p>
      <w:pPr>
        <w:pStyle w:val="Heading1"/>
        <w:spacing w:after="200" w:before="400"/>
      </w:pPr>
      <w:r>
        <w:t xml:space="preserve">4. Coğrafi Analiz</w:t>
      </w:r>
    </w:p>
    <w:p>
      <w:pPr>
        <w:spacing w:after="160"/>
      </w:pPr>
      <w:r>
        <w:t xml:space="preserve">Gəlirin 84.8%-i Birləşmiş Krallıqdan gəlir. Bu, həm risk (tək bazara asılılıq), həm də fürsət (digər bazarlarda böyümə potensialı) mənasına gəlir.</w:t>
      </w:r>
    </w:p>
    <w:p>
      <w:pPr>
        <w:spacing w:after="20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952750"/>
                    </a:xfrm>
                    <a:prstGeom prst="rect">
                      <a:avLst/>
                    </a:prstGeom>
                  </pic:spPr>
                </pic:pic>
              </a:graphicData>
            </a:graphic>
          </wp:inline>
        </w:drawing>
      </w:r>
    </w:p>
    <w:p>
      <w:pPr>
        <w:spacing w:after="160"/>
      </w:pPr>
      <w:r>
        <w:t xml:space="preserve">UK-dən sonra ən güclü bazarlar Netherlands və EIRE (İrlandiya)-dır, hər ikisi UK-nin təxminən 3%-i səviyyəsindədir.</w:t>
      </w:r>
    </w:p>
    <w:p>
      <w:pPr>
        <w:pStyle w:val="Heading2"/>
        <w:spacing w:after="150" w:before="300"/>
      </w:pPr>
      <w:r>
        <w:t xml:space="preserve">Vaxt üzrə Aktivlik</w:t>
      </w:r>
    </w:p>
    <w:p>
      <w:pPr>
        <w:spacing w:after="200"/>
        <w:jc w:val="center"/>
      </w:pPr>
      <w:r>
        <w:drawing>
          <wp:inline distT="0" distB="0" distL="0" distR="0">
            <wp:extent cx="47625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667000"/>
                    </a:xfrm>
                    <a:prstGeom prst="rect">
                      <a:avLst/>
                    </a:prstGeom>
                  </pic:spPr>
                </pic:pic>
              </a:graphicData>
            </a:graphic>
          </wp:inline>
        </w:drawing>
      </w:r>
    </w:p>
    <w:p>
      <w:pPr>
        <w:spacing w:after="160"/>
      </w:pPr>
      <w:r>
        <w:t xml:space="preserve">Şənbə günü satış qeydə alınmayıb — bu, mağazanın/anbarın şənbə günləri fəaliyyət göstərmədiyini işarə edir (B2B xarakterli biznes davranışı). Zirvə saatlar 10:00–15:00 arası, klassik iş saatlarına uyğundur.</w:t>
      </w:r>
    </w:p>
    <w:p>
      <w:r>
        <w:br w:type="page"/>
      </w:r>
    </w:p>
    <w:p>
      <w:pPr>
        <w:pStyle w:val="Heading1"/>
        <w:spacing w:after="200" w:before="400"/>
      </w:pPr>
      <w:r>
        <w:t xml:space="preserve">5. Müştəri Analizi</w:t>
      </w:r>
    </w:p>
    <w:p>
      <w:pPr>
        <w:spacing w:after="160"/>
      </w:pPr>
      <w:r>
        <w:t xml:space="preserve">Orta müştəri xərci £1,949 olsa da, median dəyər cəmi £665-dir — bu böyük fərq, kiçik sayda yüksək-həcmli (B2B xarakterli) alıcının ortalamanı yuxarı çəkdiyini göstərir.</w:t>
      </w:r>
    </w:p>
    <w:p>
      <w:pPr>
        <w:pStyle w:val="Heading2"/>
        <w:spacing w:after="150" w:before="300"/>
      </w:pPr>
      <w:r>
        <w:t xml:space="preserve">RFM Seqmentasiyası</w:t>
      </w:r>
    </w:p>
    <w:p>
      <w:pPr>
        <w:spacing w:after="160"/>
      </w:pPr>
      <w:r>
        <w:t xml:space="preserve">Recency (yenilik), Frequency (tezlik) və Monetary (pul) göstəricilərinə əsasən müştərilər 4 seqmentə bölündü:</w:t>
      </w:r>
    </w:p>
    <w:p>
      <w:pPr>
        <w:spacing w:after="200"/>
        <w:jc w:val="center"/>
      </w:pPr>
      <w:r>
        <w:drawing>
          <wp:inline distT="0" distB="0" distL="0" distR="0">
            <wp:extent cx="45720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3048000"/>
                    </a:xfrm>
                    <a:prstGeom prst="rect">
                      <a:avLst/>
                    </a:prstGeom>
                  </pic:spPr>
                </pic:pic>
              </a:graphicData>
            </a:graphic>
          </wp:inline>
        </w:drawing>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75"/>
        <w:gridCol w:w="2337"/>
        <w:gridCol w:w="2338"/>
      </w:tblGrid>
      <w:tr>
        <w:tc>
          <w:tcPr>
            <w:tcW w:type="pct" w:w="50%"/>
            <w:shd w:fill="1F6F5C" w:val="clear"/>
            <w:tcMar>
              <w:top w:type="dxa" w:w="100"/>
              <w:left w:type="dxa" w:w="120"/>
              <w:bottom w:type="dxa" w:w="100"/>
              <w:right w:type="dxa" w:w="120"/>
            </w:tcMar>
          </w:tcPr>
          <w:p>
            <w:r>
              <w:rPr>
                <w:b/>
                <w:bCs/>
                <w:color w:val="FFFFFF"/>
                <w:sz w:val="20"/>
                <w:szCs w:val="20"/>
              </w:rPr>
              <w:t xml:space="preserve">Seqment</w:t>
            </w:r>
          </w:p>
        </w:tc>
        <w:tc>
          <w:tcPr>
            <w:tcW w:type="pct" w:w="25%"/>
            <w:shd w:fill="1F6F5C" w:val="clear"/>
            <w:tcMar>
              <w:top w:type="dxa" w:w="100"/>
              <w:left w:type="dxa" w:w="120"/>
              <w:bottom w:type="dxa" w:w="100"/>
              <w:right w:type="dxa" w:w="120"/>
            </w:tcMar>
          </w:tcPr>
          <w:p>
            <w:r>
              <w:rPr>
                <w:b/>
                <w:bCs/>
                <w:color w:val="FFFFFF"/>
                <w:sz w:val="20"/>
                <w:szCs w:val="20"/>
              </w:rPr>
              <w:t xml:space="preserve">Müştəri sayı</w:t>
            </w:r>
          </w:p>
        </w:tc>
        <w:tc>
          <w:tcPr>
            <w:tcW w:type="pct" w:w="25%"/>
            <w:shd w:fill="1F6F5C" w:val="clear"/>
            <w:tcMar>
              <w:top w:type="dxa" w:w="100"/>
              <w:left w:type="dxa" w:w="120"/>
              <w:bottom w:type="dxa" w:w="100"/>
              <w:right w:type="dxa" w:w="120"/>
            </w:tcMar>
          </w:tcPr>
          <w:p>
            <w:r>
              <w:rPr>
                <w:b/>
                <w:bCs/>
                <w:color w:val="FFFFFF"/>
                <w:sz w:val="20"/>
                <w:szCs w:val="20"/>
              </w:rPr>
              <w:t xml:space="preserve">Pay</w:t>
            </w:r>
          </w:p>
        </w:tc>
      </w:tr>
      <w:tr>
        <w:tc>
          <w:tcPr>
            <w:tcW w:type="pct" w:w="50%"/>
            <w:tcMar>
              <w:top w:type="dxa" w:w="90"/>
              <w:left w:type="dxa" w:w="120"/>
              <w:bottom w:type="dxa" w:w="90"/>
              <w:right w:type="dxa" w:w="120"/>
            </w:tcMar>
          </w:tcPr>
          <w:p>
            <w:r>
              <w:rPr>
                <w:sz w:val="20"/>
                <w:szCs w:val="20"/>
              </w:rPr>
              <w:t xml:space="preserve">VIP / Champion</w:t>
            </w:r>
          </w:p>
        </w:tc>
        <w:tc>
          <w:tcPr>
            <w:tcW w:type="pct" w:w="25%"/>
            <w:tcMar>
              <w:top w:type="dxa" w:w="90"/>
              <w:left w:type="dxa" w:w="120"/>
              <w:bottom w:type="dxa" w:w="90"/>
              <w:right w:type="dxa" w:w="120"/>
            </w:tcMar>
          </w:tcPr>
          <w:p>
            <w:r>
              <w:rPr>
                <w:sz w:val="20"/>
                <w:szCs w:val="20"/>
              </w:rPr>
              <w:t xml:space="preserve">933</w:t>
            </w:r>
          </w:p>
        </w:tc>
        <w:tc>
          <w:tcPr>
            <w:tcW w:type="pct" w:w="25%"/>
            <w:tcMar>
              <w:top w:type="dxa" w:w="90"/>
              <w:left w:type="dxa" w:w="120"/>
              <w:bottom w:type="dxa" w:w="90"/>
              <w:right w:type="dxa" w:w="120"/>
            </w:tcMar>
          </w:tcPr>
          <w:p>
            <w:r>
              <w:rPr>
                <w:sz w:val="20"/>
                <w:szCs w:val="20"/>
              </w:rPr>
              <w:t xml:space="preserve">21.5%</w:t>
            </w:r>
          </w:p>
        </w:tc>
      </w:tr>
      <w:tr>
        <w:tc>
          <w:tcPr>
            <w:tcW w:type="pct" w:w="50%"/>
            <w:tcMar>
              <w:top w:type="dxa" w:w="90"/>
              <w:left w:type="dxa" w:w="120"/>
              <w:bottom w:type="dxa" w:w="90"/>
              <w:right w:type="dxa" w:w="120"/>
            </w:tcMar>
          </w:tcPr>
          <w:p>
            <w:r>
              <w:rPr>
                <w:sz w:val="20"/>
                <w:szCs w:val="20"/>
              </w:rPr>
              <w:t xml:space="preserve">Loyal Customer</w:t>
            </w:r>
          </w:p>
        </w:tc>
        <w:tc>
          <w:tcPr>
            <w:tcW w:type="pct" w:w="25%"/>
            <w:tcMar>
              <w:top w:type="dxa" w:w="90"/>
              <w:left w:type="dxa" w:w="120"/>
              <w:bottom w:type="dxa" w:w="90"/>
              <w:right w:type="dxa" w:w="120"/>
            </w:tcMar>
          </w:tcPr>
          <w:p>
            <w:r>
              <w:rPr>
                <w:sz w:val="20"/>
                <w:szCs w:val="20"/>
              </w:rPr>
              <w:t xml:space="preserve">1012</w:t>
            </w:r>
          </w:p>
        </w:tc>
        <w:tc>
          <w:tcPr>
            <w:tcW w:type="pct" w:w="25%"/>
            <w:tcMar>
              <w:top w:type="dxa" w:w="90"/>
              <w:left w:type="dxa" w:w="120"/>
              <w:bottom w:type="dxa" w:w="90"/>
              <w:right w:type="dxa" w:w="120"/>
            </w:tcMar>
          </w:tcPr>
          <w:p>
            <w:r>
              <w:rPr>
                <w:sz w:val="20"/>
                <w:szCs w:val="20"/>
              </w:rPr>
              <w:t xml:space="preserve">23.4%</w:t>
            </w:r>
          </w:p>
        </w:tc>
      </w:tr>
      <w:tr>
        <w:tc>
          <w:tcPr>
            <w:tcW w:type="pct" w:w="50%"/>
            <w:tcMar>
              <w:top w:type="dxa" w:w="90"/>
              <w:left w:type="dxa" w:w="120"/>
              <w:bottom w:type="dxa" w:w="90"/>
              <w:right w:type="dxa" w:w="120"/>
            </w:tcMar>
          </w:tcPr>
          <w:p>
            <w:r>
              <w:rPr>
                <w:sz w:val="20"/>
                <w:szCs w:val="20"/>
              </w:rPr>
              <w:t xml:space="preserve">At Risk</w:t>
            </w:r>
          </w:p>
        </w:tc>
        <w:tc>
          <w:tcPr>
            <w:tcW w:type="pct" w:w="25%"/>
            <w:tcMar>
              <w:top w:type="dxa" w:w="90"/>
              <w:left w:type="dxa" w:w="120"/>
              <w:bottom w:type="dxa" w:w="90"/>
              <w:right w:type="dxa" w:w="120"/>
            </w:tcMar>
          </w:tcPr>
          <w:p>
            <w:r>
              <w:rPr>
                <w:sz w:val="20"/>
                <w:szCs w:val="20"/>
              </w:rPr>
              <w:t xml:space="preserve">1078</w:t>
            </w:r>
          </w:p>
        </w:tc>
        <w:tc>
          <w:tcPr>
            <w:tcW w:type="pct" w:w="25%"/>
            <w:tcMar>
              <w:top w:type="dxa" w:w="90"/>
              <w:left w:type="dxa" w:w="120"/>
              <w:bottom w:type="dxa" w:w="90"/>
              <w:right w:type="dxa" w:w="120"/>
            </w:tcMar>
          </w:tcPr>
          <w:p>
            <w:r>
              <w:rPr>
                <w:sz w:val="20"/>
                <w:szCs w:val="20"/>
              </w:rPr>
              <w:t xml:space="preserve">24.9%</w:t>
            </w:r>
          </w:p>
        </w:tc>
      </w:tr>
      <w:tr>
        <w:tc>
          <w:tcPr>
            <w:tcW w:type="pct" w:w="50%"/>
            <w:tcMar>
              <w:top w:type="dxa" w:w="90"/>
              <w:left w:type="dxa" w:w="120"/>
              <w:bottom w:type="dxa" w:w="90"/>
              <w:right w:type="dxa" w:w="120"/>
            </w:tcMar>
          </w:tcPr>
          <w:p>
            <w:r>
              <w:rPr>
                <w:sz w:val="20"/>
                <w:szCs w:val="20"/>
              </w:rPr>
              <w:t xml:space="preserve">Lost / Inactive</w:t>
            </w:r>
          </w:p>
        </w:tc>
        <w:tc>
          <w:tcPr>
            <w:tcW w:type="pct" w:w="25%"/>
            <w:tcMar>
              <w:top w:type="dxa" w:w="90"/>
              <w:left w:type="dxa" w:w="120"/>
              <w:bottom w:type="dxa" w:w="90"/>
              <w:right w:type="dxa" w:w="120"/>
            </w:tcMar>
          </w:tcPr>
          <w:p>
            <w:r>
              <w:rPr>
                <w:sz w:val="20"/>
                <w:szCs w:val="20"/>
              </w:rPr>
              <w:t xml:space="preserve">1310</w:t>
            </w:r>
          </w:p>
        </w:tc>
        <w:tc>
          <w:tcPr>
            <w:tcW w:type="pct" w:w="25%"/>
            <w:tcMar>
              <w:top w:type="dxa" w:w="90"/>
              <w:left w:type="dxa" w:w="120"/>
              <w:bottom w:type="dxa" w:w="90"/>
              <w:right w:type="dxa" w:w="120"/>
            </w:tcMar>
          </w:tcPr>
          <w:p>
            <w:r>
              <w:rPr>
                <w:sz w:val="20"/>
                <w:szCs w:val="20"/>
              </w:rPr>
              <w:t xml:space="preserve">30.2%</w:t>
            </w:r>
          </w:p>
        </w:tc>
      </w:tr>
    </w:tbl>
    <w:p>
      <w:pPr>
        <w:spacing w:after="200"/>
      </w:pPr>
    </w:p>
    <w:p>
      <w:pPr>
        <w:pStyle w:val="Heading2"/>
        <w:spacing w:after="150" w:before="300"/>
      </w:pPr>
      <w:r>
        <w:t xml:space="preserve">Kohort Analizi — Müştəri Saxlama</w:t>
      </w:r>
    </w:p>
    <w:p>
      <w:pPr>
        <w:spacing w:after="160"/>
      </w:pPr>
      <w:r>
        <w:t xml:space="preserve">İlk kohort (dekabr 2010, 884 müştəri) izlənəndə, yalnız 321 nəfər (36.3%) 1 ay sonra geri qayıdıb. Bu, ən böyük müştəri itkisinin ilk ay ərzində baş verdiyini göstərir — sonrakı aylarda saxlama nisbəti nisbətən sabitləşir.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50"/>
      </w:tblGrid>
      <w:tr>
        <w:tc>
          <w:tcPr>
            <w:tcW w:type="pct" w:w="100%"/>
            <w:shd w:fill="FFF4E5" w:val="clear"/>
            <w:tcMar>
              <w:top w:type="dxa" w:w="180"/>
              <w:left w:type="dxa" w:w="220"/>
              <w:bottom w:type="dxa" w:w="180"/>
              <w:right w:type="dxa" w:w="220"/>
            </w:tcMar>
          </w:tcPr>
          <w:p>
            <w:pPr>
              <w:spacing w:after="80"/>
            </w:pPr>
            <w:r>
              <w:rPr>
                <w:b/>
                <w:bCs/>
                <w:color w:val="9C5700"/>
                <w:sz w:val="21"/>
                <w:szCs w:val="21"/>
              </w:rPr>
              <w:t xml:space="preserve">Tövsiyə — Müştəri Saxlama</w:t>
            </w:r>
          </w:p>
          <w:p>
            <w:r>
              <w:rPr>
                <w:color w:val="5C4400"/>
                <w:sz w:val="20"/>
                <w:szCs w:val="20"/>
              </w:rPr>
              <w:t xml:space="preserve">İlk alışdan sonrakı ilk 30 gün ərzində fəal saxlama tədbirləri (xoş gəldin endirimi, ikinci alış üçün stimul, email seriyası) tətbiq edilməlidir, çünki müştəri itkisinin böyük hissəsi məhz bu pəncərədə baş verir.</w:t>
            </w:r>
          </w:p>
        </w:tc>
      </w:tr>
    </w:tbl>
    <w:p>
      <w:pPr>
        <w:spacing w:after="200"/>
      </w:pPr>
    </w:p>
    <w:p>
      <w:r>
        <w:br w:type="page"/>
      </w:r>
    </w:p>
    <w:p>
      <w:pPr>
        <w:pStyle w:val="Heading1"/>
        <w:spacing w:after="200" w:before="400"/>
      </w:pPr>
      <w:r>
        <w:t xml:space="preserve">6. Yekun Tövsiyələr</w:t>
      </w:r>
    </w:p>
    <w:p>
      <w:pPr>
        <w:pStyle w:val="Heading2"/>
        <w:spacing w:after="150" w:before="300"/>
      </w:pPr>
      <w:r>
        <w:t xml:space="preserve">Məhsul və Stok</w:t>
      </w:r>
    </w:p>
    <w:p>
      <w:pPr>
        <w:pStyle w:val="ListParagraph"/>
        <w:numPr>
          <w:ilvl w:val="0"/>
          <w:numId w:val="1"/>
        </w:numPr>
        <w:spacing w:after="100"/>
      </w:pPr>
      <w:r>
        <w:t xml:space="preserve">867 "A qrupu" məhsula prioritet stok/marketinq diqqəti ayrılsın; C qrupundakı 2143 məhsulun rentabelliyi nəzərdən keçirilsin.</w:t>
      </w:r>
    </w:p>
    <w:p>
      <w:pPr>
        <w:pStyle w:val="ListParagraph"/>
        <w:numPr>
          <w:ilvl w:val="0"/>
          <w:numId w:val="1"/>
        </w:numPr>
        <w:spacing w:after="100"/>
      </w:pPr>
      <w:r>
        <w:t xml:space="preserve">Market Basket analizindən çıxan cütlər (rəng/dizayn variantları) bundle kimi təklif edilsin.</w:t>
      </w:r>
    </w:p>
    <w:p>
      <w:pPr>
        <w:pStyle w:val="Heading2"/>
        <w:spacing w:after="150" w:before="300"/>
      </w:pPr>
      <w:r>
        <w:t xml:space="preserve">Müştəri Saxlama</w:t>
      </w:r>
    </w:p>
    <w:p>
      <w:pPr>
        <w:pStyle w:val="ListParagraph"/>
        <w:numPr>
          <w:ilvl w:val="0"/>
          <w:numId w:val="1"/>
        </w:numPr>
        <w:spacing w:after="100"/>
      </w:pPr>
      <w:r>
        <w:t xml:space="preserve">İlk 30 gün üçün xüsusi saxlama kampaniyası (retention) qurulsun — ən böyük itki bu pəncərədə baş verir.</w:t>
      </w:r>
    </w:p>
    <w:p>
      <w:pPr>
        <w:pStyle w:val="ListParagraph"/>
        <w:numPr>
          <w:ilvl w:val="0"/>
          <w:numId w:val="1"/>
        </w:numPr>
        <w:spacing w:after="100"/>
      </w:pPr>
      <w:r>
        <w:t xml:space="preserve">"At Risk" seqmentindəki 1078 müştəriyə təcili geri-qazanma (win-back) kampaniyası göndərilsin.</w:t>
      </w:r>
    </w:p>
    <w:p>
      <w:pPr>
        <w:pStyle w:val="ListParagraph"/>
        <w:numPr>
          <w:ilvl w:val="0"/>
          <w:numId w:val="1"/>
        </w:numPr>
        <w:spacing w:after="100"/>
      </w:pPr>
      <w:r>
        <w:t xml:space="preserve">"VIP/Champion" seqmentindəki 933 müştəriyə sadiqlik proqramı və erkən giriş imtiyazları təklif edilsin.</w:t>
      </w:r>
    </w:p>
    <w:p>
      <w:pPr>
        <w:pStyle w:val="Heading2"/>
        <w:spacing w:after="150" w:before="300"/>
      </w:pPr>
      <w:r>
        <w:t xml:space="preserve">Bazar Genişlənməsi</w:t>
      </w:r>
    </w:p>
    <w:p>
      <w:pPr>
        <w:pStyle w:val="ListParagraph"/>
        <w:numPr>
          <w:ilvl w:val="0"/>
          <w:numId w:val="1"/>
        </w:numPr>
        <w:spacing w:after="100"/>
      </w:pPr>
      <w:r>
        <w:t xml:space="preserve">UK bazarına 84.8% asılılıq riski var — Netherlands, EIRE və Germany kimi ikinci dərəcəli bazarlarda hədəflənmiş marketinqlə diversifikasiya nəzərdən keçirilsin.</w:t>
      </w:r>
    </w:p>
    <w:p>
      <w:pPr>
        <w:pStyle w:val="Heading2"/>
        <w:spacing w:after="150" w:before="300"/>
      </w:pPr>
      <w:r>
        <w:t xml:space="preserve">Data Keyfiyyəti</w:t>
      </w:r>
    </w:p>
    <w:p>
      <w:pPr>
        <w:pStyle w:val="ListParagraph"/>
        <w:numPr>
          <w:ilvl w:val="0"/>
          <w:numId w:val="1"/>
        </w:numPr>
        <w:spacing w:after="100"/>
      </w:pPr>
      <w:r>
        <w:t xml:space="preserve">Sifariş sisteminə, dərhal ləğv edilən "səhv" sifarişlərin qarşısını almaq üçün təsdiq addımı (confirmation step) əlavə edilməsi tövsiyə olunur.</w:t>
      </w:r>
    </w:p>
    <w:p>
      <w:pPr>
        <w:pStyle w:val="ListParagraph"/>
        <w:numPr>
          <w:ilvl w:val="0"/>
          <w:numId w:val="1"/>
        </w:numPr>
        <w:spacing w:after="100"/>
      </w:pPr>
      <w:r>
        <w:t xml:space="preserve">Gələcək hesabatlarda, təkcə ləğv statusuna deyil, satış-sonra-ləğv ardıcıllığına da avtomatik yoxlama tətbiq edilməlidir.</w:t>
      </w:r>
    </w:p>
    <w:p>
      <w:pPr>
        <w:spacing w:before="400"/>
      </w:pPr>
      <w:r>
        <w:rPr>
          <w:b/>
          <w:bCs/>
          <w:color w:val="595959"/>
          <w:sz w:val="20"/>
          <w:szCs w:val="20"/>
        </w:rPr>
        <w:t xml:space="preserve">Metodologiya qeydi: </w:t>
      </w:r>
      <w:r>
        <w:rPr>
          <w:color w:val="595959"/>
          <w:sz w:val="20"/>
          <w:szCs w:val="20"/>
        </w:rPr>
        <w:t xml:space="preserve">Bu analiz UCI Machine Learning Repository-nin "Online Retail" açıq datasetinə əsaslanır. Python (pandas, scikit-learn, matplotlib) istifadə edilib. Kod və tam analiz addımları tələb olunduqda təqdim edilə bilər.</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Səhifə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E-commerce Satış Analizi | 2010–2011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6F5C" w:sz="8" w:space="4"/>
      </w:pBdr>
      <w:spacing w:after="180" w:before="360"/>
    </w:pPr>
    <w:rPr>
      <w:rFonts w:ascii="Calibri" w:cs="Calibri" w:eastAsia="Calibri" w:hAnsi="Calibri"/>
      <w:b/>
      <w:bCs/>
      <w:color w:val="14453B"/>
      <w:sz w:val="30"/>
      <w:szCs w:val="30"/>
    </w:rPr>
  </w:style>
  <w:style w:type="paragraph" w:styleId="Heading2">
    <w:name w:val="Heading 2"/>
    <w:basedOn w:val="Normal"/>
    <w:next w:val="Normal"/>
    <w:qFormat/>
    <w:pPr>
      <w:spacing w:after="140" w:before="280"/>
    </w:pPr>
    <w:rPr>
      <w:rFonts w:ascii="Calibri" w:cs="Calibri" w:eastAsia="Calibri" w:hAnsi="Calibri"/>
      <w:b/>
      <w:bCs/>
      <w:color w:val="14453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48304403de9efb18822921a37600d511013bb4e.png"/><Relationship Id="rId10" Type="http://schemas.openxmlformats.org/officeDocument/2006/relationships/image" Target="media/1c299187c645eccac0bb7bd1144d03d23a46b539.png"/><Relationship Id="rId11" Type="http://schemas.openxmlformats.org/officeDocument/2006/relationships/image" Target="media/9615d338bff39297a9f09e26b08764fd02b6d44c.png"/><Relationship Id="rId12" Type="http://schemas.openxmlformats.org/officeDocument/2006/relationships/image" Target="media/612d6f326b0bd66ca24ac53e794f67a0ba7c9674.png"/><Relationship Id="rId13" Type="http://schemas.openxmlformats.org/officeDocument/2006/relationships/image" Target="media/12ca04bfe083837bfc11b8c83f6753440b663eb0.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2026-08-28T06:10:03.782Z</dcterms:created>
  <dcterms:modified xsi:type="dcterms:W3CDTF">2026-08-28T06:10:03.782Z</dcterms:modified>
</cp:coreProperties>
</file>

<file path=docProps/custom.xml><?xml version="1.0" encoding="utf-8"?>
<Properties xmlns="http://schemas.openxmlformats.org/officeDocument/2006/custom-properties" xmlns:vt="http://schemas.openxmlformats.org/officeDocument/2006/docPropsVTypes"/>
</file>