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1487" w14:textId="21ED39BB" w:rsidR="009C6165" w:rsidRDefault="009C6165">
      <w:pPr>
        <w:rPr>
          <w:b/>
          <w:bCs/>
        </w:rPr>
      </w:pPr>
      <w:r w:rsidRPr="009C6165">
        <w:rPr>
          <w:b/>
          <w:bCs/>
        </w:rPr>
        <w:t>What are your thoughts on the company Chipotle ($CMG) as a potential investment? Please provide a write-up (250 words maximum) to justify your opinion.</w:t>
      </w:r>
    </w:p>
    <w:p w14:paraId="10FD5223" w14:textId="77777777" w:rsidR="00176D3E" w:rsidRPr="00176D3E" w:rsidRDefault="00176D3E">
      <w:pPr>
        <w:rPr>
          <w:i/>
          <w:iCs/>
        </w:rPr>
      </w:pPr>
      <w:r w:rsidRPr="00176D3E">
        <w:rPr>
          <w:i/>
          <w:iCs/>
        </w:rPr>
        <w:t xml:space="preserve">Recommendation: PASS </w:t>
      </w:r>
    </w:p>
    <w:p w14:paraId="1402196E" w14:textId="766F73C0" w:rsidR="00176D3E" w:rsidRDefault="00176D3E" w:rsidP="00176D3E">
      <w:pPr>
        <w:ind w:firstLine="720"/>
      </w:pPr>
      <w:r w:rsidRPr="00176D3E">
        <w:t>While Chipotle Mexican Grill ($CMG) possesses strong long-term fundamentals, it</w:t>
      </w:r>
      <w:r w:rsidR="00877AC7">
        <w:t>s</w:t>
      </w:r>
      <w:r w:rsidRPr="00176D3E">
        <w:t xml:space="preserve"> h</w:t>
      </w:r>
      <w:r>
        <w:t xml:space="preserve">igh premium creates a </w:t>
      </w:r>
      <w:r w:rsidRPr="00176D3E">
        <w:t>poor</w:t>
      </w:r>
      <w:r>
        <w:t xml:space="preserve"> near-term</w:t>
      </w:r>
      <w:r w:rsidRPr="00176D3E">
        <w:t xml:space="preserve"> risk-reward profile</w:t>
      </w:r>
      <w:r>
        <w:t>, with limited upside potential yet little justification for a short position.</w:t>
      </w:r>
    </w:p>
    <w:p w14:paraId="4BFD5F90" w14:textId="1E433983" w:rsidR="00176D3E" w:rsidRDefault="00176D3E" w:rsidP="00176D3E">
      <w:pPr>
        <w:ind w:firstLine="720"/>
      </w:pPr>
      <w:r w:rsidRPr="00176D3E">
        <w:t>The company has a proven track record of rapid growth and, with only 3,770 stores, possesses a clear pathway for market share expansion. However, this optimistic future is already priced into the current consensus (P/E of 36.34; EV/EBITDA of 24.85), giving it high vulnerability to underperforming growth.</w:t>
      </w:r>
    </w:p>
    <w:p w14:paraId="25C92BE8" w14:textId="0E4E4B8C" w:rsidR="00176D3E" w:rsidRDefault="00176D3E" w:rsidP="00176D3E">
      <w:pPr>
        <w:ind w:firstLine="720"/>
      </w:pPr>
      <w:r w:rsidRPr="00176D3E">
        <w:t xml:space="preserve"> The stock has experienced a significant 40.6% decline since its 52-week high as a result of exactly such underperformance</w:t>
      </w:r>
      <w:r w:rsidR="00877AC7">
        <w:t xml:space="preserve">. </w:t>
      </w:r>
      <w:r w:rsidRPr="00176D3E">
        <w:t xml:space="preserve">This </w:t>
      </w:r>
      <w:r w:rsidR="00877AC7">
        <w:t>selling pressure was once again</w:t>
      </w:r>
      <w:r w:rsidRPr="00176D3E">
        <w:t xml:space="preserve"> reaffirmed this past Monday when the stock fell by 3.4% on a spike in trading volume, indicating that </w:t>
      </w:r>
      <w:r w:rsidR="00877AC7">
        <w:t>near-term</w:t>
      </w:r>
      <w:r w:rsidRPr="00176D3E">
        <w:t xml:space="preserve"> recovery </w:t>
      </w:r>
      <w:r w:rsidR="00877AC7">
        <w:t>remains</w:t>
      </w:r>
      <w:r w:rsidRPr="00176D3E">
        <w:t xml:space="preserve"> unlikely. </w:t>
      </w:r>
    </w:p>
    <w:p w14:paraId="75CAD959" w14:textId="36167E25" w:rsidR="00877AC7" w:rsidRDefault="00176D3E" w:rsidP="00176D3E">
      <w:pPr>
        <w:ind w:firstLine="720"/>
      </w:pPr>
      <w:r w:rsidRPr="00176D3E">
        <w:t xml:space="preserve">The core issue of this declining growth is due to overall soft consumer spending in restaurants, which is a macroeconomic headwind affecting the entire QSR sector unlikely to be resolved in the </w:t>
      </w:r>
      <w:r>
        <w:t>next 2-3</w:t>
      </w:r>
      <w:r w:rsidRPr="00176D3E">
        <w:t xml:space="preserve"> quarters. This creates a scenario where CMG could either continue declining if consumer spending weakens further, or experience modest recovery that might slightly justify the current valuation premium—</w:t>
      </w:r>
      <w:r w:rsidR="00877AC7">
        <w:t xml:space="preserve">a possibility that makes a short </w:t>
      </w:r>
      <w:r w:rsidRPr="00176D3E">
        <w:t xml:space="preserve">unappealing. </w:t>
      </w:r>
    </w:p>
    <w:p w14:paraId="4D34990E" w14:textId="2BDCF18F" w:rsidR="007931BC" w:rsidRPr="00176D3E" w:rsidRDefault="00176D3E" w:rsidP="00176D3E">
      <w:pPr>
        <w:ind w:firstLine="720"/>
      </w:pPr>
      <w:r w:rsidRPr="00176D3E">
        <w:t>With limited upside potential already priced in and significant downside risk from continued macro pressures, the risk-reward profile is heavily skewed against investors. In the words of one of Chipotle's own largest holders, Pershing Square: "the near-term backdrop is uncertain.”</w:t>
      </w:r>
      <w:r w:rsidR="00877AC7">
        <w:t xml:space="preserve"> CMG is a pass.</w:t>
      </w:r>
    </w:p>
    <w:sectPr w:rsidR="007931BC" w:rsidRPr="0017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1"/>
    <w:rsid w:val="000D1197"/>
    <w:rsid w:val="001717D7"/>
    <w:rsid w:val="00176D3E"/>
    <w:rsid w:val="001D59A4"/>
    <w:rsid w:val="002F7BA3"/>
    <w:rsid w:val="0042505A"/>
    <w:rsid w:val="00434611"/>
    <w:rsid w:val="004A5834"/>
    <w:rsid w:val="004C6241"/>
    <w:rsid w:val="004F1EB0"/>
    <w:rsid w:val="005D7F6F"/>
    <w:rsid w:val="007931BC"/>
    <w:rsid w:val="00825C3B"/>
    <w:rsid w:val="008448AA"/>
    <w:rsid w:val="00877AC7"/>
    <w:rsid w:val="00892079"/>
    <w:rsid w:val="008F5E61"/>
    <w:rsid w:val="00973308"/>
    <w:rsid w:val="009C6165"/>
    <w:rsid w:val="00A073C6"/>
    <w:rsid w:val="00B42B2F"/>
    <w:rsid w:val="00E20E3A"/>
    <w:rsid w:val="00E733A1"/>
    <w:rsid w:val="00EC7EED"/>
    <w:rsid w:val="00F82C60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0395"/>
  <w15:chartTrackingRefBased/>
  <w15:docId w15:val="{2D565038-C4F2-4D50-9947-68E8C9FA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FD28-A10F-4130-9231-1E6F87E9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Balestriere, Niccolo</dc:creator>
  <cp:keywords/>
  <dc:description/>
  <cp:lastModifiedBy>Balestriere, Niccolo</cp:lastModifiedBy>
  <cp:revision>1</cp:revision>
  <dcterms:created xsi:type="dcterms:W3CDTF">2025-09-09T22:33:00Z</dcterms:created>
  <dcterms:modified xsi:type="dcterms:W3CDTF">2025-09-11T21:28:00Z</dcterms:modified>
</cp:coreProperties>
</file>