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面向低资源场景的高效表征学习</w:t>
      </w:r>
    </w:p>
    <w:p>
      <w:r>
        <w:t>张某，李某　某大学计算机学院</w:t>
      </w:r>
    </w:p>
    <w:p>
      <w:pPr>
        <w:pStyle w:val="Heading1"/>
      </w:pPr>
      <w:r>
        <w:t>研究背景与问题</w:t>
      </w:r>
    </w:p>
    <w:p>
      <w:r>
        <w:t>深度表征学习在大规模标注数据上取得了显著成功，但在医学影像、工业质检等真实场景中，获取高质量标注的成本极高，可用样本常低于千级规模。</w:t>
      </w:r>
    </w:p>
    <w:p>
      <w:r>
        <w:t>现有自监督方法在小样本条件下普遍出现表征坍缩（representation collapse），即不同类别的样本被映射到相近的表征空间区域，导致下游分类性能急剧下降。</w:t>
      </w:r>
    </w:p>
    <w:p>
      <w:r>
        <w:t>本项目拟解决的核心科学问题是：如何在样本量受限的条件下，构造具有判别性且不坍缩的表征空间。</w:t>
      </w:r>
    </w:p>
    <w:p>
      <w:pPr>
        <w:pStyle w:val="Heading1"/>
      </w:pPr>
      <w:r>
        <w:t>研究目标与内容</w:t>
      </w:r>
    </w:p>
    <w:p>
      <w:r>
        <w:t>总体思路是以结构先验约束表征空间的几何形态，从而在小样本条件下抑制坍缩。</w:t>
      </w:r>
    </w:p>
    <w:p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本项目提出的整体技术框架</w:t>
      </w:r>
    </w:p>
    <w:p>
      <w:pPr>
        <w:pStyle w:val="Heading2"/>
      </w:pPr>
      <w:r>
        <w:t>具体研究内容</w:t>
      </w:r>
    </w:p>
    <w:p>
      <w:pPr>
        <w:pStyle w:val="ListBullet"/>
      </w:pPr>
      <w:r>
        <w:t>结构一致性正则项的设计与理论分析</w:t>
      </w:r>
    </w:p>
    <w:p>
      <w:pPr>
        <w:pStyle w:val="ListBullet"/>
      </w:pPr>
      <w:r>
        <w:t>面向小样本的表征空间几何约束方法</w:t>
      </w:r>
    </w:p>
    <w:p>
      <w:pPr>
        <w:pStyle w:val="ListBullet"/>
      </w:pPr>
      <w:r>
        <w:t>跨下游任务的统一迁移框架</w:t>
      </w:r>
    </w:p>
    <w:p>
      <w:pPr>
        <w:pStyle w:val="Heading1"/>
      </w:pPr>
      <w:r>
        <w:t>创新点</w:t>
      </w:r>
    </w:p>
    <w:p>
      <w:pPr>
        <w:pStyle w:val="ListNumber"/>
      </w:pPr>
      <w:r>
        <w:t>提出结构一致性正则，并给出泛化误差上界的理论刻画</w:t>
      </w:r>
    </w:p>
    <w:p>
      <w:pPr>
        <w:pStyle w:val="ListNumber"/>
      </w:pPr>
      <w:r>
        <w:t>在参数量降低54%的同时，将下游分类精度提升7.5个百分点</w:t>
      </w:r>
    </w:p>
    <w:p>
      <w:pPr>
        <w:pStyle w:val="ListNumber"/>
      </w:pPr>
      <w:r>
        <w:t>给出可迁移至分类、检测、分割三类下游任务的统一框架</w:t>
      </w:r>
    </w:p>
    <w:p>
      <w:r>
        <w:t>其中泛化界的形式为 R(h) ≤ R̂(h) + O(√(d/n)) + ε</w:t>
      </w:r>
    </w:p>
    <w:p>
      <w:pPr>
        <w:pStyle w:val="Heading1"/>
      </w:pPr>
      <w:r>
        <w:t>研究基础</w:t>
      </w:r>
    </w:p>
    <w:p>
      <w:r>
        <w:t>表1 与基线方法的对比结果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参数量</w:t>
            </w:r>
          </w:p>
        </w:tc>
        <w:tc>
          <w:tcPr>
            <w:tcW w:type="dxa" w:w="2160"/>
          </w:tcPr>
          <w:p>
            <w:r>
              <w:t>训练时长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0.812</w:t>
            </w:r>
          </w:p>
        </w:tc>
        <w:tc>
          <w:tcPr>
            <w:tcW w:type="dxa" w:w="2160"/>
          </w:tcPr>
          <w:p>
            <w:r>
              <w:t>24M</w:t>
            </w:r>
          </w:p>
        </w:tc>
        <w:tc>
          <w:tcPr>
            <w:tcW w:type="dxa" w:w="2160"/>
          </w:tcPr>
          <w:p>
            <w:r>
              <w:t>6.5h</w:t>
            </w:r>
          </w:p>
        </w:tc>
      </w:tr>
      <w:tr>
        <w:tc>
          <w:tcPr>
            <w:tcW w:type="dxa" w:w="2160"/>
          </w:tcPr>
          <w:p>
            <w:r>
              <w:t>本文方法</w:t>
            </w:r>
          </w:p>
        </w:tc>
        <w:tc>
          <w:tcPr>
            <w:tcW w:type="dxa" w:w="2160"/>
          </w:tcPr>
          <w:p>
            <w:r>
              <w:t>0.887</w:t>
            </w:r>
          </w:p>
        </w:tc>
        <w:tc>
          <w:tcPr>
            <w:tcW w:type="dxa" w:w="2160"/>
          </w:tcPr>
          <w:p>
            <w:r>
              <w:t>11M</w:t>
            </w:r>
          </w:p>
        </w:tc>
        <w:tc>
          <w:tcPr>
            <w:tcW w:type="dxa" w:w="2160"/>
          </w:tcPr>
          <w:p>
            <w:r>
              <w:t>4.2h</w:t>
            </w:r>
          </w:p>
        </w:tc>
      </w:tr>
    </w:tbl>
    <w:p>
      <w:r>
        <w:t>前期工作已在三个公开数据集上验证了上述结论，相关成果发表于两篇CCF-A类会议论文。</w:t>
      </w:r>
    </w:p>
    <w:p>
      <w:pPr>
        <w:pStyle w:val="Heading1"/>
      </w:pPr>
      <w:r>
        <w:t>可行性分析</w:t>
      </w:r>
    </w:p>
    <w:p>
      <w:r>
        <w:t>申请人所在团队长期从事表征学习研究，具备完整的算力条件与数据积累。</w:t>
      </w:r>
    </w:p>
    <w:p>
      <w:pPr>
        <w:pStyle w:val="Heading1"/>
      </w:pPr>
      <w:r>
        <w:t>参考文献</w:t>
      </w:r>
    </w:p>
    <w:p>
      <w:r>
        <w:t>[1] Chen T, et al. A Simple Framework for Contrastive Learning. ICML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面向低资源场景的高效表征学习</dc:title>
  <dc:subject/>
  <dc:creator>张某; 李某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