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A-K</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H)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3 plots.</w:t>
      </w:r>
    </w:p>
    <w:p>
      <w:pPr>
        <w:pStyle w:val="TableCaption"/>
      </w:pPr>
      <w:r>
        <w:t xml:space="preserve">Table A3: The self-supervision families in full — the five-fold account behind the body's Figure 3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B: THE BASELINE RECIPES OF FIGURE 3</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A10). Anchors are encoded only at evaluation time. Appendix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H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A6 measures.</w:t>
      </w:r>
    </w:p>
    <w:p>
      <w:pPr>
        <w:pStyle w:val="AppendixH1"/>
      </w:pPr>
      <w:r>
        <w:t xml:space="preserve">APPENDIX C: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D: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E: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F: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H.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7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For inference and deployment, the resource footprint drops to negligible levels. Encoding a user query requires a single forward pass through the 0.6B parameter frozen text model, which comfortably fits in under 3 GiB of VRAM on standard commodity hardware. The subsequent retrieval over the pre-computed anchors is a simple inner-product search that executes in milliseconds, entirely decoupling the heavy training-time graph from downstream use.</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H)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G: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H: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H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3)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I: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A12: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J: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K: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does not merely raise the name-stripped score; it removes the part of that score which was memorization. This is the same conclusion Section 6.1 draws from the factorization, measured from the other side.</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