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A–L</w:t>
      </w:r>
    </w:p>
    <w:p>
      <w:pPr>
        <w:pStyle w:val="Affiliation"/>
      </w:pPr>
      <w:r>
        <w:t xml:space="preserve">Appendices to the AICCC 2026 submission (PA0049)</w:t>
      </w:r>
    </w:p>
    <w:p>
      <w:pPr>
        <w:pStyle w:val="AppendixH1"/>
      </w:pPr>
      <w:r>
        <w:t xml:space="preserve">APPENDIX A: THE TWO QUERY REGISTERS ON ONE GAME</w:t>
      </w:r>
    </w:p>
    <w:p>
      <w:pPr>
        <w:pStyle w:val="PostHeadPara"/>
      </w:pPr>
      <w:r>
        <w:t xml:space="preserve">Both registers of Section 5 are written from the same wiki article by the same model and differ only in the instruction (Appendix F): name-intact keeps the names and is scored as Name hit@k, name-stripped is scored as Stripped hit@k, and the openings below are verbatim, for one held-out game.</w:t>
      </w:r>
    </w:p>
    <w:p>
      <w:pPr>
        <w:pStyle w:val="AlgorithmCaption"/>
      </w:pPr>
      <w:r>
        <w:t xml:space="preserve">LISTING 1: The two query registers on one held-out game</w:t>
      </w:r>
    </w:p>
    <w:p>
      <w:pPr>
        <w:pStyle w:val="Algorithm"/>
      </w:pPr>
      <w:r>
        <w:t xml:space="preserve">Name-intact (Name hit@k)</w:t>
        <w:br/>
        <w:t xml:space="preserve">Miasma Chronicles is a tactical role-playing video game developed by The Bearded Ladies and published by 505 Games in 2023. Set in a post-apocalyptic version of the United States, it combines turn-based tactics with stealth game mechanics. The story follows a world devastated by a force known as the miasma, which can transform or kill living things. More than a century after this catastrophe, a woman leaves her son, Elvis, in the care of a robot named Diggs. Elvis also receives a glove left behind by his mother that can control the miasma. Players take control of Elvis as he searches for his mother and tries to uncover more about the miasma.</w:t>
        <w:br/>
        <w:br/>
        <w:t xml:space="preserve">Name-stripped (Stripped hit@k)</w:t>
        <w:br/>
        <w:t xml:space="preserve">This tactical role-playing game takes place in a ruined future version of the United States, where a mysterious force has devastated the land by transforming or killing living things. The story follows a young man who is left in the care of a robot guardian after his mother disappears, and who later sets out to find her while uncovering the truth behind the strange force at the center of the world. He carries a special glove left by his mother, which can control this force and serves as a key part of both the narrative and the gameplay.</w:t>
      </w:r>
    </w:p>
    <w:p>
      <w:pPr>
        <w:pStyle w:val="AppendixH1"/>
      </w:pPr>
      <w:r>
        <w:t xml:space="preserve">APPENDIX B: FIVE-FOLD CROSS-VALIDATION DETAIL</w:t>
      </w:r>
    </w:p>
    <w:p>
      <w:pPr>
        <w:pStyle w:val="PostHeadPara"/>
      </w:pPr>
      <w:r>
        <w:t xml:space="preserve">Table A1 gives the per-fold results behind Table A2’s largest-budget row, seed-paired CE and I-CE at the 4,096-sentence budget under the protocol of Section 5 (retrieval among all 2,020 games).</w:t>
      </w:r>
    </w:p>
    <w:p>
      <w:pPr>
        <w:pStyle w:val="TableCaption"/>
      </w:pPr>
      <w:r>
        <w:t xml:space="preserve">Table A1: Per-fold detail at the 4,096-sentence anchor budget, test-set queries (ts). I-CE beats CE in five of five paired folds on both query registers at this budget. Means and standard deviations are computed before rounding.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keepNext/>
            </w:pPr>
            <w:r>
              <w:t xml:space="preserve">CE fold 0</w:t>
            </w:r>
          </w:p>
        </w:tc>
        <w:tc>
          <w:tcPr>
            <w:tcW w:type="dxa" w:w="1120"/>
          </w:tcPr>
          <w:p>
            <w:pPr>
              <w:pStyle w:val="TableCell"/>
              <w:keepNext/>
            </w:pPr>
            <w:r>
              <w:t xml:space="preserve">0.934</w:t>
            </w:r>
          </w:p>
        </w:tc>
        <w:tc>
          <w:tcPr>
            <w:tcW w:type="dxa" w:w="1120"/>
          </w:tcPr>
          <w:p>
            <w:pPr>
              <w:pStyle w:val="TableCell"/>
              <w:keepNext/>
            </w:pPr>
            <w:r>
              <w:t xml:space="preserve">0.988</w:t>
            </w:r>
          </w:p>
        </w:tc>
        <w:tc>
          <w:tcPr>
            <w:tcW w:type="dxa" w:w="1245"/>
          </w:tcPr>
          <w:p>
            <w:pPr>
              <w:pStyle w:val="TableCell"/>
              <w:keepNext/>
            </w:pPr>
            <w:r>
              <w:t xml:space="preserve">0.687</w:t>
            </w:r>
          </w:p>
        </w:tc>
        <w:tc>
          <w:tcPr>
            <w:tcW w:type="dxa" w:w="1245"/>
          </w:tcPr>
          <w:p>
            <w:pPr>
              <w:pStyle w:val="TableCell"/>
              <w:keepNext/>
            </w:pPr>
            <w:r>
              <w:t xml:space="preserve">0.889</w:t>
            </w:r>
          </w:p>
        </w:tc>
        <w:tc>
          <w:tcPr>
            <w:tcW w:type="dxa" w:w="2170"/>
          </w:tcPr>
          <w:p>
            <w:pPr>
              <w:pStyle w:val="TableCell"/>
              <w:keepNext/>
            </w:pPr>
            <w:r>
              <w:t xml:space="preserve">0.681</w:t>
            </w:r>
          </w:p>
        </w:tc>
      </w:tr>
      <w:tr>
        <w:tc>
          <w:tcPr>
            <w:tcW w:type="dxa" w:w="1500"/>
          </w:tcPr>
          <w:p>
            <w:pPr>
              <w:pStyle w:val="TableCell"/>
              <w:keepNext/>
            </w:pPr>
            <w:r>
              <w:t xml:space="preserve">CE fold 1</w:t>
            </w:r>
          </w:p>
        </w:tc>
        <w:tc>
          <w:tcPr>
            <w:tcW w:type="dxa" w:w="1120"/>
          </w:tcPr>
          <w:p>
            <w:pPr>
              <w:pStyle w:val="TableCell"/>
              <w:keepNext/>
            </w:pPr>
            <w:r>
              <w:t xml:space="preserve">0.945</w:t>
            </w:r>
          </w:p>
        </w:tc>
        <w:tc>
          <w:tcPr>
            <w:tcW w:type="dxa" w:w="1120"/>
          </w:tcPr>
          <w:p>
            <w:pPr>
              <w:pStyle w:val="TableCell"/>
              <w:keepNext/>
            </w:pPr>
            <w:r>
              <w:t xml:space="preserve">1.000</w:t>
            </w:r>
          </w:p>
        </w:tc>
        <w:tc>
          <w:tcPr>
            <w:tcW w:type="dxa" w:w="1245"/>
          </w:tcPr>
          <w:p>
            <w:pPr>
              <w:pStyle w:val="TableCell"/>
              <w:keepNext/>
            </w:pPr>
            <w:r>
              <w:t xml:space="preserve">0.693</w:t>
            </w:r>
          </w:p>
        </w:tc>
        <w:tc>
          <w:tcPr>
            <w:tcW w:type="dxa" w:w="1245"/>
          </w:tcPr>
          <w:p>
            <w:pPr>
              <w:pStyle w:val="TableCell"/>
              <w:keepNext/>
            </w:pPr>
            <w:r>
              <w:t xml:space="preserve">0.899</w:t>
            </w:r>
          </w:p>
        </w:tc>
        <w:tc>
          <w:tcPr>
            <w:tcW w:type="dxa" w:w="2170"/>
          </w:tcPr>
          <w:p>
            <w:pPr>
              <w:pStyle w:val="TableCell"/>
              <w:keepNext/>
            </w:pPr>
            <w:r>
              <w:t xml:space="preserve">0.667</w:t>
            </w:r>
          </w:p>
        </w:tc>
      </w:tr>
      <w:tr>
        <w:tc>
          <w:tcPr>
            <w:tcW w:type="dxa" w:w="1500"/>
          </w:tcPr>
          <w:p>
            <w:pPr>
              <w:pStyle w:val="TableCell"/>
              <w:keepNext/>
            </w:pPr>
            <w:r>
              <w:t xml:space="preserve">CE fold 2</w:t>
            </w:r>
          </w:p>
        </w:tc>
        <w:tc>
          <w:tcPr>
            <w:tcW w:type="dxa" w:w="1120"/>
          </w:tcPr>
          <w:p>
            <w:pPr>
              <w:pStyle w:val="TableCell"/>
              <w:keepNext/>
            </w:pPr>
            <w:r>
              <w:t xml:space="preserve">0.919</w:t>
            </w:r>
          </w:p>
        </w:tc>
        <w:tc>
          <w:tcPr>
            <w:tcW w:type="dxa" w:w="1120"/>
          </w:tcPr>
          <w:p>
            <w:pPr>
              <w:pStyle w:val="TableCell"/>
              <w:keepNext/>
            </w:pPr>
            <w:r>
              <w:t xml:space="preserve">0.971</w:t>
            </w:r>
          </w:p>
        </w:tc>
        <w:tc>
          <w:tcPr>
            <w:tcW w:type="dxa" w:w="1245"/>
          </w:tcPr>
          <w:p>
            <w:pPr>
              <w:pStyle w:val="TableCell"/>
              <w:keepNext/>
            </w:pPr>
            <w:r>
              <w:t xml:space="preserve">0.667</w:t>
            </w:r>
          </w:p>
        </w:tc>
        <w:tc>
          <w:tcPr>
            <w:tcW w:type="dxa" w:w="1245"/>
          </w:tcPr>
          <w:p>
            <w:pPr>
              <w:pStyle w:val="TableCell"/>
              <w:keepNext/>
            </w:pPr>
            <w:r>
              <w:t xml:space="preserve">0.869</w:t>
            </w:r>
          </w:p>
        </w:tc>
        <w:tc>
          <w:tcPr>
            <w:tcW w:type="dxa" w:w="2170"/>
          </w:tcPr>
          <w:p>
            <w:pPr>
              <w:pStyle w:val="TableCell"/>
              <w:keepNext/>
            </w:pPr>
            <w:r>
              <w:t xml:space="preserve">0.649</w:t>
            </w:r>
          </w:p>
        </w:tc>
      </w:tr>
      <w:tr>
        <w:tc>
          <w:tcPr>
            <w:tcW w:type="dxa" w:w="1500"/>
          </w:tcPr>
          <w:p>
            <w:pPr>
              <w:pStyle w:val="TableCell"/>
              <w:keepNext/>
            </w:pPr>
            <w:r>
              <w:t xml:space="preserve">CE fold 3</w:t>
            </w:r>
          </w:p>
        </w:tc>
        <w:tc>
          <w:tcPr>
            <w:tcW w:type="dxa" w:w="1120"/>
          </w:tcPr>
          <w:p>
            <w:pPr>
              <w:pStyle w:val="TableCell"/>
              <w:keepNext/>
            </w:pPr>
            <w:r>
              <w:t xml:space="preserve">0.933</w:t>
            </w:r>
          </w:p>
        </w:tc>
        <w:tc>
          <w:tcPr>
            <w:tcW w:type="dxa" w:w="1120"/>
          </w:tcPr>
          <w:p>
            <w:pPr>
              <w:pStyle w:val="TableCell"/>
              <w:keepNext/>
            </w:pPr>
            <w:r>
              <w:t xml:space="preserve">0.988</w:t>
            </w:r>
          </w:p>
        </w:tc>
        <w:tc>
          <w:tcPr>
            <w:tcW w:type="dxa" w:w="1245"/>
          </w:tcPr>
          <w:p>
            <w:pPr>
              <w:pStyle w:val="TableCell"/>
              <w:keepNext/>
            </w:pPr>
            <w:r>
              <w:t xml:space="preserve">0.656</w:t>
            </w:r>
          </w:p>
        </w:tc>
        <w:tc>
          <w:tcPr>
            <w:tcW w:type="dxa" w:w="1245"/>
          </w:tcPr>
          <w:p>
            <w:pPr>
              <w:pStyle w:val="TableCell"/>
              <w:keepNext/>
            </w:pPr>
            <w:r>
              <w:t xml:space="preserve">0.901</w:t>
            </w:r>
          </w:p>
        </w:tc>
        <w:tc>
          <w:tcPr>
            <w:tcW w:type="dxa" w:w="2170"/>
          </w:tcPr>
          <w:p>
            <w:pPr>
              <w:pStyle w:val="TableCell"/>
              <w:keepNext/>
            </w:pPr>
            <w:r>
              <w:t xml:space="preserve">0.681</w:t>
            </w:r>
          </w:p>
        </w:tc>
      </w:tr>
      <w:tr>
        <w:tc>
          <w:tcPr>
            <w:tcW w:type="dxa" w:w="1500"/>
          </w:tcPr>
          <w:p>
            <w:pPr>
              <w:pStyle w:val="TableCell"/>
              <w:keepNext/>
            </w:pPr>
            <w:r>
              <w:t xml:space="preserve">CE fold 4</w:t>
            </w:r>
          </w:p>
        </w:tc>
        <w:tc>
          <w:tcPr>
            <w:tcW w:type="dxa" w:w="1120"/>
          </w:tcPr>
          <w:p>
            <w:pPr>
              <w:pStyle w:val="TableCell"/>
              <w:keepNext/>
            </w:pPr>
            <w:r>
              <w:t xml:space="preserve">0.959</w:t>
            </w:r>
          </w:p>
        </w:tc>
        <w:tc>
          <w:tcPr>
            <w:tcW w:type="dxa" w:w="1120"/>
          </w:tcPr>
          <w:p>
            <w:pPr>
              <w:pStyle w:val="TableCell"/>
              <w:keepNext/>
            </w:pPr>
            <w:r>
              <w:t xml:space="preserve">0.993</w:t>
            </w:r>
          </w:p>
        </w:tc>
        <w:tc>
          <w:tcPr>
            <w:tcW w:type="dxa" w:w="1245"/>
          </w:tcPr>
          <w:p>
            <w:pPr>
              <w:pStyle w:val="TableCell"/>
              <w:keepNext/>
            </w:pPr>
            <w:r>
              <w:t xml:space="preserve">0.662</w:t>
            </w:r>
          </w:p>
        </w:tc>
        <w:tc>
          <w:tcPr>
            <w:tcW w:type="dxa" w:w="1245"/>
          </w:tcPr>
          <w:p>
            <w:pPr>
              <w:pStyle w:val="TableCell"/>
              <w:keepNext/>
            </w:pPr>
            <w:r>
              <w:t xml:space="preserve">0.888</w:t>
            </w:r>
          </w:p>
        </w:tc>
        <w:tc>
          <w:tcPr>
            <w:tcW w:type="dxa" w:w="2170"/>
          </w:tcPr>
          <w:p>
            <w:pPr>
              <w:pStyle w:val="TableCell"/>
              <w:keepNext/>
            </w:pPr>
            <w:r>
              <w:t xml:space="preserve">0.642</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CE vs I-CE at anchor budgets of 512–4,096 sentences (test-set queries (ts), five-fold mean ± std, the two objectives seed-paired per fold on identical splits). Increasing the budget yields one significant step, 512 to 1,024 sentences (p-value 0.003), followed by a plateau in which the three larger budgets are indistinguishable (p-values </w:t>
      </w:r>
      <m:oMath>
        <m:r>
          <w:rPr>
            <w:rFonts w:ascii="Cambria Math" w:hAnsi="Cambria Math"/>
          </w:rPr>
          <m:t xml:space="preserve">≥ 0.19</m:t>
        </m:r>
      </m:oMath>
      <w:r>
        <w:t xml:space="preserve">); I-CE leads CE at every budget (20 of 20 paired folds on Stripped hit@1). The windowed teacher (swin, Appendix J)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Table A13 in Appendix K repeats the fold-level detail at every budget, Table A7 tabulates the EMA + memory-bank variant, and Table A3 gives the full five-fold account of every objective family, the numbers the body’s Figure 4 plots.</w:t>
      </w:r>
    </w:p>
    <w:p>
      <w:pPr>
        <w:pStyle w:val="TableCaption"/>
      </w:pPr>
      <w:r>
        <w:t xml:space="preserve">Table A3: The self-supervision families in full: the five-fold account behind the body’s Figure 4 (test-set queries (ts), five-fold mean ± std at the 4,096-sentence anchor budget; “epd” marks VICReg wired on the expander outputs, </w:t>
      </w:r>
      <m:oMath>
        <m:r>
          <w:rPr>
            <w:rFonts w:ascii="Cambria Math" w:hAnsi="Cambria Math"/>
          </w:rPr>
          <m:t xml:space="preserve">v/i/c = 20/10/20</m:t>
        </m:r>
      </m:oMath>
      <w:r>
        <w:t xml:space="preserve">;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keeps name-stripped retrieval while reading tags above CE.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C: THE BASELINE AND VARIANT RECIPES</w:t>
      </w:r>
    </w:p>
    <w:p>
      <w:pPr>
        <w:pStyle w:val="PostHeadPara"/>
      </w:pPr>
      <w:r>
        <w:t xml:space="preserve">Every trained baseline shares the full scaffolding of Section 4: the same 4-query cross-attention tower, the same four views per game per step (three review views and one document view where a document exists), the same corpus, batch (192 games), optimizer (AdamW, lr 5e-4, weight decay 1e-4), 2,000-epoch budget, temperature </w:t>
      </w:r>
      <m:oMath>
        <m:r>
          <w:rPr>
            <w:rFonts w:ascii="Cambria Math" w:hAnsi="Cambria Math"/>
          </w:rPr>
          <m:t xml:space="preserve">τ = 0.02</m:t>
        </m:r>
      </m:oMath>
      <w:r>
        <w:t xml:space="preserve"> where a softmax exists, and the validation-only selection of Section 5. Table A4 gives each arm’s departure from that scaffolding.</w:t>
      </w:r>
    </w:p>
    <w:p>
      <w:pPr>
        <w:pStyle w:val="TableCaption"/>
      </w:pPr>
      <w:r>
        <w:t xml:space="preserve">Table A4: The baseline and variant recipes. The first five rows are the Figure 4 baselines; apart from the untrained frozen-embedder row, each keeps the tower and the training recipe and changes the objective together with the anchor supply and teacher that objective implies. The last four change the objective and, where noted, the schedule or the anchor supply.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2100"/>
        <w:gridCol w:w="1600"/>
        <w:gridCol w:w="1500"/>
        <w:gridCol w:w="1700"/>
      </w:tblGrid>
      <w:tr>
        <w:tc>
          <w:tcPr>
            <w:tcW w:type="dxa" w:w="1500"/>
          </w:tcPr>
          <w:p>
            <w:pPr>
              <w:pStyle w:val="TableCell"/>
              <w:keepNext/>
            </w:pPr>
            <w:r>
              <w:rPr>
                <w:b/>
              </w:rPr>
              <w:t xml:space="preserve">Arm</w:t>
            </w:r>
          </w:p>
        </w:tc>
        <w:tc>
          <w:tcPr>
            <w:tcW w:type="dxa" w:w="2100"/>
          </w:tcPr>
          <w:p>
            <w:pPr>
              <w:pStyle w:val="TableCell"/>
              <w:keepNext/>
            </w:pPr>
            <w:r>
              <w:rPr>
                <w:b/>
              </w:rPr>
              <w:t xml:space="preserve">Objective</w:t>
            </w:r>
          </w:p>
        </w:tc>
        <w:tc>
          <w:tcPr>
            <w:tcW w:type="dxa" w:w="1600"/>
          </w:tcPr>
          <w:p>
            <w:pPr>
              <w:pStyle w:val="TableCell"/>
              <w:keepNext/>
            </w:pPr>
            <w:r>
              <w:rPr>
                <w:b/>
              </w:rPr>
              <w:t xml:space="preserve">Anchor supply</w:t>
            </w:r>
          </w:p>
        </w:tc>
        <w:tc>
          <w:tcPr>
            <w:tcW w:type="dxa" w:w="1500"/>
          </w:tcPr>
          <w:p>
            <w:pPr>
              <w:pStyle w:val="TableCell"/>
              <w:keepNext/>
            </w:pPr>
            <w:r>
              <w:rPr>
                <w:b/>
              </w:rPr>
              <w:t xml:space="preserve">Schedule or teacher</w:t>
            </w:r>
          </w:p>
        </w:tc>
        <w:tc>
          <w:tcPr>
            <w:tcW w:type="dxa" w:w="1700"/>
          </w:tcPr>
          <w:p>
            <w:pPr>
              <w:pStyle w:val="TableCell"/>
              <w:keepNext/>
            </w:pPr>
            <w:r>
              <w:rPr>
                <w:b/>
              </w:rPr>
              <w:t xml:space="preserve">Notes</w:t>
            </w:r>
          </w:p>
        </w:tc>
      </w:tr>
      <w:tr>
        <w:tc>
          <w:tcPr>
            <w:tcW w:type="dxa" w:w="1500"/>
          </w:tcPr>
          <w:p>
            <w:pPr>
              <w:pStyle w:val="TableCell"/>
              <w:keepNext/>
            </w:pPr>
            <w:r>
              <w:t xml:space="preserve">Frozen embedder (mean pool)</w:t>
            </w:r>
          </w:p>
        </w:tc>
        <w:tc>
          <w:tcPr>
            <w:tcW w:type="dxa" w:w="2100"/>
          </w:tcPr>
          <w:p>
            <w:pPr>
              <w:pStyle w:val="TableCell"/>
              <w:keepNext/>
            </w:pPr>
            <w:r>
              <w:t xml:space="preserve">None. A game is the L2-normalized mean of its anchor-pack sentence embeddings, a query the L2-normalized mean of its own sentences</w:t>
            </w:r>
          </w:p>
        </w:tc>
        <w:tc>
          <w:tcPr>
            <w:tcW w:type="dxa" w:w="1600"/>
          </w:tcPr>
          <w:p>
            <w:pPr>
              <w:pStyle w:val="TableCell"/>
              <w:keepNext/>
            </w:pPr>
            <w:r>
              <w:t xml:space="preserve">Anchor packs read at evaluation only</w:t>
            </w:r>
          </w:p>
        </w:tc>
        <w:tc>
          <w:tcPr>
            <w:tcW w:type="dxa" w:w="1500"/>
          </w:tcPr>
          <w:p>
            <w:pPr>
              <w:pStyle w:val="TableCell"/>
              <w:keepNext/>
            </w:pPr>
            <w:r>
              <w:t xml:space="preserve">No tower and no training</w:t>
            </w:r>
          </w:p>
        </w:tc>
        <w:tc>
          <w:tcPr>
            <w:tcW w:type="dxa" w:w="1700"/>
          </w:tcPr>
          <w:p>
            <w:pPr>
              <w:pStyle w:val="TableCell"/>
              <w:keepNext/>
            </w:pPr>
            <w:r>
              <w:t xml:space="preserve">Measures the raw geometry every other row starts from</w:t>
            </w:r>
          </w:p>
        </w:tc>
      </w:tr>
      <w:tr>
        <w:tc>
          <w:tcPr>
            <w:tcW w:type="dxa" w:w="1500"/>
          </w:tcPr>
          <w:p>
            <w:pPr>
              <w:pStyle w:val="TableCell"/>
              <w:keepNext/>
            </w:pPr>
            <w:r>
              <w:t xml:space="preserve">CE (contrast only)</w:t>
            </w:r>
          </w:p>
        </w:tc>
        <w:tc>
          <w:tcPr>
            <w:tcW w:type="dxa" w:w="2100"/>
          </w:tcPr>
          <w:p>
            <w:pPr>
              <w:pStyle w:val="TableCell"/>
              <w:keepNext/>
            </w:pPr>
            <w:r>
              <w:t xml:space="preserve">Equation (2) alone; the invariance term of Equation (1) is removed</w:t>
            </w:r>
          </w:p>
        </w:tc>
        <w:tc>
          <w:tcPr>
            <w:tcW w:type="dxa" w:w="1600"/>
          </w:tcPr>
          <w:p>
            <w:pPr>
              <w:pStyle w:val="TableCell"/>
              <w:keepNext/>
            </w:pPr>
            <w:r>
              <w:t xml:space="preserve">Full anchor gallery, re-encoded with gradient at every step</w:t>
            </w:r>
          </w:p>
        </w:tc>
        <w:tc>
          <w:tcPr>
            <w:tcW w:type="dxa" w:w="1500"/>
          </w:tcPr>
          <w:p>
            <w:pPr>
              <w:pStyle w:val="TableCell"/>
              <w:keepNext/>
            </w:pPr>
            <w:r>
              <w:t xml:space="preserve">Fully coupled teacher</w:t>
            </w:r>
          </w:p>
        </w:tc>
        <w:tc>
          <w:tcPr>
            <w:tcW w:type="dxa" w:w="1700"/>
          </w:tcPr>
          <w:p>
            <w:pPr>
              <w:pStyle w:val="TableCell"/>
              <w:keepNext/>
            </w:pPr>
            <w:r>
              <w:t xml:space="preserve">Isolates what the softmax supplies without multi-view agreement</w:t>
            </w:r>
          </w:p>
        </w:tc>
      </w:tr>
      <w:tr>
        <w:tc>
          <w:tcPr>
            <w:tcW w:type="dxa" w:w="1500"/>
          </w:tcPr>
          <w:p>
            <w:pPr>
              <w:pStyle w:val="TableCell"/>
              <w:keepNext/>
            </w:pPr>
            <w:r>
              <w:t xml:space="preserve">SimCLR-style (in-batch views)</w:t>
            </w:r>
          </w:p>
        </w:tc>
        <w:tc>
          <w:tcPr>
            <w:tcW w:type="dxa" w:w="2100"/>
          </w:tcPr>
          <w:p>
            <w:pPr>
              <w:pStyle w:val="TableCell"/>
              <w:keepNext/>
            </w:pPr>
            <w:r>
              <w:t xml:space="preserve">NT-Xent (normalized temperature-scaled cross-entropy) [4] at </w:t>
            </w:r>
            <m:oMath>
              <m:r>
                <w:rPr>
                  <w:rFonts w:ascii="Cambria Math" w:hAnsi="Cambria Math"/>
                </w:rPr>
                <m:t xml:space="preserve">τ = 0.02</m:t>
              </m:r>
            </m:oMath>
            <w:r>
              <w:t xml:space="preserve"> over the step’s </w:t>
            </w:r>
            <m:oMath>
              <m:r>
                <w:rPr>
                  <w:rFonts w:ascii="Cambria Math" w:hAnsi="Cambria Math"/>
                </w:rPr>
                <m:t xml:space="preserve">4 × 192</m:t>
              </m:r>
            </m:oMath>
            <w:r>
              <w:t xml:space="preserve"> view encodings: view </w:t>
            </w:r>
            <m:oMath>
              <m:r>
                <w:rPr>
                  <w:rFonts w:ascii="Cambria Math" w:hAnsi="Cambria Math"/>
                </w:rPr>
                <m:t xml:space="preserve">v</m:t>
              </m:r>
            </m:oMath>
            <w:r>
              <w:t xml:space="preserve"> of a game takes view </w:t>
            </w:r>
            <m:oMath>
              <m:r>
                <w:rPr>
                  <w:rFonts w:ascii="Cambria Math" w:hAnsi="Cambria Math"/>
                </w:rPr>
                <m:t xml:space="preserve">v+1 (</m:t>
              </m:r>
              <m:r>
                <m:rPr>
                  <m:sty m:val="p"/>
                </m:rPr>
                <w:rPr>
                  <w:rFonts w:ascii="Cambria Math" w:hAnsi="Cambria Math"/>
                </w:rPr>
                <m:t xml:space="preserve">mod</m:t>
              </m:r>
              <m:r>
                <w:rPr>
                  <w:rFonts w:ascii="Cambria Math" w:hAnsi="Cambria Math"/>
                </w:rPr>
                <m:t xml:space="preserve"> 4)</m:t>
              </m:r>
            </m:oMath>
            <w:r>
              <w:t xml:space="preserve"> of the same game as its positive, the game’s other own views are masked as false negatives, every other game’s views are negatives</w:t>
            </w:r>
          </w:p>
        </w:tc>
        <w:tc>
          <w:tcPr>
            <w:tcW w:type="dxa" w:w="1600"/>
          </w:tcPr>
          <w:p>
            <w:pPr>
              <w:pStyle w:val="TableCell"/>
              <w:keepNext/>
            </w:pPr>
            <w:r>
              <w:t xml:space="preserve">No anchors anywhere in training; the gallery is encoded once at evaluation time by the finished tower</w:t>
            </w:r>
          </w:p>
        </w:tc>
        <w:tc>
          <w:tcPr>
            <w:tcW w:type="dxa" w:w="1500"/>
          </w:tcPr>
          <w:p>
            <w:pPr>
              <w:pStyle w:val="TableCell"/>
              <w:keepNext/>
            </w:pPr>
            <w:r>
              <w:t xml:space="preserve">Tower unchanged; no anchor teacher</w:t>
            </w:r>
          </w:p>
        </w:tc>
        <w:tc>
          <w:tcPr>
            <w:tcW w:type="dxa" w:w="1700"/>
          </w:tcPr>
          <w:p>
            <w:pPr>
              <w:pStyle w:val="TableCell"/>
              <w:keepNext/>
            </w:pPr>
            <w:r>
              <w:t xml:space="preserve">The contrast lives in view space instead of anchor space</w:t>
            </w:r>
          </w:p>
        </w:tc>
      </w:tr>
      <w:tr>
        <w:tc>
          <w:tcPr>
            <w:tcW w:type="dxa" w:w="1500"/>
          </w:tcPr>
          <w:p>
            <w:pPr>
              <w:pStyle w:val="TableCell"/>
              <w:keepNext/>
            </w:pPr>
            <w:r>
              <w:t xml:space="preserve">VICReg (epd 20/10/20)</w:t>
            </w:r>
          </w:p>
        </w:tc>
        <w:tc>
          <w:tcPr>
            <w:tcW w:type="dxa" w:w="2100"/>
          </w:tcPr>
          <w:p>
            <w:pPr>
              <w:pStyle w:val="TableCell"/>
              <w:keepNext/>
            </w:pPr>
            <w:r>
              <w:t xml:space="preserve">VICReg [1] on expander-MLP outputs over the six view pairs, variance/invariance/covariance weights 20/10/20; no negatives</w:t>
            </w:r>
          </w:p>
        </w:tc>
        <w:tc>
          <w:tcPr>
            <w:tcW w:type="dxa" w:w="1600"/>
          </w:tcPr>
          <w:p>
            <w:pPr>
              <w:pStyle w:val="TableCell"/>
              <w:keepNext/>
            </w:pPr>
            <w:r>
              <w:t xml:space="preserve">Anchors encoded at evaluation time only</w:t>
            </w:r>
          </w:p>
        </w:tc>
        <w:tc>
          <w:tcPr>
            <w:tcW w:type="dxa" w:w="1500"/>
          </w:tcPr>
          <w:p>
            <w:pPr>
              <w:pStyle w:val="TableCell"/>
              <w:keepNext/>
            </w:pPr>
            <w:r>
              <w:t xml:space="preserve">Views drawn for 192 games per step, the variance term estimating per-dimension spread within the step’s view batch</w:t>
            </w:r>
          </w:p>
        </w:tc>
        <w:tc>
          <w:tcPr>
            <w:tcW w:type="dxa" w:w="1700"/>
          </w:tcPr>
          <w:p>
            <w:pPr>
              <w:pStyle w:val="TableCell"/>
              <w:keepNext/>
            </w:pPr>
            <w:r>
              <w:t xml:space="preserve">Drawing the whole pool per step (batch = all) yielded no improvement; Table A11 is the weight sweep</w:t>
            </w:r>
          </w:p>
        </w:tc>
      </w:tr>
      <w:tr>
        <w:tc>
          <w:tcPr>
            <w:tcW w:type="dxa" w:w="1500"/>
          </w:tcPr>
          <w:p>
            <w:pPr>
              <w:pStyle w:val="TableCell"/>
              <w:keepNext/>
            </w:pPr>
            <w:r>
              <w:t xml:space="preserve">BYOL</w:t>
            </w:r>
          </w:p>
        </w:tc>
        <w:tc>
          <w:tcPr>
            <w:tcW w:type="dxa" w:w="2100"/>
          </w:tcPr>
          <w:p>
            <w:pPr>
              <w:pStyle w:val="TableCell"/>
              <w:keepNext/>
            </w:pPr>
            <m:oMath>
              <m:r>
                <w:rPr>
                  <w:rFonts w:ascii="Cambria Math" w:hAnsi="Cambria Math"/>
                </w:rPr>
                <m:t xml:space="preserve">1 − </m:t>
              </m:r>
              <m:r>
                <m:rPr>
                  <m:sty m:val="p"/>
                </m:rPr>
                <w:rPr>
                  <w:rFonts w:ascii="Cambria Math" w:hAnsi="Cambria Math"/>
                </w:rPr>
                <m:t xml:space="preserve">cos</m:t>
              </m:r>
            </m:oMath>
            <w:r>
              <w:t xml:space="preserve"> between the predictor’s output for one view and the target tower’s encoding of another, averaged over ordered view pairs; the document view participates like any other</w:t>
            </w:r>
          </w:p>
        </w:tc>
        <w:tc>
          <w:tcPr>
            <w:tcW w:type="dxa" w:w="1600"/>
          </w:tcPr>
          <w:p>
            <w:pPr>
              <w:pStyle w:val="TableCell"/>
              <w:keepNext/>
            </w:pPr>
            <w:r>
              <w:t xml:space="preserve">No gallery in training</w:t>
            </w:r>
          </w:p>
        </w:tc>
        <w:tc>
          <w:tcPr>
            <w:tcW w:type="dxa" w:w="1500"/>
          </w:tcPr>
          <w:p>
            <w:pPr>
              <w:pStyle w:val="TableCell"/>
              <w:keepNext/>
            </w:pPr>
            <w:r>
              <w:t xml:space="preserve">Online tower plus a two-layer predictor head, and a target tower that is an exponential moving average of the online weights (momentum 0.996) behind a stop-gradient</w:t>
            </w:r>
          </w:p>
        </w:tc>
        <w:tc>
          <w:tcPr>
            <w:tcW w:type="dxa" w:w="1700"/>
          </w:tcPr>
          <w:p>
            <w:pPr>
              <w:pStyle w:val="TableCell"/>
              <w:keepNext/>
            </w:pPr>
            <w:r>
              <w:t xml:space="preserve">Collapse is prevented by the predictor/EMA asymmetry rather than by negatives</w:t>
            </w:r>
          </w:p>
        </w:tc>
      </w:tr>
      <w:tr>
        <w:tc>
          <w:tcPr>
            <w:tcW w:type="dxa" w:w="1500"/>
          </w:tcPr>
          <w:p>
            <w:pPr>
              <w:pStyle w:val="TableCell"/>
              <w:keepNext/>
            </w:pPr>
            <w:r>
              <w:t xml:space="preserve">CE + anchor-in-I (Table 2)</w:t>
            </w:r>
          </w:p>
        </w:tc>
        <w:tc>
          <w:tcPr>
            <w:tcW w:type="dxa" w:w="2100"/>
          </w:tcPr>
          <w:p>
            <w:pPr>
              <w:pStyle w:val="TableCell"/>
              <w:keepNext/>
            </w:pPr>
            <w:r>
              <w:t xml:space="preserve">Equation (2) unchanged, but the invariance term of Equation (1) ranges over the ten pairs among the four strong views and the game’s own anchor vector instead of the six pairs among views alone</w:t>
            </w:r>
          </w:p>
        </w:tc>
        <w:tc>
          <w:tcPr>
            <w:tcW w:type="dxa" w:w="1600"/>
          </w:tcPr>
          <w:p>
            <w:pPr>
              <w:pStyle w:val="TableCell"/>
              <w:keepNext/>
            </w:pPr>
            <w:r>
              <w:t xml:space="preserve">Full anchor gallery, re-encoded with gradient at every step</w:t>
            </w:r>
          </w:p>
        </w:tc>
        <w:tc>
          <w:tcPr>
            <w:tcW w:type="dxa" w:w="1500"/>
          </w:tcPr>
          <w:p>
            <w:pPr>
              <w:pStyle w:val="TableCell"/>
              <w:keepNext/>
            </w:pPr>
            <w:r>
              <w:t xml:space="preserve">Fully coupled teacher</w:t>
            </w:r>
          </w:p>
        </w:tc>
        <w:tc>
          <w:tcPr>
            <w:tcW w:type="dxa" w:w="1700"/>
          </w:tcPr>
          <w:p>
            <w:pPr>
              <w:pStyle w:val="TableCell"/>
              <w:keepNext/>
            </w:pPr>
            <w:r>
              <w:t xml:space="preserve">The control of Section 6.2: constant-weight attraction on the anchor with the softmax left in place</w:t>
            </w:r>
          </w:p>
        </w:tc>
      </w:tr>
      <w:tr>
        <w:tc>
          <w:tcPr>
            <w:tcW w:type="dxa" w:w="1500"/>
          </w:tcPr>
          <w:p>
            <w:pPr>
              <w:pStyle w:val="TableCell"/>
              <w:keepNext/>
            </w:pPr>
            <w:r>
              <w:t xml:space="preserve">Two-stage: BYOL warm start → windowed (Table A7)</w:t>
            </w:r>
          </w:p>
        </w:tc>
        <w:tc>
          <w:tcPr>
            <w:tcW w:type="dxa" w:w="2100"/>
          </w:tcPr>
          <w:p>
            <w:pPr>
              <w:pStyle w:val="TableCell"/>
              <w:keepNext/>
            </w:pPr>
            <w:r>
              <w:t xml:space="preserve">Stage one is the BYOL row above; stage two is the windowed teacher of Appendix J</w:t>
            </w:r>
          </w:p>
        </w:tc>
        <w:tc>
          <w:tcPr>
            <w:tcW w:type="dxa" w:w="1600"/>
          </w:tcPr>
          <w:p>
            <w:pPr>
              <w:pStyle w:val="TableCell"/>
              <w:keepNext/>
            </w:pPr>
            <w:r>
              <w:t xml:space="preserve">Windowed, </w:t>
            </w:r>
            <m:oMath>
              <m:r>
                <w:rPr>
                  <w:rFonts w:ascii="Cambria Math" w:hAnsi="Cambria Math"/>
                </w:rPr>
                <m:t xml:space="preserve">w = 168</m:t>
              </m:r>
            </m:oMath>
          </w:p>
        </w:tc>
        <w:tc>
          <w:tcPr>
            <w:tcW w:type="dxa" w:w="1500"/>
          </w:tcPr>
          <w:p>
            <w:pPr>
              <w:pStyle w:val="TableCell"/>
              <w:keepNext/>
            </w:pPr>
            <w:r>
              <w:t xml:space="preserve">Stage one runs to its own selection point; stage two re-initializes the tower from those weights and trains 600 epochs, 30% of the from-scratch discriminative budget</w:t>
            </w:r>
          </w:p>
        </w:tc>
        <w:tc>
          <w:tcPr>
            <w:tcW w:type="dxa" w:w="1700"/>
          </w:tcPr>
          <w:p>
            <w:pPr>
              <w:pStyle w:val="TableCell"/>
              <w:keepNext/>
            </w:pPr>
            <w:r>
              <w:t xml:space="preserve">Selection happens inside stage two</w:t>
            </w:r>
          </w:p>
        </w:tc>
      </w:tr>
      <w:tr>
        <w:tc>
          <w:tcPr>
            <w:tcW w:type="dxa" w:w="1500"/>
          </w:tcPr>
          <w:p>
            <w:pPr>
              <w:pStyle w:val="TableCell"/>
              <w:keepNext/>
            </w:pPr>
            <w:r>
              <w:t xml:space="preserve">I-CE (EMA + memory bank; Table A7)</w:t>
            </w:r>
          </w:p>
        </w:tc>
        <w:tc>
          <w:tcPr>
            <w:tcW w:type="dxa" w:w="2100"/>
          </w:tcPr>
          <w:p>
            <w:pPr>
              <w:pStyle w:val="TableCell"/>
              <w:keepNext/>
            </w:pPr>
            <w:r>
              <w:t xml:space="preserve">Cross-entropy against the ring, the view’s freshly written key the positive and stale same-game keys masked; the invariance term is unchanged</w:t>
            </w:r>
          </w:p>
        </w:tc>
        <w:tc>
          <w:tcPr>
            <w:tcW w:type="dxa" w:w="1600"/>
          </w:tcPr>
          <w:p>
            <w:pPr>
              <w:pStyle w:val="TableCell"/>
              <w:keepNext/>
            </w:pPr>
            <w:r>
              <w:t xml:space="preserve">An EMA shadow tower encodes the current batch’s anchors into a 3,072-key memory bank</w:t>
            </w:r>
          </w:p>
        </w:tc>
        <w:tc>
          <w:tcPr>
            <w:tcW w:type="dxa" w:w="1500"/>
          </w:tcPr>
          <w:p>
            <w:pPr>
              <w:pStyle w:val="TableCell"/>
              <w:keepNext/>
            </w:pPr>
            <w:r>
              <w:t xml:space="preserve">EMA shadow tower, momentum 0.99, replacing the fully coupled teacher</w:t>
            </w:r>
          </w:p>
        </w:tc>
        <w:tc>
          <w:tcPr>
            <w:tcW w:type="dxa" w:w="1700"/>
          </w:tcPr>
          <w:p>
            <w:pPr>
              <w:pStyle w:val="TableCell"/>
              <w:keepNext/>
            </w:pPr>
            <w:r>
              <w:t xml:space="preserve">Gradient reaches the strong-view side only; the 3,072 keys are negatives in number but inert in the gradient, the sense in which this tower counts as negative-light in Section 6.1</w:t>
            </w:r>
          </w:p>
        </w:tc>
      </w:tr>
      <w:tr>
        <w:tc>
          <w:tcPr>
            <w:tcW w:type="dxa" w:w="1500"/>
          </w:tcPr>
          <w:p>
            <w:pPr>
              <w:pStyle w:val="TableCell"/>
            </w:pPr>
            <w:r>
              <w:t xml:space="preserve">Align + uniformity (Table 2)</w:t>
            </w:r>
          </w:p>
        </w:tc>
        <w:tc>
          <w:tcPr>
            <w:tcW w:type="dxa" w:w="2100"/>
          </w:tcPr>
          <w:p>
            <w:pPr>
              <w:pStyle w:val="TableCell"/>
            </w:pPr>
            <w:r>
              <w:t xml:space="preserve">The anchored softmax replaced by an alignment term plus a kernel-uniformity term, over a grid of align-to-uniformity ratios and kernel temperatures of 2 and 25</w:t>
            </w:r>
          </w:p>
        </w:tc>
        <w:tc>
          <w:tcPr>
            <w:tcW w:type="dxa" w:w="1600"/>
          </w:tcPr>
          <w:p>
            <w:pPr>
              <w:pStyle w:val="TableCell"/>
            </w:pPr>
            <w:r>
              <w:t xml:space="preserve">Repulsion aimed at the anchor gallery or at the batch views</w:t>
            </w:r>
          </w:p>
        </w:tc>
        <w:tc>
          <w:tcPr>
            <w:tcW w:type="dxa" w:w="1500"/>
          </w:tcPr>
          <w:p>
            <w:pPr>
              <w:pStyle w:val="TableCell"/>
            </w:pPr>
            <w:r>
              <w:t xml:space="preserve">Fully coupled teacher</w:t>
            </w:r>
          </w:p>
        </w:tc>
        <w:tc>
          <w:tcPr>
            <w:tcW w:type="dxa" w:w="1700"/>
          </w:tcPr>
          <w:p>
            <w:pPr>
              <w:pStyle w:val="TableCell"/>
            </w:pPr>
            <w:r>
              <w:t xml:space="preserve">The decomposition sweep of Section 6.2; Table 2 prints two representative arms and the geometry files in this repository carry the sweep</w:t>
            </w:r>
          </w:p>
        </w:tc>
      </w:tr>
    </w:tbl>
    <w:p>
      <w:pPr>
        <w:pStyle w:val="AppendixH1"/>
      </w:pPr>
      <w:r>
        <w:t xml:space="preserve">APPENDIX D: THE SEPARATION GRADIENTS OF SECTION 4.3</w:t>
      </w:r>
    </w:p>
    <w:p>
      <w:pPr>
        <w:pStyle w:val="PostHeadPara"/>
      </w:pPr>
      <w:r>
        <w:t xml:space="preserve">This appendix works out Equations (2), (3), (6) and (7) over the noise model of Equation (4), with a remark on Equation (8): why sample repulsion aims along draw noise, why anchor repulsion does not, why the invariance term leaves only the semantic difference, and why the coupled softmax brakes its own forces. Each derivation names its convention: Equation (4) is stated for the pooled input while the repulsion steps read </w:t>
      </w:r>
      <m:oMath>
        <m:r>
          <w:rPr>
            <w:rFonts w:ascii="Cambria Math" w:hAnsi="Cambria Math"/>
          </w:rPr>
          <m:t xml:space="preserve">c</m:t>
        </m:r>
      </m:oMath>
      <w:r>
        <w:t xml:space="preserve"> and </w:t>
      </w:r>
      <m:oMath>
        <m:r>
          <w:rPr>
            <w:rFonts w:ascii="Cambria Math" w:hAnsi="Cambria Math"/>
          </w:rPr>
          <m:t xml:space="preserve">ε</m:t>
        </m:r>
      </m:oMath>
      <w:r>
        <w:t xml:space="preserve"> as free components of the encoding [5], and the invariance steps linearize the tower, whose noise response is what that term suppresses.</w:t>
      </w:r>
    </w:p>
    <w:p>
      <w:pPr>
        <w:pStyle w:val="Para"/>
      </w:pPr>
      <w:r>
        <w:rPr>
          <w:b/>
        </w:rPr>
        <w:t xml:space="preserve">The noise model.</w:t>
      </w:r>
      <w:r>
        <w:t xml:space="preserve"> Pool an </w:t>
      </w:r>
      <m:oMath>
        <m:r>
          <w:rPr>
            <w:rFonts w:ascii="Cambria Math" w:hAnsi="Cambria Math"/>
          </w:rPr>
          <m:t xml:space="preserve">m</m:t>
        </m:r>
      </m:oMath>
      <w:r>
        <w:t xml:space="preserve">-sentence pack drawn from game </w:t>
      </w:r>
      <m:oMath>
        <m:r>
          <w:rPr>
            <w:rFonts w:ascii="Cambria Math" w:hAnsi="Cambria Math"/>
          </w:rPr>
          <m:t xml:space="preserve">g</m:t>
        </m:r>
      </m:oMath>
      <w:r>
        <w:t xml:space="preserve">:</w:t>
      </w:r>
    </w:p>
    <w:p>
      <w:pPr>
        <w:pStyle w:val="DisplayFormula"/>
      </w:pPr>
      <m:oMath>
        <m:r>
          <w:rPr>
            <w:rFonts w:ascii="Cambria Math" w:hAnsi="Cambria Math"/>
          </w:rPr>
          <m:t xml:space="preserve">x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m:t>
        </m:r>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 0,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 </m:t>
        </m:r>
        <m:f>
          <m:num>
            <m:sSub>
              <m:e>
                <m:r>
                  <w:rPr>
                    <w:rFonts w:ascii="Cambria Math" w:hAnsi="Cambria Math"/>
                  </w:rPr>
                  <m:t xml:space="preserve">Σ</m:t>
                </m:r>
              </m:e>
              <m:sub>
                <m:r>
                  <w:rPr>
                    <w:rFonts w:ascii="Cambria Math" w:hAnsi="Cambria Math"/>
                  </w:rPr>
                  <m:t xml:space="preserve">g</m:t>
                </m:r>
              </m:sub>
            </m:sSub>
          </m:num>
          <m:den>
            <m:r>
              <w:rPr>
                <w:rFonts w:ascii="Cambria Math" w:hAnsi="Cambria Math"/>
              </w:rPr>
              <m:t xml:space="preserve">m</m:t>
            </m:r>
          </m:den>
        </m:f>
      </m:oMath>
      <w:r>
        <w:tab/>
        <w:t>(D.1)</w:t>
      </w:r>
    </w:p>
    <w:p>
      <w:pPr>
        <w:pStyle w:val="ParaContinue"/>
      </w:pPr>
      <w:r>
        <w:t xml:space="preserve">with </w:t>
      </w:r>
      <m:oMath>
        <m:sSub>
          <m:e>
            <m:r>
              <w:rPr>
                <w:rFonts w:ascii="Cambria Math" w:hAnsi="Cambria Math"/>
              </w:rPr>
              <m:t xml:space="preserve">c</m:t>
            </m:r>
          </m:e>
          <m:sub>
            <m:r>
              <w:rPr>
                <w:rFonts w:ascii="Cambria Math" w:hAnsi="Cambria Math"/>
              </w:rPr>
              <m:t xml:space="preserve">g</m:t>
            </m:r>
          </m:sub>
        </m:sSub>
      </m:oMath>
      <w:r>
        <w:t xml:space="preserve"> the draw-invariant component, content plus the static bias its reviewers share, and </w:t>
      </w:r>
      <m:oMath>
        <m:sSub>
          <m:e>
            <m:r>
              <w:rPr>
                <w:rFonts w:ascii="Cambria Math" w:hAnsi="Cambria Math"/>
              </w:rPr>
              <m:t xml:space="preserve">ε</m:t>
            </m:r>
          </m:e>
          <m:sub>
            <m:r>
              <w:rPr>
                <w:rFonts w:ascii="Cambria Math" w:hAnsi="Cambria Math"/>
              </w:rPr>
              <m:t xml:space="preserve">m</m:t>
            </m:r>
          </m:sub>
        </m:sSub>
      </m:oMath>
      <w:r>
        <w:t xml:space="preserve"> that draw’s fluctuation, </w:t>
      </w:r>
      <m:oMath>
        <m:sSub>
          <m:e>
            <m:r>
              <w:rPr>
                <w:rFonts w:ascii="Cambria Math" w:hAnsi="Cambria Math"/>
              </w:rPr>
              <m:t xml:space="preserve">Σ</m:t>
            </m:r>
          </m:e>
          <m:sub>
            <m:r>
              <w:rPr>
                <w:rFonts w:ascii="Cambria Math" w:hAnsi="Cambria Math"/>
              </w:rPr>
              <m:t xml:space="preserve">g</m:t>
            </m:r>
          </m:sub>
        </m:sSub>
      </m:oMath>
      <w:r>
        <w:t xml:space="preserve"> being the covariance of one sentence embedding of </w:t>
      </w:r>
      <m:oMath>
        <m:r>
          <w:rPr>
            <w:rFonts w:ascii="Cambria Math" w:hAnsi="Cambria Math"/>
          </w:rPr>
          <m:t xml:space="preserve">g</m:t>
        </m:r>
      </m:oMath>
      <w:r>
        <w:t xml:space="preserve">. Packs enter at two scales, </w:t>
      </w:r>
      <m:oMath>
        <m:sSub>
          <m:e>
            <m:r>
              <w:rPr>
                <w:rFonts w:ascii="Cambria Math" w:hAnsi="Cambria Math"/>
              </w:rPr>
              <m:t xml:space="preserve">m</m:t>
            </m:r>
          </m:e>
          <m:sub>
            <m:r>
              <w:rPr>
                <w:rFonts w:ascii="Cambria Math" w:hAnsi="Cambria Math"/>
              </w:rPr>
              <m:t xml:space="preserve">v</m:t>
            </m:r>
          </m:sub>
        </m:sSub>
      </m:oMath>
      <w:r>
        <w:t xml:space="preserve"> sentences for a view and </w:t>
      </w:r>
      <m:oMath>
        <m:sSub>
          <m:e>
            <m:r>
              <w:rPr>
                <w:rFonts w:ascii="Cambria Math" w:hAnsi="Cambria Math"/>
              </w:rPr>
              <m:t xml:space="preserve">m</m:t>
            </m:r>
          </m:e>
          <m:sub>
            <m:r>
              <w:rPr>
                <w:rFonts w:ascii="Cambria Math" w:hAnsi="Cambria Math"/>
              </w:rPr>
              <m:t xml:space="preserve">a</m:t>
            </m:r>
          </m:sub>
        </m:sSub>
      </m:oMath>
      <w:r>
        <w:t xml:space="preserve"> for an anchor, the document view of Section 4.1 entering not as a third scale, carrying no draw noise of its own, but as the fixed offset </w:t>
      </w:r>
      <m:oMath>
        <m:sSub>
          <m:e>
            <m:r>
              <w:rPr>
                <w:rFonts w:ascii="Cambria Math" w:hAnsi="Cambria Math"/>
              </w:rPr>
              <m:t xml:space="preserve">δ</m:t>
            </m:r>
          </m:e>
          <m:sub>
            <m:r>
              <w:rPr>
                <w:rFonts w:ascii="Cambria Math" w:hAnsi="Cambria Math"/>
              </w:rPr>
              <m:t xml:space="preserve">g</m:t>
            </m:r>
          </m:sub>
        </m:sSub>
      </m:oMath>
      <w:r>
        <w:t xml:space="preserve"> of (D.18),</w:t>
      </w:r>
    </w:p>
    <w:p>
      <w:pPr>
        <w:pStyle w:val="DisplayFormula"/>
      </w:pPr>
      <m:oMath>
        <m:sSub>
          <m:e>
            <m:r>
              <w:rPr>
                <w:rFonts w:ascii="Cambria Math" w:hAnsi="Cambria Math"/>
              </w:rPr>
              <m:t xml:space="preserve">m</m:t>
            </m:r>
          </m:e>
          <m:sub>
            <m:r>
              <w:rPr>
                <w:rFonts w:ascii="Cambria Math" w:hAnsi="Cambria Math"/>
              </w:rPr>
              <m:t xml:space="preserve">v</m:t>
            </m:r>
          </m:sub>
        </m:sSub>
        <m:r>
          <w:rPr>
            <w:rFonts w:ascii="Cambria Math" w:hAnsi="Cambria Math"/>
          </w:rPr>
          <m:t xml:space="preserve"> ≥ 16,  512 ≤ </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  </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 ≫ </m:t>
        </m:r>
        <m:sSub>
          <m:e>
            <m:r>
              <w:rPr>
                <w:rFonts w:ascii="Cambria Math" w:hAnsi="Cambria Math"/>
              </w:rPr>
              <m:t xml:space="preserve">m</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tr</m:t>
        </m:r>
        <m:r>
          <w:rPr>
            <w:rFonts w:ascii="Cambria Math" w:hAnsi="Cambria Math"/>
          </w:rPr>
          <m:t xml:space="preserve">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a</m:t>
            </m:r>
          </m:sub>
        </m:sSub>
        <m:r>
          <w:rPr>
            <w:rFonts w:ascii="Cambria Math" w:hAnsi="Cambria Math"/>
          </w:rPr>
          <m:t xml:space="preserve">)</m:t>
        </m:r>
      </m:oMath>
      <w:r>
        <w:tab/>
        <w:t>(D.2)</w:t>
      </w:r>
    </w:p>
    <w:p>
      <w:pPr>
        <w:pStyle w:val="ParaContinue"/>
      </w:pPr>
      <w:r>
        <w:t xml:space="preserve">a strong view at its 16-sentence floor (23 at the median) against an anchor cap realized packs fall short of. The </w:t>
      </w:r>
      <m:oMath>
        <m:r>
          <w:rPr>
            <w:rFonts w:ascii="Cambria Math" w:hAnsi="Cambria Math"/>
          </w:rPr>
          <m:t xml:space="preserve">1/m</m:t>
        </m:r>
      </m:oMath>
      <w:r>
        <w:t xml:space="preserve"> scaling assumes independent pooled draws, which whole-review sampling and attention pooling violate, so only ratios of the two scales are used. Encoding both, </w:t>
      </w:r>
      <m:oMath>
        <m:r>
          <w:rPr>
            <w:rFonts w:ascii="Cambria Math" w:hAnsi="Cambria Math"/>
          </w:rPr>
          <m:t xml:space="preserve">f(</m:t>
        </m:r>
        <m:sSub>
          <m:e>
            <m:r>
              <w:rPr>
                <w:rFonts w:ascii="Cambria Math" w:hAnsi="Cambria Math"/>
              </w:rPr>
              <m:t xml:space="preserve">x</m:t>
            </m:r>
          </m:e>
          <m:sub>
            <m:r>
              <w:rPr>
                <w:rFonts w:ascii="Cambria Math" w:hAnsi="Cambria Math"/>
              </w:rPr>
              <m:t xml:space="preserve">v</m:t>
            </m:r>
          </m:sub>
        </m:sSub>
        <m:r>
          <w:rPr>
            <w:rFonts w:ascii="Cambria Math" w:hAnsi="Cambria Math"/>
          </w:rPr>
          <m:t xml:space="preserve">) = z</m:t>
        </m:r>
      </m:oMath>
      <w:r>
        <w:t xml:space="preserve"> and </w:t>
      </w:r>
      <m:oMath>
        <m:r>
          <w:rPr>
            <w:rFonts w:ascii="Cambria Math" w:hAnsi="Cambria Math"/>
          </w:rPr>
          <m:t xml:space="preserve">f(</m:t>
        </m:r>
        <m:sSub>
          <m:e>
            <m:r>
              <w:rPr>
                <w:rFonts w:ascii="Cambria Math" w:hAnsi="Cambria Math"/>
              </w:rPr>
              <m:t xml:space="preserve">x</m:t>
            </m:r>
          </m:e>
          <m:sub>
            <m:r>
              <w:rPr>
                <w:rFonts w:ascii="Cambria Math" w:hAnsi="Cambria Math"/>
              </w:rPr>
              <m:t xml:space="preserve">a</m:t>
            </m:r>
          </m:sub>
        </m:sSub>
        <m:r>
          <w:rPr>
            <w:rFonts w:ascii="Cambria Math" w:hAnsi="Cambria Math"/>
          </w:rPr>
          <m:t xml:space="preserve">) = a</m:t>
        </m:r>
      </m:oMath>
      <w:r>
        <w:t xml:space="preserve">, views scatter and anchors hold still.</w:t>
      </w:r>
    </w:p>
    <w:p>
      <w:pPr>
        <w:pStyle w:val="Para"/>
      </w:pPr>
      <w:r>
        <w:t xml:space="preserve">Two approximations sit here. Different draw laws and the anchor’s store-page prefix leave </w:t>
      </w:r>
      <m:oMath>
        <m:sSub>
          <m:e>
            <m:r>
              <w:rPr>
                <w:rFonts w:ascii="Cambria Math" w:hAnsi="Cambria Math"/>
              </w:rPr>
              <m:t xml:space="preserve">c</m:t>
            </m:r>
          </m:e>
          <m:sub>
            <m:r>
              <w:rPr>
                <w:rFonts w:ascii="Cambria Math" w:hAnsi="Cambria Math"/>
              </w:rPr>
              <m:t xml:space="preserve">g</m:t>
            </m:r>
          </m:sub>
        </m:sSub>
      </m:oMath>
      <w:r>
        <w:t xml:space="preserve"> common only up to a static offset of the kind </w:t>
      </w:r>
      <m:oMath>
        <m:sSub>
          <m:e>
            <m:r>
              <w:rPr>
                <w:rFonts w:ascii="Cambria Math" w:hAnsi="Cambria Math"/>
              </w:rPr>
              <m:t xml:space="preserve">δ</m:t>
            </m:r>
          </m:e>
          <m:sub>
            <m:r>
              <w:rPr>
                <w:rFonts w:ascii="Cambria Math" w:hAnsi="Cambria Math"/>
              </w:rPr>
              <m:t xml:space="preserve">g</m:t>
            </m:r>
          </m:sub>
        </m:sSub>
      </m:oMath>
      <w:r>
        <w:t xml:space="preserve"> below, which averaging does not remove. And a view meets its own anchor pack only by chance, about 29% of a median game’s sentences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so </w:t>
      </w:r>
      <m:oMath>
        <m:sSub>
          <m:e>
            <m:r>
              <w:rPr>
                <w:rFonts w:ascii="Cambria Math" w:hAnsi="Cambria Math"/>
              </w:rPr>
              <m:t xml:space="preserve">ε</m:t>
            </m:r>
          </m:e>
          <m:sub>
            <m:r>
              <w:rPr>
                <w:rFonts w:ascii="Cambria Math" w:hAnsi="Cambria Math"/>
              </w:rPr>
              <m:t xml:space="preserve">v</m:t>
            </m:r>
          </m:sub>
        </m:sSub>
      </m:oMath>
      <w:r>
        <w:t xml:space="preserve"> and </w:t>
      </w:r>
      <m:oMath>
        <m:sSub>
          <m:e>
            <m:r>
              <w:rPr>
                <w:rFonts w:ascii="Cambria Math" w:hAnsi="Cambria Math"/>
              </w:rPr>
              <m:t xml:space="preserve">ε</m:t>
            </m:r>
          </m:e>
          <m:sub>
            <m:r>
              <w:rPr>
                <w:rFonts w:ascii="Cambria Math" w:hAnsi="Cambria Math"/>
              </w:rPr>
              <m:t xml:space="preserve">a</m:t>
            </m:r>
          </m:sub>
        </m:sSub>
      </m:oMath>
      <w:r>
        <w:t xml:space="preserve"> count as independent.</w:t>
      </w:r>
    </w:p>
    <w:p>
      <w:pPr>
        <w:pStyle w:val="Para"/>
      </w:pPr>
      <w:r>
        <w:rPr>
          <w:b/>
        </w:rPr>
        <w:t xml:space="preserve">Why sample-to-sample repulsion aims along noise.</w:t>
      </w:r>
      <w:r>
        <w:t xml:space="preserve"> In the free-variable convention, with one negative view per competing game in the batch, Equation (6) reads</w:t>
      </w:r>
    </w:p>
    <w:p>
      <w:pPr>
        <w:pStyle w:val="DisplayFormula"/>
      </w:pPr>
      <m:oMath>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SimCLR</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q</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m:t>
            </m:r>
          </m:e>
        </m:nary>
      </m:oMath>
      <w:r>
        <w:tab/>
        <w:t>(D.3)</w:t>
      </w:r>
    </w:p>
    <w:p>
      <w:pPr>
        <w:pStyle w:val="ParaContinue"/>
      </w:pPr>
      <w:r>
        <w:t xml:space="preserve">with the in-batch weight</w:t>
      </w:r>
    </w:p>
    <w:p>
      <w:pPr>
        <w:pStyle w:val="DisplayFormula"/>
      </w:pPr>
      <m:oMath>
        <m:sSub>
          <m:e>
            <m:r>
              <w:rPr>
                <w:rFonts w:ascii="Cambria Math" w:hAnsi="Cambria Math"/>
              </w:rPr>
              <m:t xml:space="preserve">q</m:t>
            </m:r>
          </m:e>
          <m:sub>
            <m:r>
              <w:rPr>
                <w:rFonts w:ascii="Cambria Math" w:hAnsi="Cambria Math"/>
              </w:rPr>
              <m:t xml:space="preserve">h</m:t>
            </m:r>
          </m:sub>
        </m:sSub>
        <m:r>
          <w:rPr>
            <w:rFonts w:ascii="Cambria Math" w:hAnsi="Cambria Math"/>
          </w:rPr>
          <m:t xml:space="preserve"> = </m:t>
        </m:r>
        <m:f>
          <m:num>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⟩/τ)</m:t>
            </m:r>
          </m:num>
          <m:den>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⟩/τ) + </m:t>
            </m:r>
            <m:nary>
              <m:naryPr>
                <m:chr m:val="∑"/>
                <m:limLoc m:val="undOvr"/>
                <m:supHide m:val="1"/>
              </m:naryPr>
              <m:sub>
                <m:r>
                  <w:rPr>
                    <w:rFonts w:ascii="Cambria Math" w:hAnsi="Cambria Math"/>
                  </w:rPr>
                  <m:t xml:space="preserve">k≠g</m:t>
                </m:r>
              </m:sub>
              <m:sup/>
              <m:e>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k</m:t>
                    </m:r>
                  </m:sub>
                </m:sSub>
                <m:r>
                  <w:rPr>
                    <w:rFonts w:ascii="Cambria Math" w:hAnsi="Cambria Math"/>
                  </w:rPr>
                  <m:t xml:space="preserve">⟩/τ)</m:t>
                </m:r>
              </m:e>
            </m:nary>
          </m:den>
        </m:f>
      </m:oMath>
      <w:r>
        <w:tab/>
        <w:t>(D.4)</w:t>
      </w:r>
    </w:p>
    <w:p>
      <w:pPr>
        <w:pStyle w:val="ParaContinue"/>
      </w:pPr>
      <w:r>
        <w:t xml:space="preserve">putting the rest on the positive partner </w:t>
      </w:r>
      <m:oMath>
        <m:sSub>
          <m:e>
            <m:r>
              <w:rPr>
                <w:rFonts w:ascii="Cambria Math" w:hAnsi="Cambria Math"/>
              </w:rPr>
              <m:t xml:space="preserve">z</m:t>
            </m:r>
          </m:e>
          <m:sub>
            <m:r>
              <w:rPr>
                <w:rFonts w:ascii="Cambria Math" w:hAnsi="Cambria Math"/>
              </w:rPr>
              <m:t xml:space="preserve">v′</m:t>
            </m:r>
          </m:sub>
        </m:sSub>
      </m:oMath>
      <w:r>
        <w:t xml:space="preserve">, so the full set of weights, positive included, sums to one and the </w:t>
      </w:r>
      <m:oMath>
        <m:r>
          <w:rPr>
            <w:rFonts w:ascii="Cambria Math" w:hAnsi="Cambria Math"/>
          </w:rPr>
          <m:t xml:space="preserve">h = g</m:t>
        </m:r>
      </m:oMath>
      <w:r>
        <w:t xml:space="preserve"> term drops from the gradient sum. The partner is another fresh draw of </w:t>
      </w:r>
      <m:oMath>
        <m:r>
          <w:rPr>
            <w:rFonts w:ascii="Cambria Math" w:hAnsi="Cambria Math"/>
          </w:rPr>
          <m:t xml:space="preserve">g</m:t>
        </m:r>
      </m:oMath>
      <w:r>
        <w:t xml:space="preserve">, so its noise is what enters</w:t>
      </w:r>
    </w:p>
    <w:p>
      <w:pPr>
        <w:pStyle w:val="DisplayFormula"/>
      </w:pPr>
      <m:oMath>
        <m:sSub>
          <m:e>
            <m:r>
              <w:rPr>
                <w:rFonts w:ascii="Cambria Math" w:hAnsi="Cambria Math"/>
              </w:rPr>
              <m:t xml:space="preserve">z</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m:t>
        </m:r>
      </m:oMath>
      <w:r>
        <w:tab/>
        <w:t>(D.5)</w:t>
      </w:r>
    </w:p>
    <w:p>
      <w:pPr>
        <w:pStyle w:val="ParaContinue"/>
      </w:pPr>
      <w:r>
        <w:t xml:space="preserve">whose second half is unbiased term by term, the two draws being zero-mean by (D.1) and, coming from different games, independent, and has mean square</w:t>
      </w:r>
    </w:p>
    <w:p>
      <w:pPr>
        <w:pStyle w:val="DisplayFormula"/>
      </w:pPr>
      <m:oMath>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m:t>
        </m:r>
        <m:f>
          <m:num>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num>
          <m:den>
            <m:sSub>
              <m:e>
                <m:r>
                  <w:rPr>
                    <w:rFonts w:ascii="Cambria Math" w:hAnsi="Cambria Math"/>
                  </w:rPr>
                  <m:t xml:space="preserve">m</m:t>
                </m:r>
              </m:e>
              <m:sub>
                <m:r>
                  <w:rPr>
                    <w:rFonts w:ascii="Cambria Math" w:hAnsi="Cambria Math"/>
                  </w:rPr>
                  <m:t xml:space="preserve">v</m:t>
                </m:r>
              </m:sub>
            </m:sSub>
          </m:den>
        </m:f>
      </m:oMath>
      <w:r>
        <w:tab/>
        <w:t>(D.6)</w:t>
      </w:r>
    </w:p>
    <w:p>
      <w:pPr>
        <w:pStyle w:val="ParaContinue"/>
      </w:pPr>
      <w:r>
        <w:t xml:space="preserve">Rank turns on hard pairs, and at a semantic hard pair, defined by </w:t>
      </w:r>
      <m:oMath>
        <m:r>
          <w:rPr>
            <w:rFonts w:ascii="Cambria Math" w:hAnsi="Cambria Math"/>
          </w:rPr>
          <m:t xml:space="preserve">‖</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rad>
          <m:radPr>
            <m:degHide m:val="1"/>
          </m:radPr>
          <m:deg/>
          <m:e>
            <m:r>
              <w:rPr>
                <w:rFonts w:ascii="Cambria Math" w:hAnsi="Cambria Math"/>
              </w:rPr>
              <m:t xml:space="preserve">(</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v</m:t>
                </m:r>
              </m:sub>
            </m:sSub>
          </m:e>
        </m:rad>
      </m:oMath>
      <w:r>
        <w:t xml:space="preserve"> with the noise norm concentrating near its root mean square (the scale carried to the encodings by the linearization of (D.13) below),</w:t>
      </w:r>
    </w:p>
    <w:p>
      <w:pPr>
        <w:pStyle w:val="DisplayFormula"/>
      </w:pPr>
      <m:oMath>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ab/>
        <w:t>(D.7)</w:t>
      </w:r>
    </w:p>
    <w:p>
      <w:pPr>
        <w:pStyle w:val="ParaContinue"/>
      </w:pPr>
      <w:r>
        <w:t xml:space="preserve">so the push aims predominantly along noise. Hard pairs are selected by encoded similarity, and one hard only because two draws collided is corrected by a noise-aligned push. In the large the semantic term dominates, which is why sample-repelled towers spread widely yet carve narrow nearest-neighbor margins.</w:t>
      </w:r>
    </w:p>
    <w:p>
      <w:pPr>
        <w:pStyle w:val="Para"/>
      </w:pPr>
      <w:r>
        <w:rPr>
          <w:b/>
        </w:rPr>
        <w:t xml:space="preserve">Why anchor-mediated repulsion does not.</w:t>
      </w:r>
      <w:r>
        <w:t xml:space="preserve"> Still free-variable, Equation (7) pushes a view against the anchor gallery,</w:t>
      </w:r>
    </w:p>
    <w:p>
      <w:pPr>
        <w:pStyle w:val="DisplayFormula"/>
      </w:pPr>
      <m:oMath>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m:t>
            </m:r>
          </m:e>
        </m:nary>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e>
        </m:nary>
        <m:r>
          <w:rPr>
            <w:rFonts w:ascii="Cambria Math" w:hAnsi="Cambria Math"/>
          </w:rPr>
          <m:t xml:space="preserve"> = 1 − </m:t>
        </m:r>
        <m:sSub>
          <m:e>
            <m:r>
              <w:rPr>
                <w:rFonts w:ascii="Cambria Math" w:hAnsi="Cambria Math"/>
              </w:rPr>
              <m:t xml:space="preserve">p</m:t>
            </m:r>
          </m:e>
          <m:sub>
            <m:r>
              <w:rPr>
                <w:rFonts w:ascii="Cambria Math" w:hAnsi="Cambria Math"/>
              </w:rPr>
              <m:t xml:space="preserve">g</m:t>
            </m:r>
          </m:sub>
        </m:sSub>
      </m:oMath>
      <w:r>
        <w:tab/>
        <w:t>(D.8)</w:t>
      </w:r>
    </w:p>
    <w:p>
      <w:pPr>
        <w:pStyle w:val="ParaContinue"/>
      </w:pPr>
      <w:r>
        <w:t xml:space="preserve">so the descent step is one pull and </w:t>
      </w:r>
      <m:oMath>
        <m:r>
          <w:rPr>
            <w:rFonts w:ascii="Cambria Math" w:hAnsi="Cambria Math"/>
          </w:rPr>
          <m:t xml:space="preserve">n − 1</m:t>
        </m:r>
      </m:oMath>
      <w:r>
        <w:t xml:space="preserve"> pushes,</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e>
        </m:nary>
        <m:r>
          <w:rPr>
            <w:rFonts w:ascii="Cambria Math" w:hAnsi="Cambria Math"/>
          </w:rPr>
          <m:t xml:space="preserve">]</m:t>
        </m:r>
      </m:oMath>
      <w:r>
        <w:tab/>
        <w:t>(D.9)</w:t>
      </w:r>
    </w:p>
    <w:p>
      <w:pPr>
        <w:pStyle w:val="ParaContinue"/>
      </w:pPr>
      <w:r>
        <w:t xml:space="preserve">Write </w:t>
      </w:r>
      <m:oMath>
        <m:sSub>
          <m:e>
            <m:r>
              <w:rPr>
                <w:rFonts w:ascii="Cambria Math" w:hAnsi="Cambria Math"/>
              </w:rPr>
              <m:t xml:space="preserve">p</m:t>
            </m:r>
          </m:e>
          <m:sub>
            <m:r>
              <w:rPr>
                <w:rFonts w:ascii="Cambria Math" w:hAnsi="Cambria Math"/>
              </w:rPr>
              <m:t xml:space="preserve">h|g</m:t>
            </m:r>
          </m:sub>
        </m:sSub>
      </m:oMath>
      <w:r>
        <w:t xml:space="preserve"> for the softmax weight of anchor </w:t>
      </w:r>
      <m:oMath>
        <m:r>
          <w:rPr>
            <w:rFonts w:ascii="Cambria Math" w:hAnsi="Cambria Math"/>
          </w:rPr>
          <m:t xml:space="preserve">h</m:t>
        </m:r>
      </m:oMath>
      <w:r>
        <w:t xml:space="preserve"> under a view </w:t>
      </w:r>
      <m:oMath>
        <m:sSub>
          <m:e>
            <m:r>
              <w:rPr>
                <w:rFonts w:ascii="Cambria Math" w:hAnsi="Cambria Math"/>
              </w:rPr>
              <m:t xml:space="preserve">z</m:t>
            </m:r>
          </m:e>
          <m:sub>
            <m:r>
              <w:rPr>
                <w:rFonts w:ascii="Cambria Math" w:hAnsi="Cambria Math"/>
              </w:rPr>
              <m:t xml:space="preserve">g</m:t>
            </m:r>
          </m:sub>
        </m:sSub>
      </m:oMath>
      <w:r>
        <w:t xml:space="preserve"> of game </w:t>
      </w:r>
      <m:oMath>
        <m:r>
          <w:rPr>
            <w:rFonts w:ascii="Cambria Math" w:hAnsi="Cambria Math"/>
          </w:rPr>
          <m:t xml:space="preserve">g</m:t>
        </m:r>
      </m:oMath>
      <w:r>
        <w:t xml:space="preserve">. Call </w:t>
      </w:r>
      <m:oMath>
        <m:r>
          <w:rPr>
            <w:rFonts w:ascii="Cambria Math" w:hAnsi="Cambria Math"/>
          </w:rPr>
          <m:t xml:space="preserve">(g, h)</m:t>
        </m:r>
      </m:oMath>
      <w:r>
        <w:t xml:space="preserve"> symmetrically confused when </w:t>
      </w:r>
      <m:oMath>
        <m:sSub>
          <m:e>
            <m:r>
              <w:rPr>
                <w:rFonts w:ascii="Cambria Math" w:hAnsi="Cambria Math"/>
              </w:rPr>
              <m:t xml:space="preserve">p</m:t>
            </m:r>
          </m:e>
          <m:sub>
            <m:r>
              <w:rPr>
                <w:rFonts w:ascii="Cambria Math" w:hAnsi="Cambria Math"/>
              </w:rPr>
              <m:t xml:space="preserve">h|g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g|h</m:t>
            </m:r>
          </m:sub>
        </m:sSub>
      </m:oMath>
      <w:r>
        <w:t xml:space="preserve"> and </w:t>
      </w:r>
      <m:oMath>
        <m:sSub>
          <m:e>
            <m:r>
              <w:rPr>
                <w:rFonts w:ascii="Cambria Math" w:hAnsi="Cambria Math"/>
              </w:rPr>
              <m:t xml:space="preserve">p</m:t>
            </m:r>
          </m:e>
          <m:sub>
            <m:r>
              <w:rPr>
                <w:rFonts w:ascii="Cambria Math" w:hAnsi="Cambria Math"/>
              </w:rPr>
              <m:t xml:space="preserve">k|g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k|h</m:t>
            </m:r>
          </m:sub>
        </m:sSub>
      </m:oMath>
      <w:r>
        <w:t xml:space="preserve"> for every other anchor </w:t>
      </w:r>
      <m:oMath>
        <m:r>
          <w:rPr>
            <w:rFonts w:ascii="Cambria Math" w:hAnsi="Cambria Math"/>
          </w:rPr>
          <m:t xml:space="preserve">k</m:t>
        </m:r>
      </m:oMath>
      <w:r>
        <w:t xml:space="preserve">, which by normalization forces </w:t>
      </w:r>
      <m:oMath>
        <m:sSub>
          <m:e>
            <m:r>
              <w:rPr>
                <w:rFonts w:ascii="Cambria Math" w:hAnsi="Cambria Math"/>
              </w:rPr>
              <m:t xml:space="preserve">p</m:t>
            </m:r>
          </m:e>
          <m:sub>
            <m:r>
              <w:rPr>
                <w:rFonts w:ascii="Cambria Math" w:hAnsi="Cambria Math"/>
              </w:rPr>
              <m:t xml:space="preserve">g|g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h|h</m:t>
            </m:r>
          </m:sub>
        </m:sSub>
      </m:oMath>
      <w:r>
        <w:t xml:space="preserve">; subtracting the descent steps of the views </w:t>
      </w:r>
      <m:oMath>
        <m:sSub>
          <m:e>
            <m:r>
              <w:rPr>
                <w:rFonts w:ascii="Cambria Math" w:hAnsi="Cambria Math"/>
              </w:rPr>
              <m:t xml:space="preserve">z</m:t>
            </m:r>
          </m:e>
          <m:sub>
            <m:r>
              <w:rPr>
                <w:rFonts w:ascii="Cambria Math" w:hAnsi="Cambria Math"/>
              </w:rPr>
              <m:t xml:space="preserve">g</m:t>
            </m:r>
          </m:sub>
        </m:sSub>
      </m:oMath>
      <w:r>
        <w:t xml:space="preserve"> and </w:t>
      </w:r>
      <m:oMath>
        <m:sSub>
          <m:e>
            <m:r>
              <w:rPr>
                <w:rFonts w:ascii="Cambria Math" w:hAnsi="Cambria Math"/>
              </w:rPr>
              <m:t xml:space="preserve">z</m:t>
            </m:r>
          </m:e>
          <m:sub>
            <m:r>
              <w:rPr>
                <w:rFonts w:ascii="Cambria Math" w:hAnsi="Cambria Math"/>
              </w:rPr>
              <m:t xml:space="preserve">h</m:t>
            </m:r>
          </m:sub>
        </m:sSub>
      </m:oMath>
      <w:r>
        <w:t xml:space="preserve">, </w:t>
      </w: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oMath>
      <w:r>
        <w:t xml:space="preserve"> moves along</w:t>
      </w:r>
    </w:p>
    <w:p>
      <w:pPr>
        <w:pStyle w:val="DisplayFormula"/>
      </w:pPr>
      <m:oMath>
        <m:r>
          <w:rPr>
            <w:rFonts w:ascii="Cambria Math" w:hAnsi="Cambria Math"/>
          </w:rPr>
          <m:t xml:space="preserve">(</m:t>
        </m:r>
        <m:f>
          <m:num>
            <m:r>
              <w:rPr>
                <w:rFonts w:ascii="Cambria Math" w:hAnsi="Cambria Math"/>
              </w:rPr>
              <m:t xml:space="preserve">1 − </m:t>
            </m:r>
            <m:sSub>
              <m:e>
                <m:r>
                  <w:rPr>
                    <w:rFonts w:ascii="Cambria Math" w:hAnsi="Cambria Math"/>
                  </w:rPr>
                  <m:t xml:space="preserve">p</m:t>
                </m:r>
              </m:e>
              <m:sub>
                <m:r>
                  <w:rPr>
                    <w:rFonts w:ascii="Cambria Math" w:hAnsi="Cambria Math"/>
                  </w:rPr>
                  <m:t xml:space="preserve">g|g</m:t>
                </m:r>
              </m:sub>
            </m:sSub>
          </m:num>
          <m:den>
            <m:r>
              <w:rPr>
                <w:rFonts w:ascii="Cambria Math" w:hAnsi="Cambria Math"/>
              </w:rPr>
              <m:t xml:space="preserve">τ</m:t>
            </m:r>
          </m:den>
        </m:f>
        <m:r>
          <w:rPr>
            <w:rFonts w:ascii="Cambria Math" w:hAnsi="Cambria Math"/>
          </w:rPr>
          <m:t xml:space="preserve"> + </m:t>
        </m:r>
        <m:f>
          <m:num>
            <m:sSub>
              <m:e>
                <m:r>
                  <w:rPr>
                    <w:rFonts w:ascii="Cambria Math" w:hAnsi="Cambria Math"/>
                  </w:rPr>
                  <m:t xml:space="preserve">p</m:t>
                </m:r>
              </m:e>
              <m:sub>
                <m:r>
                  <w:rPr>
                    <w:rFonts w:ascii="Cambria Math" w:hAnsi="Cambria Math"/>
                  </w:rPr>
                  <m:t xml:space="preserve">h|g</m:t>
                </m:r>
              </m:sub>
            </m:sSub>
          </m:num>
          <m:den>
            <m:r>
              <w:rPr>
                <w:rFonts w:ascii="Cambria Math" w:hAnsi="Cambria Math"/>
              </w:rPr>
              <m:t xml:space="preserve">τ</m:t>
            </m:r>
          </m:den>
        </m:f>
        <m:r>
          <w:rPr>
            <w:rFonts w:ascii="Cambria Math" w:hAnsi="Cambria Math"/>
          </w:rPr>
          <m:t xml:space="preserve">)(</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m:t>
        </m:r>
      </m:oMath>
      <w:r>
        <w:tab/>
        <w:t>(D.10)</w:t>
      </w:r>
    </w:p>
    <w:p>
      <w:pPr>
        <w:pStyle w:val="ParaContinue"/>
      </w:pPr>
      <w:r>
        <w:t xml:space="preserve">both coefficients read off (D.9), the matched third-party weights cancelling in the subtraction so that only the </w:t>
      </w:r>
      <m:oMath>
        <m:r>
          <w:rPr>
            <w:rFonts w:ascii="Cambria Math" w:hAnsi="Cambria Math"/>
          </w:rPr>
          <m:t xml:space="preserve">(g, h)</m:t>
        </m:r>
      </m:oMath>
      <w:r>
        <w:t xml:space="preserve"> terms survive and the step is parallel to </w:t>
      </w:r>
      <m:oMath>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oMath>
      <w:r>
        <w:t xml:space="preserve">, which decomposes as</w:t>
      </w:r>
    </w:p>
    <w:p>
      <w:pPr>
        <w:pStyle w:val="DisplayFormula"/>
      </w:pPr>
      <m:oMath>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ah</m:t>
            </m:r>
          </m:sub>
        </m:sSub>
        <m:r>
          <w:rPr>
            <w:rFonts w:ascii="Cambria Math" w:hAnsi="Cambria Math"/>
          </w:rPr>
          <m:t xml:space="preserve">)</m:t>
        </m:r>
      </m:oMath>
      <w:r>
        <w:tab/>
        <w:t>(D.11)</w:t>
      </w:r>
    </w:p>
    <w:p>
      <w:pPr>
        <w:pStyle w:val="ParaContinue"/>
      </w:pPr>
      <w:r>
        <w:t xml:space="preserve">whose second half is, by the variance asymmetry, a static residual and not a fresh draw,</w:t>
      </w:r>
    </w:p>
    <w:p>
      <w:pPr>
        <w:pStyle w:val="DisplayFormula"/>
      </w:pPr>
      <m:oMath>
        <m:f>
          <m:num>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ag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ah</m:t>
                </m:r>
              </m:sub>
            </m:sSub>
            <m:sSup>
              <m:e>
                <m:r>
                  <w:rPr>
                    <w:rFonts w:ascii="Cambria Math" w:hAnsi="Cambria Math"/>
                  </w:rPr>
                  <m:t xml:space="preserve">‖</m:t>
                </m:r>
              </m:e>
              <m:sup>
                <m:r>
                  <w:rPr>
                    <w:rFonts w:ascii="Cambria Math" w:hAnsi="Cambria Math"/>
                  </w:rPr>
                  <m:t xml:space="preserve">2</m:t>
                </m:r>
              </m:sup>
            </m:sSup>
          </m:num>
          <m:den>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den>
        </m:f>
        <m:r>
          <w:rPr>
            <w:rFonts w:ascii="Cambria Math" w:hAnsi="Cambria Math"/>
          </w:rPr>
          <m:t xml:space="preserve"> = </m:t>
        </m:r>
        <m:f>
          <m:num>
            <m:sSub>
              <m:e>
                <m:r>
                  <w:rPr>
                    <w:rFonts w:ascii="Cambria Math" w:hAnsi="Cambria Math"/>
                  </w:rPr>
                  <m:t xml:space="preserve">m</m:t>
                </m:r>
              </m:e>
              <m:sub>
                <m:r>
                  <w:rPr>
                    <w:rFonts w:ascii="Cambria Math" w:hAnsi="Cambria Math"/>
                  </w:rPr>
                  <m:t xml:space="preserve">v</m:t>
                </m:r>
              </m:sub>
            </m:sSub>
          </m:num>
          <m:den>
            <m:sSub>
              <m:e>
                <m:r>
                  <w:rPr>
                    <w:rFonts w:ascii="Cambria Math" w:hAnsi="Cambria Math"/>
                  </w:rPr>
                  <m:t xml:space="preserve">m</m:t>
                </m:r>
              </m:e>
              <m:sub>
                <m:r>
                  <w:rPr>
                    <w:rFonts w:ascii="Cambria Math" w:hAnsi="Cambria Math"/>
                  </w:rPr>
                  <m:t xml:space="preserve">a</m:t>
                </m:r>
              </m:sub>
            </m:sSub>
          </m:den>
        </m:f>
      </m:oMath>
      <w:r>
        <w:tab/>
        <w:t>(D.12)</w:t>
      </w:r>
    </w:p>
    <w:p>
      <w:pPr>
        <w:pStyle w:val="ParaContinue"/>
      </w:pPr>
      <w:r>
        <w:t xml:space="preserve">an amplitude ratio </w:t>
      </w:r>
      <m:oMath>
        <m:rad>
          <m:radPr>
            <m:degHide m:val="1"/>
          </m:radPr>
          <m:deg/>
          <m:e>
            <m:sSub>
              <m:e>
                <m:r>
                  <w:rPr>
                    <w:rFonts w:ascii="Cambria Math" w:hAnsi="Cambria Math"/>
                  </w:rPr>
                  <m:t xml:space="preserve">m</m:t>
                </m:r>
              </m:e>
              <m:sub>
                <m:r>
                  <w:rPr>
                    <w:rFonts w:ascii="Cambria Math" w:hAnsi="Cambria Math"/>
                  </w:rPr>
                  <m:t xml:space="preserve">v</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a</m:t>
                </m:r>
              </m:sub>
            </m:sSub>
          </m:e>
        </m:rad>
      </m:oMath>
      <w:r>
        <w:t xml:space="preserve">, about </w:t>
      </w:r>
      <m:oMath>
        <m:r>
          <w:rPr>
            <w:rFonts w:ascii="Cambria Math" w:hAnsi="Cambria Math"/>
          </w:rPr>
          <m:t xml:space="preserve">1/5.7</m:t>
        </m:r>
      </m:oMath>
      <w:r>
        <w:t xml:space="preserve"> at the 16-sentence floor against the 512-sentence anchor budget, and larger for longer views. Read in the encodings through the linearization of (D.13) below, one Jacobian and one sentence-level covariance </w:t>
      </w:r>
      <m:oMath>
        <m:sSub>
          <m:e>
            <m:r>
              <w:rPr>
                <w:rFonts w:ascii="Cambria Math" w:hAnsi="Cambria Math"/>
              </w:rPr>
              <m:t xml:space="preserve">Σ</m:t>
            </m:r>
          </m:e>
          <m:sub>
            <m:r>
              <w:rPr>
                <w:rFonts w:ascii="Cambria Math" w:hAnsi="Cambria Math"/>
              </w:rPr>
              <m:t xml:space="preserve">g</m:t>
            </m:r>
          </m:sub>
        </m:sSub>
      </m:oMath>
      <w:r>
        <w:t xml:space="preserve"> serving both packs of a game, the ratio is unchanged; it covers the draw-noise half of the anchor residual, the store-page offset of the kind </w:t>
      </w:r>
      <m:oMath>
        <m:sSub>
          <m:e>
            <m:r>
              <w:rPr>
                <w:rFonts w:ascii="Cambria Math" w:hAnsi="Cambria Math"/>
              </w:rPr>
              <m:t xml:space="preserve">δ</m:t>
            </m:r>
          </m:e>
          <m:sub>
            <m:r>
              <w:rPr>
                <w:rFonts w:ascii="Cambria Math" w:hAnsi="Cambria Math"/>
              </w:rPr>
              <m:t xml:space="preserve">g</m:t>
            </m:r>
          </m:sub>
        </m:sSub>
      </m:oMath>
      <w:r>
        <w:t xml:space="preserve"> being static and not shrinking with </w:t>
      </w:r>
      <m:oMath>
        <m:sSub>
          <m:e>
            <m:r>
              <w:rPr>
                <w:rFonts w:ascii="Cambria Math" w:hAnsi="Cambria Math"/>
              </w:rPr>
              <m:t xml:space="preserve">m</m:t>
            </m:r>
          </m:e>
          <m:sub>
            <m:r>
              <w:rPr>
                <w:rFonts w:ascii="Cambria Math" w:hAnsi="Cambria Math"/>
              </w:rPr>
              <m:t xml:space="preserve">a</m:t>
            </m:r>
          </m:sub>
        </m:sSub>
      </m:oMath>
      <w:r>
        <w:t xml:space="preserve">. The anchored path has a lower noise floor, tracking the semantic difference far below the scale </w:t>
      </w:r>
      <m:oMath>
        <m:rad>
          <m:radPr>
            <m:degHide m:val="1"/>
          </m:radPr>
          <m:deg/>
          <m:e>
            <m:r>
              <w:rPr>
                <w:rFonts w:ascii="Cambria Math" w:hAnsi="Cambria Math"/>
              </w:rPr>
              <m:t xml:space="preserve">(</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v</m:t>
                </m:r>
              </m:sub>
            </m:sSub>
          </m:e>
        </m:rad>
      </m:oMath>
      <w:r>
        <w:t xml:space="preserve"> where sample repulsion loses it. The residual is static within a run, replaced by the ten fresh anchor draws of the evaluation protocol (Section 5), whose effect Tables S2 and S3 of the supplementary document bound at 0.008 Stripped hit@1. Through </w:t>
      </w:r>
      <m:oMath>
        <m:sSub>
          <m:e>
            <m:r>
              <w:rPr>
                <w:rFonts w:ascii="Cambria Math" w:hAnsi="Cambria Math"/>
              </w:rPr>
              <m:t xml:space="preserve">p</m:t>
            </m:r>
          </m:e>
          <m:sub>
            <m:r>
              <w:rPr>
                <w:rFonts w:ascii="Cambria Math" w:hAnsi="Cambria Math"/>
              </w:rPr>
              <m:t xml:space="preserve">h</m:t>
            </m:r>
          </m:sub>
        </m:sSub>
      </m:oMath>
      <w:r>
        <w:t xml:space="preserve"> the softmax also concentrates the whole repulsion budget on whichever anchors currently compete. Equation (8) sits at the opposite extreme: its mean gives every competitor weight </w:t>
      </w:r>
      <m:oMath>
        <m:r>
          <w:rPr>
            <w:rFonts w:ascii="Cambria Math" w:hAnsi="Cambria Math"/>
          </w:rPr>
          <m:t xml:space="preserve">1/B</m:t>
        </m:r>
      </m:oMath>
      <w:r>
        <w:t xml:space="preserve">, </w:t>
      </w:r>
      <m:oMath>
        <m:r>
          <w:rPr>
            <w:rFonts w:ascii="Cambria Math" w:hAnsi="Cambria Math"/>
          </w:rPr>
          <m:t xml:space="preserve">B</m:t>
        </m:r>
      </m:oMath>
      <w:r>
        <w:t xml:space="preserve"> the view encodings in a step (Section 4.3), against a </w:t>
      </w:r>
      <m:oMath>
        <m:sSub>
          <m:e>
            <m:r>
              <w:rPr>
                <w:rFonts w:ascii="Cambria Math" w:hAnsi="Cambria Math"/>
              </w:rPr>
              <m:t xml:space="preserve">p</m:t>
            </m:r>
          </m:e>
          <m:sub>
            <m:r>
              <w:rPr>
                <w:rFonts w:ascii="Cambria Math" w:hAnsi="Cambria Math"/>
              </w:rPr>
              <m:t xml:space="preserve">h</m:t>
            </m:r>
          </m:sub>
        </m:sSub>
      </m:oMath>
      <w:r>
        <w:t xml:space="preserve"> that is of order one at a hard competitor early in training, so matching one anchored step takes order </w:t>
      </w:r>
      <m:oMath>
        <m:r>
          <w:rPr>
            <w:rFonts w:ascii="Cambria Math" w:hAnsi="Cambria Math"/>
          </w:rPr>
          <m:t xml:space="preserve">B</m:t>
        </m:r>
      </m:oMath>
      <w:r>
        <w:t xml:space="preserve"> mean steps, each carrying an independent draw, and the accumulated noise variance grows by the same factor.</w:t>
      </w:r>
    </w:p>
    <w:p>
      <w:pPr>
        <w:pStyle w:val="Para"/>
      </w:pPr>
      <w:r>
        <w:rPr>
          <w:b/>
        </w:rPr>
        <w:t xml:space="preserve">Why the invariance term suppresses the noise response.</w:t>
      </w:r>
      <w:r>
        <w:t xml:space="preserve"> Switching to the linearization, expand about the invariant component, with </w:t>
      </w:r>
      <m:oMath>
        <m:r>
          <w:rPr>
            <w:rFonts w:ascii="Cambria Math" w:hAnsi="Cambria Math"/>
          </w:rPr>
          <m:t xml:space="preserve">J</m:t>
        </m:r>
      </m:oMath>
      <w:r>
        <w:t xml:space="preserve"> the Jacobian at </w:t>
      </w:r>
      <m:oMath>
        <m:r>
          <w:rPr>
            <w:rFonts w:ascii="Cambria Math" w:hAnsi="Cambria Math"/>
          </w:rPr>
          <m:t xml:space="preserve">c</m:t>
        </m:r>
      </m:oMath>
      <w:r>
        <w:t xml:space="preserve">,</w:t>
      </w:r>
    </w:p>
    <w:p>
      <w:pPr>
        <w:pStyle w:val="DisplayFormula"/>
      </w:pPr>
      <m:oMath>
        <m:r>
          <w:rPr>
            <w:rFonts w:ascii="Cambria Math" w:hAnsi="Cambria Math"/>
          </w:rPr>
          <m:t xml:space="preserve">f(c + ε) ≈ f(c) + J ε,  J = </m:t>
        </m:r>
        <m:f>
          <m:num>
            <m:r>
              <w:rPr>
                <w:rFonts w:ascii="Cambria Math" w:hAnsi="Cambria Math"/>
              </w:rPr>
              <m:t xml:space="preserve">∂f</m:t>
            </m:r>
          </m:num>
          <m:den>
            <m:r>
              <w:rPr>
                <w:rFonts w:ascii="Cambria Math" w:hAnsi="Cambria Math"/>
              </w:rPr>
              <m:t xml:space="preserve">∂x</m:t>
            </m:r>
          </m:den>
        </m:f>
      </m:oMath>
      <w:r>
        <w:tab/>
        <w:t>(D.13)</w:t>
      </w:r>
    </w:p>
    <w:p>
      <w:pPr>
        <w:pStyle w:val="ParaContinue"/>
      </w:pPr>
      <w:r>
        <w:t xml:space="preserve">and since the tower outputs unit vectors, differentiating </w:t>
      </w:r>
      <m:oMath>
        <m:r>
          <w:rPr>
            <w:rFonts w:ascii="Cambria Math" w:hAnsi="Cambria Math"/>
          </w:rPr>
          <m:t xml:space="preserve">‖f</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 1</m:t>
        </m:r>
      </m:oMath>
      <w:r>
        <w:t xml:space="preserve"> gives</w:t>
      </w:r>
    </w:p>
    <w:p>
      <w:pPr>
        <w:pStyle w:val="DisplayFormula"/>
      </w:pPr>
      <m:oMath>
        <m:r>
          <w:rPr>
            <w:rFonts w:ascii="Cambria Math" w:hAnsi="Cambria Math"/>
          </w:rPr>
          <m:t xml:space="preserve">f(c</m:t>
        </m:r>
        <m:sSup>
          <m:e>
            <m:r>
              <w:rPr>
                <w:rFonts w:ascii="Cambria Math" w:hAnsi="Cambria Math"/>
              </w:rPr>
              <m:t xml:space="preserve">)</m:t>
            </m:r>
          </m:e>
          <m:sup>
            <m:r>
              <w:rPr>
                <w:rFonts w:ascii="Cambria Math" w:hAnsi="Cambria Math"/>
              </w:rPr>
              <m:t xml:space="preserve">T</m:t>
            </m:r>
          </m:sup>
        </m:sSup>
        <m:r>
          <w:rPr>
            <w:rFonts w:ascii="Cambria Math" w:hAnsi="Cambria Math"/>
          </w:rPr>
          <m:t xml:space="preserve"> J = 0</m:t>
        </m:r>
      </m:oMath>
      <w:r>
        <w:tab/>
        <w:t>(D.14)</w:t>
      </w:r>
    </w:p>
    <w:p>
      <w:pPr>
        <w:pStyle w:val="ParaContinue"/>
      </w:pPr>
      <w:r>
        <w:t xml:space="preserve">which kills the first-order term of the cosine, and the same constraint fixes each output’s radial second-order term at </w:t>
      </w:r>
      <m:oMath>
        <m:r>
          <w:rPr>
            <w:rFonts w:ascii="Cambria Math" w:hAnsi="Cambria Math"/>
          </w:rPr>
          <m:t xml:space="preserve">−‖J ε</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/2</m:t>
        </m:r>
      </m:oMath>
      <w:r>
        <w:t xml:space="preserve">, so that </w:t>
      </w:r>
      <m:oMath>
        <m:r>
          <w:rPr>
            <w:rFonts w:ascii="Cambria Math" w:hAnsi="Cambria Math"/>
          </w:rPr>
          <m:t xml:space="preserve">‖z‖ = 1</m:t>
        </m:r>
      </m:oMath>
      <w:r>
        <w:t xml:space="preserve"> holds to that order, leaving</w:t>
      </w:r>
    </w:p>
    <w:p>
      <w:pPr>
        <w:pStyle w:val="DisplayFormula"/>
      </w:pPr>
      <m:oMath>
        <m:r>
          <w:rPr>
            <w:rFonts w:ascii="Cambria Math" w:hAnsi="Cambria Math"/>
          </w:rPr>
          <m:t xml:space="preserve">⟨</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 = 1 + </m:t>
        </m:r>
        <m:sSubSup>
          <m:e>
            <m:r>
              <w:rPr>
                <w:rFonts w:ascii="Cambria Math" w:hAnsi="Cambria Math"/>
              </w:rPr>
              <m:t xml:space="preserve">ε</m:t>
            </m:r>
          </m:e>
          <m:sub>
            <m:r>
              <w:rPr>
                <w:rFonts w:ascii="Cambria Math" w:hAnsi="Cambria Math"/>
              </w:rPr>
              <m:t xml:space="preserve">i</m:t>
            </m:r>
          </m:sub>
          <m:sup>
            <m:r>
              <w:rPr>
                <w:rFonts w:ascii="Cambria Math" w:hAnsi="Cambria Math"/>
              </w:rPr>
              <m:t xml:space="preserve">T</m:t>
            </m:r>
          </m:sup>
        </m:sSubSup>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 J </m:t>
        </m:r>
        <m:sSub>
          <m:e>
            <m:r>
              <w:rPr>
                <w:rFonts w:ascii="Cambria Math" w:hAnsi="Cambria Math"/>
              </w:rPr>
              <m:t xml:space="preserve">ε</m:t>
            </m:r>
          </m:e>
          <m:sub>
            <m:r>
              <w:rPr>
                <w:rFonts w:ascii="Cambria Math" w:hAnsi="Cambria Math"/>
              </w:rPr>
              <m:t xml:space="preserve">j</m:t>
            </m:r>
          </m:sub>
        </m:sSub>
        <m:r>
          <w:rPr>
            <w:rFonts w:ascii="Cambria Math" w:hAnsi="Cambria Math"/>
          </w:rPr>
          <m:t xml:space="preserve"> − </m:t>
        </m:r>
        <m:f>
          <m:num>
            <m:r>
              <w:rPr>
                <w:rFonts w:ascii="Cambria Math" w:hAnsi="Cambria Math"/>
              </w:rPr>
              <m:t xml:space="preserve">‖J </m:t>
            </m:r>
            <m:sSub>
              <m:e>
                <m:r>
                  <w:rPr>
                    <w:rFonts w:ascii="Cambria Math" w:hAnsi="Cambria Math"/>
                  </w:rPr>
                  <m:t xml:space="preserve">ε</m:t>
                </m:r>
              </m:e>
              <m:sub>
                <m:r>
                  <w:rPr>
                    <w:rFonts w:ascii="Cambria Math" w:hAnsi="Cambria Math"/>
                  </w:rPr>
                  <m:t xml:space="preserve">i</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‖J </m:t>
            </m:r>
            <m:sSub>
              <m:e>
                <m:r>
                  <w:rPr>
                    <w:rFonts w:ascii="Cambria Math" w:hAnsi="Cambria Math"/>
                  </w:rPr>
                  <m:t xml:space="preserve">ε</m:t>
                </m:r>
              </m:e>
              <m:sub>
                <m:r>
                  <w:rPr>
                    <w:rFonts w:ascii="Cambria Math" w:hAnsi="Cambria Math"/>
                  </w:rPr>
                  <m:t xml:space="preserve">j</m:t>
                </m:r>
              </m:sub>
            </m:sSub>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2</m:t>
            </m:r>
          </m:den>
        </m:f>
      </m:oMath>
      <w:r>
        <w:tab/>
        <w:t>(D.15)</w:t>
      </w:r>
    </w:p>
    <w:p>
      <w:pPr>
        <w:pStyle w:val="ParaContinue"/>
      </w:pPr>
      <w:r>
        <w:t xml:space="preserve">and therefore</w:t>
      </w:r>
    </w:p>
    <w:p>
      <w:pPr>
        <w:pStyle w:val="DisplayFormula"/>
      </w:pPr>
      <m:oMath>
        <m:r>
          <w:rPr>
            <w:rFonts w:ascii="Cambria Math" w:hAnsi="Cambria Math"/>
          </w:rPr>
          <m:t xml:space="preserve">1 − </m:t>
        </m:r>
        <m:r>
          <m:rPr>
            <m:sty m:val="p"/>
          </m:rPr>
          <w:rPr>
            <w:rFonts w:ascii="Cambria Math" w:hAnsi="Cambria Math"/>
          </w:rPr>
          <m:t xml:space="preserve">cos</m:t>
        </m:r>
        <m:r>
          <w:rPr>
            <w:rFonts w:ascii="Cambria Math" w:hAnsi="Cambria Math"/>
          </w:rPr>
          <m:t xml:space="preserve">(</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 = </m:t>
        </m:r>
        <m:f>
          <m:num>
            <m:r>
              <w:rPr>
                <w:rFonts w:ascii="Cambria Math" w:hAnsi="Cambria Math"/>
              </w:rPr>
              <m:t xml:space="preserve">‖J(</m:t>
            </m:r>
            <m:sSub>
              <m:e>
                <m:r>
                  <w:rPr>
                    <w:rFonts w:ascii="Cambria Math" w:hAnsi="Cambria Math"/>
                  </w:rPr>
                  <m:t xml:space="preserve">ε</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j</m:t>
                </m:r>
              </m:sub>
            </m:sSub>
            <m:r>
              <w:rPr>
                <w:rFonts w:ascii="Cambria Math" w:hAnsi="Cambria Math"/>
              </w:rPr>
              <m:t xml:space="preserve">)</m:t>
            </m:r>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2</m:t>
            </m:r>
          </m:den>
        </m:f>
      </m:oMath>
      <w:r>
        <w:tab/>
        <w:t>(D.16)</w:t>
      </w:r>
    </w:p>
    <w:p>
      <w:pPr>
        <w:pStyle w:val="ParaContinue"/>
      </w:pPr>
      <w:r>
        <w:t xml:space="preserve">For independent draws of equal covariance every pair has expectation </w:t>
      </w:r>
      <m:oMath>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m:t>
        </m:r>
      </m:oMath>
      <w:r>
        <w:t xml:space="preserve">, and the </w:t>
      </w:r>
      <m:oMath>
        <m:r>
          <w:rPr>
            <w:rFonts w:ascii="Cambria Math" w:hAnsi="Cambria Math"/>
          </w:rPr>
          <m:t xml:space="preserve">2/(V(V − 1))</m:t>
        </m:r>
      </m:oMath>
      <w:r>
        <w:t xml:space="preserve"> prefactor of Equation (3) averages the </w:t>
      </w:r>
      <m:oMath>
        <m:r>
          <w:rPr>
            <w:rFonts w:ascii="Cambria Math" w:hAnsi="Cambria Math"/>
          </w:rPr>
          <m:t xml:space="preserve">V(V − 1)/2</m:t>
        </m:r>
      </m:oMath>
      <w:r>
        <w:t xml:space="preserve"> pairs, so</w:t>
      </w:r>
    </w:p>
    <w:p>
      <w:pPr>
        <w:pStyle w:val="DisplayFormula"/>
      </w:pPr>
      <m:oMath>
        <m:r>
          <m:rPr>
            <m:sty m:val="p"/>
          </m:rPr>
          <w:rPr>
            <w:rFonts w:ascii="Cambria Math" w:hAnsi="Cambria Math"/>
          </w:rPr>
          <m:t xml:space="preserve">E</m:t>
        </m:r>
        <m:r>
          <w:rPr>
            <w:rFonts w:ascii="Cambria Math" w:hAnsi="Cambria Math"/>
          </w:rPr>
          <m:t xml:space="preserve">[I] = </m:t>
        </m:r>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m:t>
        </m:r>
      </m:oMath>
      <w:r>
        <w:tab/>
        <w:t>(D.17)</w:t>
      </w:r>
    </w:p>
    <w:p>
      <w:pPr>
        <w:pStyle w:val="ParaContinue"/>
      </w:pPr>
      <w:r>
        <w:t xml:space="preserve">with coefficient one, the case of a game without a document view (198 in a fold). The document view rides on </w:t>
      </w:r>
      <m:oMath>
        <m:sSub>
          <m:e>
            <m:r>
              <w:rPr>
                <w:rFonts w:ascii="Cambria Math" w:hAnsi="Cambria Math"/>
              </w:rPr>
              <m:t xml:space="preserve">c</m:t>
            </m:r>
          </m:e>
          <m:sub>
            <m:r>
              <w:rPr>
                <w:rFonts w:ascii="Cambria Math" w:hAnsi="Cambria Math"/>
              </w:rPr>
              <m:t xml:space="preserve">g</m:t>
            </m:r>
          </m:sub>
        </m:sSub>
      </m:oMath>
      <w:r>
        <w:t xml:space="preserve"> with its static register offset </w:t>
      </w:r>
      <m:oMath>
        <m:sSub>
          <m:e>
            <m:r>
              <w:rPr>
                <w:rFonts w:ascii="Cambria Math" w:hAnsi="Cambria Math"/>
              </w:rPr>
              <m:t xml:space="preserve">δ</m:t>
            </m:r>
          </m:e>
          <m:sub>
            <m:r>
              <w:rPr>
                <w:rFonts w:ascii="Cambria Math" w:hAnsi="Cambria Math"/>
              </w:rPr>
              <m:t xml:space="preserve">g</m:t>
            </m:r>
          </m:sub>
        </m:sSub>
      </m:oMath>
      <w:r>
        <w:t xml:space="preserve">, its own fixed deviation folded in,</w:t>
      </w:r>
    </w:p>
    <w:p>
      <w:pPr>
        <w:pStyle w:val="DisplayFormula"/>
      </w:pPr>
      <m:oMath>
        <m:sSub>
          <m:e>
            <m:r>
              <w:rPr>
                <w:rFonts w:ascii="Cambria Math" w:hAnsi="Cambria Math"/>
              </w:rPr>
              <m:t xml:space="preserve">z</m:t>
            </m:r>
          </m:e>
          <m:sub>
            <m:r>
              <w:rPr>
                <w:rFonts w:ascii="Cambria Math" w:hAnsi="Cambria Math"/>
              </w:rPr>
              <m:t xml:space="preserve">doc</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J </m:t>
        </m:r>
        <m:sSub>
          <m:e>
            <m:r>
              <w:rPr>
                <w:rFonts w:ascii="Cambria Math" w:hAnsi="Cambria Math"/>
              </w:rPr>
              <m:t xml:space="preserve">δ</m:t>
            </m:r>
          </m:e>
          <m:sub>
            <m:r>
              <w:rPr>
                <w:rFonts w:ascii="Cambria Math" w:hAnsi="Cambria Math"/>
              </w:rPr>
              <m:t xml:space="preserve">g</m:t>
            </m:r>
          </m:sub>
        </m:sSub>
      </m:oMath>
      <w:r>
        <w:tab/>
        <w:t>(D.18)</w:t>
      </w:r>
    </w:p>
    <w:p>
      <w:pPr>
        <w:pStyle w:val="ParaContinue"/>
      </w:pPr>
      <w:r>
        <w:t xml:space="preserve">and, for a game with a document view (1,496 of the 1,694 in a fold), each of the </w:t>
      </w:r>
      <m:oMath>
        <m:r>
          <w:rPr>
            <w:rFonts w:ascii="Cambria Math" w:hAnsi="Cambria Math"/>
          </w:rPr>
          <m:t xml:space="preserve">V − 1</m:t>
        </m:r>
      </m:oMath>
      <w:r>
        <w:t xml:space="preserve"> pairs involving it swaps one view’s noise for that offset, contributing </w:t>
      </w:r>
      <m:oMath>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/2</m:t>
        </m:r>
      </m:oMath>
      <w:r>
        <w:t xml:space="preserve"> and half the noise term,</w:t>
      </w:r>
    </w:p>
    <w:p>
      <w:pPr>
        <w:pStyle w:val="DisplayFormula"/>
      </w:pPr>
      <m:oMath>
        <m:r>
          <m:rPr>
            <m:sty m:val="p"/>
          </m:rPr>
          <w:rPr>
            <w:rFonts w:ascii="Cambria Math" w:hAnsi="Cambria Math"/>
          </w:rPr>
          <m:t xml:space="preserve">E</m:t>
        </m:r>
        <m:r>
          <w:rPr>
            <w:rFonts w:ascii="Cambria Math" w:hAnsi="Cambria Math"/>
          </w:rPr>
          <m:t xml:space="preserve">[I] = </m:t>
        </m:r>
        <m:f>
          <m:num>
            <m:r>
              <w:rPr>
                <w:rFonts w:ascii="Cambria Math" w:hAnsi="Cambria Math"/>
              </w:rPr>
              <m:t xml:space="preserve">V − 1</m:t>
            </m:r>
          </m:num>
          <m:den>
            <m:r>
              <w:rPr>
                <w:rFonts w:ascii="Cambria Math" w:hAnsi="Cambria Math"/>
              </w:rPr>
              <m:t xml:space="preserve">V</m:t>
            </m:r>
          </m:den>
        </m:f>
        <m:r>
          <w:rPr>
            <w:rFonts w:ascii="Cambria Math" w:hAnsi="Cambria Math"/>
          </w:rPr>
          <m:t xml:space="preserve"> </m:t>
        </m:r>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 + </m:t>
        </m:r>
        <m:f>
          <m:num>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V</m:t>
            </m:r>
          </m:den>
        </m:f>
      </m:oMath>
      <w:r>
        <w:tab/>
        <w:t>(D.19)</w:t>
      </w:r>
    </w:p>
    <w:p>
      <w:pPr>
        <w:pStyle w:val="ParaContinue"/>
      </w:pPr>
      <w:r>
        <w:t xml:space="preserve">a floor of </w:t>
      </w:r>
      <m:oMath>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/4</m:t>
        </m:r>
      </m:oMath>
      <w:r>
        <w:t xml:space="preserve"> at </w:t>
      </w:r>
      <m:oMath>
        <m:r>
          <w:rPr>
            <w:rFonts w:ascii="Cambria Math" w:hAnsi="Cambria Math"/>
          </w:rPr>
          <m:t xml:space="preserve">V = 4</m:t>
        </m:r>
      </m:oMath>
      <w:r>
        <w:t xml:space="preserve"> that no drawing removes, which is why closing </w:t>
      </w:r>
      <m:oMath>
        <m:sSub>
          <m:e>
            <m:r>
              <w:rPr>
                <w:rFonts w:ascii="Cambria Math" w:hAnsi="Cambria Math"/>
              </w:rPr>
              <m:t xml:space="preserve">δ</m:t>
            </m:r>
          </m:e>
          <m:sub>
            <m:r>
              <w:rPr>
                <w:rFonts w:ascii="Cambria Math" w:hAnsi="Cambria Math"/>
              </w:rPr>
              <m:t xml:space="preserve">g</m:t>
            </m:r>
          </m:sub>
        </m:sSub>
      </m:oMath>
      <w:r>
        <w:t xml:space="preserve"> falls here. Being symmetric, the term closes </w:t>
      </w:r>
      <m:oMath>
        <m:sSub>
          <m:e>
            <m:r>
              <w:rPr>
                <w:rFonts w:ascii="Cambria Math" w:hAnsi="Cambria Math"/>
              </w:rPr>
              <m:t xml:space="preserve">δ</m:t>
            </m:r>
          </m:e>
          <m:sub>
            <m:r>
              <w:rPr>
                <w:rFonts w:ascii="Cambria Math" w:hAnsi="Cambria Math"/>
              </w:rPr>
              <m:t xml:space="preserve">g</m:t>
            </m:r>
          </m:sub>
        </m:sSub>
      </m:oMath>
      <w:r>
        <w:t xml:space="preserve"> at a compromise, not by moving the document alone: the game-independent part </w:t>
      </w:r>
      <m:oMath>
        <m:sSub>
          <m:e>
            <m:r>
              <w:rPr>
                <w:rFonts w:ascii="Cambria Math" w:hAnsi="Cambria Math"/>
              </w:rPr>
              <m:t xml:space="preserve">b</m:t>
            </m:r>
          </m:e>
          <m:sub>
            <m:r>
              <w:rPr>
                <w:rFonts w:ascii="Cambria Math" w:hAnsi="Cambria Math"/>
              </w:rPr>
              <m:t xml:space="preserve">doc</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rev</m:t>
            </m:r>
          </m:sub>
        </m:sSub>
      </m:oMath>
      <w:r>
        <w:t xml:space="preserve"> of </w:t>
      </w:r>
      <m:oMath>
        <m:sSub>
          <m:e>
            <m:r>
              <w:rPr>
                <w:rFonts w:ascii="Cambria Math" w:hAnsi="Cambria Math"/>
              </w:rPr>
              <m:t xml:space="preserve">δ</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doc</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rev</m:t>
            </m:r>
          </m:sub>
        </m:sSub>
        <m:r>
          <w:rPr>
            <w:rFonts w:ascii="Cambria Math" w:hAnsi="Cambria Math"/>
          </w:rPr>
          <m:t xml:space="preserve">) + </m:t>
        </m:r>
        <m:sSub>
          <m:e>
            <m:r>
              <w:rPr>
                <w:rFonts w:ascii="Cambria Math" w:hAnsi="Cambria Math"/>
              </w:rPr>
              <m:t xml:space="preserve">t</m:t>
            </m:r>
          </m:e>
          <m:sub>
            <m:r>
              <w:rPr>
                <w:rFonts w:ascii="Cambria Math" w:hAnsi="Cambria Math"/>
              </w:rPr>
              <m:t xml:space="preserve">g</m:t>
            </m:r>
          </m:sub>
        </m:sSub>
      </m:oMath>
      <w:r>
        <w:t xml:space="preserve"> (Section 4.1) leaves inter-game differences untouched, while the drift </w:t>
      </w:r>
      <m:oMath>
        <m:sSub>
          <m:e>
            <m:r>
              <w:rPr>
                <w:rFonts w:ascii="Cambria Math" w:hAnsi="Cambria Math"/>
              </w:rPr>
              <m:t xml:space="preserve">t</m:t>
            </m:r>
          </m:e>
          <m:sub>
            <m:r>
              <w:rPr>
                <w:rFonts w:ascii="Cambria Math" w:hAnsi="Cambria Math"/>
              </w:rPr>
              <m:t xml:space="preserve">g</m:t>
            </m:r>
          </m:sub>
        </m:sSub>
      </m:oMath>
      <w:r>
        <w:t xml:space="preserve"> does not and is absorbed into </w:t>
      </w:r>
      <m:oMath>
        <m:r>
          <w:rPr>
            <w:rFonts w:ascii="Cambria Math" w:hAnsi="Cambria Math"/>
          </w:rPr>
          <m:t xml:space="preserve">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 xml:space="preserve">. Minimizing </w:t>
      </w:r>
      <m:oMath>
        <m:r>
          <w:rPr>
            <w:rFonts w:ascii="Cambria Math" w:hAnsi="Cambria Math"/>
          </w:rPr>
          <m:t xml:space="preserve">I</m:t>
        </m:r>
      </m:oMath>
      <w:r>
        <w:t xml:space="preserve"> presses the noise term of (D.19) to zero in expectation,</w:t>
      </w:r>
    </w:p>
    <w:p>
      <w:pPr>
        <w:pStyle w:val="DisplayFormula"/>
      </w:pPr>
      <m:oMath>
        <m:r>
          <m:rPr>
            <m:sty m:val="p"/>
          </m:rPr>
          <w:rPr>
            <w:rFonts w:ascii="Cambria Math" w:hAnsi="Cambria Math"/>
          </w:rPr>
          <m:t xml:space="preserve">E</m:t>
        </m:r>
        <m:r>
          <w:rPr>
            <w:rFonts w:ascii="Cambria Math" w:hAnsi="Cambria Math"/>
          </w:rPr>
          <m:t xml:space="preserve">‖J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0,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J(</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0</m:t>
        </m:r>
      </m:oMath>
      <w:r>
        <w:tab/>
        <w:t>(D.20)</w:t>
      </w:r>
    </w:p>
    <w:p>
      <w:pPr>
        <w:pStyle w:val="ParaContinue"/>
      </w:pPr>
      <w:r>
        <w:t xml:space="preserve">suppressing the tower’s noise response, not the noise. Two assumptions carry this: the linearization holds in the high-noise regime of the strong views, and </w:t>
      </w:r>
      <m:oMath>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m:t>
        </m:r>
      </m:oMath>
      <w:r>
        <w:t xml:space="preserve"> must span a subspace distinct enough from </w:t>
      </w:r>
      <m:oMath>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oMath>
      <w:r>
        <w:t xml:space="preserve"> for one to be suppressed without the other. Cross-entropy forbids total collapse, the constant tower costing </w:t>
      </w:r>
      <m:oMath>
        <m:r>
          <m:rPr>
            <m:sty m:val="p"/>
          </m:rPr>
          <w:rPr>
            <w:rFonts w:ascii="Cambria Math" w:hAnsi="Cambria Math"/>
          </w:rPr>
          <m:t xml:space="preserve">ln</m:t>
        </m:r>
        <m:r>
          <w:rPr>
            <w:rFonts w:ascii="Cambria Math" w:hAnsi="Cambria Math"/>
          </w:rPr>
          <m:t xml:space="preserve"> n ≈ 7.4</m:t>
        </m:r>
      </m:oMath>
      <w:r>
        <w:t xml:space="preserve"> nats per view, but not the loss of semantic directions inside the noise subspace, which we read as the tag deficit of Section 8.</w:t>
      </w:r>
    </w:p>
    <w:p>
      <w:pPr>
        <w:pStyle w:val="Para"/>
      </w:pPr>
      <w:r>
        <w:rPr>
          <w:b/>
        </w:rPr>
        <w:t xml:space="preserve">What the two terms leave.</w:t>
      </w:r>
      <w:r>
        <w:t xml:space="preserve"> The conventions meet here, assuming the tower keeps Jacobian rank along the semantic directions while its noise response is suppressed. With </w:t>
      </w:r>
      <m:oMath>
        <m:sSub>
          <m:e>
            <m:r>
              <w:rPr>
                <w:rFonts w:ascii="Cambria Math" w:hAnsi="Cambria Math"/>
              </w:rPr>
              <m:t xml:space="preserve">J</m:t>
            </m:r>
          </m:e>
          <m:sub>
            <m:r>
              <w:rPr>
                <w:rFonts w:ascii="Cambria Math" w:hAnsi="Cambria Math"/>
              </w:rPr>
              <m:t xml:space="preserve">g</m:t>
            </m:r>
          </m:sub>
        </m:sSub>
      </m:oMath>
      <w:r>
        <w:t xml:space="preserve"> and </w:t>
      </w:r>
      <m:oMath>
        <m:sSub>
          <m:e>
            <m:r>
              <w:rPr>
                <w:rFonts w:ascii="Cambria Math" w:hAnsi="Cambria Math"/>
              </w:rPr>
              <m:t xml:space="preserve">J</m:t>
            </m:r>
          </m:e>
          <m:sub>
            <m:r>
              <w:rPr>
                <w:rFonts w:ascii="Cambria Math" w:hAnsi="Cambria Math"/>
              </w:rPr>
              <m:t xml:space="preserve">h</m:t>
            </m:r>
          </m:sub>
        </m:sSub>
      </m:oMath>
      <w:r>
        <w:t xml:space="preserve"> the Jacobians at </w:t>
      </w:r>
      <m:oMath>
        <m:sSub>
          <m:e>
            <m:r>
              <w:rPr>
                <w:rFonts w:ascii="Cambria Math" w:hAnsi="Cambria Math"/>
              </w:rPr>
              <m:t xml:space="preserve">c</m:t>
            </m:r>
          </m:e>
          <m:sub>
            <m:r>
              <w:rPr>
                <w:rFonts w:ascii="Cambria Math" w:hAnsi="Cambria Math"/>
              </w:rPr>
              <m:t xml:space="preserve">g</m:t>
            </m:r>
          </m:sub>
        </m:sSub>
      </m:oMath>
      <w:r>
        <w:t xml:space="preserve"> and </w:t>
      </w:r>
      <m:oMath>
        <m:sSub>
          <m:e>
            <m:r>
              <w:rPr>
                <w:rFonts w:ascii="Cambria Math" w:hAnsi="Cambria Math"/>
              </w:rPr>
              <m:t xml:space="preserve">c</m:t>
            </m:r>
          </m:e>
          <m:sub>
            <m:r>
              <w:rPr>
                <w:rFonts w:ascii="Cambria Math" w:hAnsi="Cambria Math"/>
              </w:rPr>
              <m:t xml:space="preserve">h</m:t>
            </m:r>
          </m:sub>
        </m:sSub>
      </m:oMath>
      <w:r>
        <w:t xml:space="preserve">,</w:t>
      </w:r>
    </w:p>
    <w:p>
      <w:pPr>
        <w:pStyle w:val="DisplayFormula"/>
      </w:pP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J</m:t>
            </m:r>
          </m:e>
          <m:sub>
            <m:r>
              <w:rPr>
                <w:rFonts w:ascii="Cambria Math" w:hAnsi="Cambria Math"/>
              </w:rPr>
              <m:t xml:space="preserve">g</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J</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m:t>
        </m:r>
      </m:oMath>
      <w:r>
        <w:tab/>
        <w:t>(D.21)</w:t>
      </w:r>
    </w:p>
    <w:p>
      <w:pPr>
        <w:pStyle w:val="ParaContinue"/>
      </w:pPr>
      <w:r>
        <w:t xml:space="preserve">whose second half Equation (3) sends to zero while Equation (7) holds the first half apart through the anchors, each view pinned to its own anchor at the CE optimum and the anchors pushed apart by (D.23), so at the optimum</w:t>
      </w:r>
    </w:p>
    <w:p>
      <w:pPr>
        <w:pStyle w:val="DisplayFormula"/>
      </w:pP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m:t>
        </m:r>
      </m:oMath>
      <w:r>
        <w:tab/>
        <w:t>(D.22)</w:t>
      </w:r>
    </w:p>
    <w:p>
      <w:pPr>
        <w:pStyle w:val="ParaContinue"/>
      </w:pPr>
      <w:r>
        <w:t xml:space="preserve">up to the drift </w:t>
      </w:r>
      <m:oMath>
        <m:sSub>
          <m:e>
            <m:r>
              <w:rPr>
                <w:rFonts w:ascii="Cambria Math" w:hAnsi="Cambria Math"/>
              </w:rPr>
              <m:t xml:space="preserve">t</m:t>
            </m:r>
          </m:e>
          <m:sub>
            <m:r>
              <w:rPr>
                <w:rFonts w:ascii="Cambria Math" w:hAnsi="Cambria Math"/>
              </w:rPr>
              <m:t xml:space="preserve">g</m:t>
            </m:r>
          </m:sub>
        </m:sSub>
      </m:oMath>
      <w:r>
        <w:t xml:space="preserve"> absorbed into </w:t>
      </w:r>
      <m:oMath>
        <m:r>
          <w:rPr>
            <w:rFonts w:ascii="Cambria Math" w:hAnsi="Cambria Math"/>
          </w:rPr>
          <m:t xml:space="preserve">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 xml:space="preserve"> and the static anchor residual of (D.12). Displacement contracts while the margin, an anchor-side quantity made by repulsion, roughly holds, so the displacement-to-margin ratio retrieval depends on falls. The contraction is derived for in-distribution draws; extending it to the zero-shot cross-register queries of Section 5 assumes a query’s displacement lies in the same subspace, the step the document view makes plausible.</w:t>
      </w:r>
    </w:p>
    <w:p>
      <w:pPr>
        <w:pStyle w:val="Para"/>
      </w:pPr>
      <w:r>
        <w:rPr>
          <w:b/>
        </w:rPr>
        <w:t xml:space="preserve">The coupled softmax brake.</w:t>
      </w:r>
      <w:r>
        <w:t xml:space="preserve"> Differentiating Equation (2) against the anchors, again free-variable,</w:t>
      </w:r>
    </w:p>
    <w:p>
      <w:pPr>
        <w:pStyle w:val="DisplayFormula"/>
      </w:pPr>
      <m:oMath>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g</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num>
          <m:den>
            <m:r>
              <w:rPr>
                <w:rFonts w:ascii="Cambria Math" w:hAnsi="Cambria Math"/>
              </w:rPr>
              <m:t xml:space="preserve">τ</m:t>
            </m:r>
          </m:den>
        </m:f>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h</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sSub>
              <m:e>
                <m:r>
                  <w:rPr>
                    <w:rFonts w:ascii="Cambria Math" w:hAnsi="Cambria Math"/>
                  </w:rPr>
                  <m:t xml:space="preserve">p</m:t>
                </m:r>
              </m:e>
              <m:sub>
                <m:r>
                  <w:rPr>
                    <w:rFonts w:ascii="Cambria Math" w:hAnsi="Cambria Math"/>
                  </w:rPr>
                  <m:t xml:space="preserve">h</m:t>
                </m:r>
              </m:sub>
            </m:sSub>
          </m:num>
          <m:den>
            <m:r>
              <w:rPr>
                <w:rFonts w:ascii="Cambria Math" w:hAnsi="Cambria Math"/>
              </w:rPr>
              <m:t xml:space="preserve">τ</m:t>
            </m:r>
          </m:den>
        </m:f>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oMath>
      <w:r>
        <w:tab/>
        <w:t>(D.23)</w:t>
      </w:r>
    </w:p>
    <w:p>
      <w:pPr>
        <w:pStyle w:val="ParaContinue"/>
      </w:pPr>
      <w:r>
        <w:t xml:space="preserve">so pull and pushes carry the weights of one distribution and vanish together as classification succeeds. Decomposing into alignment and uniformity [5] loses the coupling: with </w:t>
      </w:r>
      <m:oMath>
        <m:sSub>
          <m:e>
            <m:r>
              <w:rPr>
                <w:rFonts w:ascii="Cambria Math" w:hAnsi="Cambria Math"/>
              </w:rPr>
              <m:t xml:space="preserve">ℓ</m:t>
            </m:r>
          </m:e>
          <m:sub>
            <m:r>
              <w:rPr>
                <w:rFonts w:ascii="Cambria Math" w:hAnsi="Cambria Math"/>
              </w:rPr>
              <m:t xml:space="preserve">align</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m:t>
        </m:r>
      </m:oMath>
      <w:r>
        <w:t xml:space="preserve">, the inner-product form (on the sphere the squared-distance alignment of [5] differs by a factor of two, which the direction claim does not use), at weight </w:t>
      </w:r>
      <m:oMath>
        <m:r>
          <w:rPr>
            <w:rFonts w:ascii="Cambria Math" w:hAnsi="Cambria Math"/>
          </w:rPr>
          <m:t xml:space="preserve">α</m:t>
        </m:r>
      </m:oMath>
      <w:r>
        <w:t xml:space="preserve">, the align-to-uniformity ratio of Appendix C with the uniformity weight normalized to one,</w:t>
      </w:r>
    </w:p>
    <w:p>
      <w:pPr>
        <w:pStyle w:val="DisplayFormula"/>
      </w:pPr>
      <m:oMath>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g</m:t>
                </m:r>
              </m:sub>
            </m:sSub>
          </m:sub>
        </m:sSub>
        <m:r>
          <w:rPr>
            <w:rFonts w:ascii="Cambria Math" w:hAnsi="Cambria Math"/>
          </w:rPr>
          <m:t xml:space="preserve"> (α </m:t>
        </m:r>
        <m:sSub>
          <m:e>
            <m:r>
              <w:rPr>
                <w:rFonts w:ascii="Cambria Math" w:hAnsi="Cambria Math"/>
              </w:rPr>
              <m:t xml:space="preserve">ℓ</m:t>
            </m:r>
          </m:e>
          <m:sub>
            <m:r>
              <w:rPr>
                <w:rFonts w:ascii="Cambria Math" w:hAnsi="Cambria Math"/>
              </w:rPr>
              <m:t xml:space="preserve">align</m:t>
            </m:r>
          </m:sub>
        </m:sSub>
        <m:r>
          <w:rPr>
            <w:rFonts w:ascii="Cambria Math" w:hAnsi="Cambria Math"/>
          </w:rPr>
          <m:t xml:space="preserve">) = −α </m:t>
        </m:r>
        <m:sSub>
          <m:e>
            <m:r>
              <w:rPr>
                <w:rFonts w:ascii="Cambria Math" w:hAnsi="Cambria Math"/>
              </w:rPr>
              <m:t xml:space="preserve">z</m:t>
            </m:r>
          </m:e>
          <m:sub>
            <m:r>
              <w:rPr>
                <w:rFonts w:ascii="Cambria Math" w:hAnsi="Cambria Math"/>
              </w:rPr>
              <m:t xml:space="preserve">v</m:t>
            </m:r>
          </m:sub>
        </m:sSub>
      </m:oMath>
      <w:r>
        <w:tab/>
        <w:t>(D.24)</w:t>
      </w:r>
    </w:p>
    <w:p>
      <w:pPr>
        <w:pStyle w:val="ParaContinue"/>
      </w:pPr>
      <w:r>
        <w:t xml:space="preserve">leaving a constant-weight attraction, </w:t>
      </w:r>
      <m:oMath>
        <m:r>
          <w:rPr>
            <w:rFonts w:ascii="Cambria Math" w:hAnsi="Cambria Math"/>
          </w:rPr>
          <m:t xml:space="preserve">α</m:t>
        </m:r>
      </m:oMath>
      <w:r>
        <w:t xml:space="preserve"> against the </w:t>
      </w:r>
      <m:oMath>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)/τ</m:t>
        </m:r>
      </m:oMath>
      <w:r>
        <w:t xml:space="preserve"> of (D.23), that pulls the low-variance anchor toward the high-variance view after the games separate, the weak-view prediction of Section 1 tested in Section 6.2. That test varies more than the coupling, so it fixes the direction, not the size. Anchors are treated as constants when differentiating with respect to the views, and the views as constants when differentiating with respect to the anchors, and every claim here is a direction or a dominance relation, not a rate.</w:t>
      </w:r>
    </w:p>
    <w:p>
      <w:pPr>
        <w:pStyle w:val="AppendixH1"/>
      </w:pPr>
      <w:r>
        <w:t xml:space="preserve">APPENDIX E: GRADIENT BOUNDS AND THE HANDOVER POINT</w:t>
      </w:r>
    </w:p>
    <w:p>
      <w:pPr>
        <w:pStyle w:val="PostHeadPara"/>
      </w:pPr>
      <w:r>
        <w:t xml:space="preserve">This appendix locates the handover between the contrastive push-pull and the invariance term, the crossing of their gradient envelopes that the empirically chosen </w:t>
      </w:r>
      <m:oMath>
        <m:r>
          <w:rPr>
            <w:rFonts w:ascii="Cambria Math" w:hAnsi="Cambria Math"/>
          </w:rPr>
          <m:t xml:space="preserve">τ = 0.02</m:t>
        </m:r>
      </m:oMath>
      <w:r>
        <w:t xml:space="preserve"> and </w:t>
      </w:r>
      <m:oMath>
        <m:r>
          <w:rPr>
            <w:rFonts w:ascii="Cambria Math" w:hAnsi="Cambria Math"/>
          </w:rPr>
          <m:t xml:space="preserve">λ = 2</m:t>
        </m:r>
      </m:oMath>
      <w:r>
        <w:t xml:space="preserve"> place at 99% confidence. Both envelopes are gradients with respect to the encodings, read as free variables as in Appendix D’s repulsion steps and taken with the tangential projection of the sphere so that they are commensurable; AdamW’s per-coordinate rescaling is not modeled.</w:t>
      </w:r>
    </w:p>
    <w:p>
      <w:pPr>
        <w:pStyle w:val="Para"/>
      </w:pPr>
      <w:r>
        <w:rPr>
          <w:b/>
        </w:rPr>
        <w:t xml:space="preserve">Unit force.</w:t>
      </w:r>
      <w:r>
        <w:t xml:space="preserve"> One view enters </w:t>
      </w:r>
      <m:oMath>
        <m:r>
          <w:rPr>
            <w:rFonts w:ascii="Cambria Math" w:hAnsi="Cambria Math"/>
          </w:rPr>
          <m:t xml:space="preserve">V − 1</m:t>
        </m:r>
      </m:oMath>
      <w:r>
        <w:t xml:space="preserve"> of Equation (3)’s </w:t>
      </w:r>
      <m:oMath>
        <m:r>
          <w:rPr>
            <w:rFonts w:ascii="Cambria Math" w:hAnsi="Cambria Math"/>
          </w:rPr>
          <m:t xml:space="preserve">V(V − 1)/2</m:t>
        </m:r>
      </m:oMath>
      <w:r>
        <w:t xml:space="preserve"> pairs, each pulling by at most one,</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(λ I)‖ ≤ λ </m:t>
        </m:r>
        <m:f>
          <m:num>
            <m:r>
              <w:rPr>
                <w:rFonts w:ascii="Cambria Math" w:hAnsi="Cambria Math"/>
              </w:rPr>
              <m:t xml:space="preserve">2</m:t>
            </m:r>
          </m:num>
          <m:den>
            <m:r>
              <w:rPr>
                <w:rFonts w:ascii="Cambria Math" w:hAnsi="Cambria Math"/>
              </w:rPr>
              <m:t xml:space="preserve">V(V − 1)</m:t>
            </m:r>
          </m:den>
        </m:f>
        <m:r>
          <w:rPr>
            <w:rFonts w:ascii="Cambria Math" w:hAnsi="Cambria Math"/>
          </w:rPr>
          <m:t xml:space="preserve"> (V − 1) = </m:t>
        </m:r>
        <m:f>
          <m:num>
            <m:r>
              <w:rPr>
                <w:rFonts w:ascii="Cambria Math" w:hAnsi="Cambria Math"/>
              </w:rPr>
              <m:t xml:space="preserve">2λ</m:t>
            </m:r>
          </m:num>
          <m:den>
            <m:r>
              <w:rPr>
                <w:rFonts w:ascii="Cambria Math" w:hAnsi="Cambria Math"/>
              </w:rPr>
              <m:t xml:space="preserve">V</m:t>
            </m:r>
          </m:den>
        </m:f>
        <m:r>
          <w:rPr>
            <w:rFonts w:ascii="Cambria Math" w:hAnsi="Cambria Math"/>
          </w:rPr>
          <m:t xml:space="preserve"> = 1</m:t>
        </m:r>
      </m:oMath>
      <w:r>
        <w:tab/>
        <w:t>(E.1)</w:t>
      </w:r>
    </w:p>
    <w:p>
      <w:pPr>
        <w:pStyle w:val="ParaContinue"/>
      </w:pPr>
      <w:r>
        <w:t xml:space="preserve">with equality when the other views are aligned with each other and orthogonal to </w:t>
      </w:r>
      <m:oMath>
        <m:sSub>
          <m:e>
            <m:r>
              <w:rPr>
                <w:rFonts w:ascii="Cambria Math" w:hAnsi="Cambria Math"/>
              </w:rPr>
              <m:t xml:space="preserve">z</m:t>
            </m:r>
          </m:e>
          <m:sub>
            <m:r>
              <w:rPr>
                <w:rFonts w:ascii="Cambria Math" w:hAnsi="Cambria Math"/>
              </w:rPr>
              <m:t xml:space="preserve">v</m:t>
            </m:r>
          </m:sub>
        </m:sSub>
      </m:oMath>
      <w:r>
        <w:t xml:space="preserve">; </w:t>
      </w:r>
      <m:oMath>
        <m:r>
          <w:rPr>
            <w:rFonts w:ascii="Cambria Math" w:hAnsi="Cambria Math"/>
          </w:rPr>
          <m:t xml:space="preserve">λ = V/2</m:t>
        </m:r>
      </m:oMath>
      <w:r>
        <w:t xml:space="preserve"> makes the bound exactly one, the recipe’s unit of force, flat in confidence though the realized force is not, falling with the residual disagreement.</w:t>
      </w:r>
    </w:p>
    <w:p>
      <w:pPr>
        <w:pStyle w:val="Para"/>
      </w:pPr>
      <w:r>
        <w:rPr>
          <w:b/>
        </w:rPr>
        <w:t xml:space="preserve">The ceiling.</w:t>
      </w:r>
      <w:r>
        <w:t xml:space="preserve"> The descent step of Equation (D.9) is </w:t>
      </w:r>
      <m:oMath>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)/τ</m:t>
        </m:r>
      </m:oMath>
      <w:r>
        <w:t xml:space="preserve"> times the difference between </w:t>
      </w:r>
      <m:oMath>
        <m:sSub>
          <m:e>
            <m:r>
              <w:rPr>
                <w:rFonts w:ascii="Cambria Math" w:hAnsi="Cambria Math"/>
              </w:rPr>
              <m:t xml:space="preserve">a</m:t>
            </m:r>
          </m:e>
          <m:sub>
            <m:r>
              <w:rPr>
                <w:rFonts w:ascii="Cambria Math" w:hAnsi="Cambria Math"/>
              </w:rPr>
              <m:t xml:space="preserve">g</m:t>
            </m:r>
          </m:sub>
        </m:sSub>
      </m:oMath>
      <w:r>
        <w:t xml:space="preserve"> and the weighted centroid of the competitors, both in the unit ball and so at most 2 apart,</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2(1 −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m:t>
            </m:r>
          </m:num>
          <m:den>
            <m:r>
              <w:rPr>
                <w:rFonts w:ascii="Cambria Math" w:hAnsi="Cambria Math"/>
              </w:rPr>
              <m:t xml:space="preserve">τ</m:t>
            </m:r>
          </m:den>
        </m:f>
        <m:r>
          <w:rPr>
            <w:rFonts w:ascii="Cambria Math" w:hAnsi="Cambria Math"/>
          </w:rPr>
          <m:t xml:space="preserve"> ≤ </m:t>
        </m:r>
        <m:f>
          <m:num>
            <m:r>
              <w:rPr>
                <w:rFonts w:ascii="Cambria Math" w:hAnsi="Cambria Math"/>
              </w:rPr>
              <m:t xml:space="preserve">2</m:t>
            </m:r>
          </m:num>
          <m:den>
            <m:r>
              <w:rPr>
                <w:rFonts w:ascii="Cambria Math" w:hAnsi="Cambria Math"/>
              </w:rPr>
              <m:t xml:space="preserve">τ</m:t>
            </m:r>
          </m:den>
        </m:f>
        <m:r>
          <w:rPr>
            <w:rFonts w:ascii="Cambria Math" w:hAnsi="Cambria Math"/>
          </w:rPr>
          <m:t xml:space="preserve"> = 100</m:t>
        </m:r>
      </m:oMath>
      <w:r>
        <w:tab/>
        <w:t>(E.2)</w:t>
      </w:r>
    </w:p>
    <w:p>
      <w:pPr>
        <w:pStyle w:val="ParaContinue"/>
      </w:pPr>
      <w:r>
        <w:t xml:space="preserve">so </w:t>
      </w:r>
      <m:oMath>
        <m:r>
          <w:rPr>
            <w:rFonts w:ascii="Cambria Math" w:hAnsi="Cambria Math"/>
          </w:rPr>
          <m:t xml:space="preserve">τ</m:t>
        </m:r>
      </m:oMath>
      <w:r>
        <w:t xml:space="preserve"> sets the ceiling, a bound the tangential projection can only tighten, which the brake of Appendix D spends linearly as </w:t>
      </w:r>
      <m:oMath>
        <m:sSub>
          <m:e>
            <m:r>
              <w:rPr>
                <w:rFonts w:ascii="Cambria Math" w:hAnsi="Cambria Math"/>
              </w:rPr>
              <m:t xml:space="preserve">p</m:t>
            </m:r>
          </m:e>
          <m:sub>
            <m:r>
              <w:rPr>
                <w:rFonts w:ascii="Cambria Math" w:hAnsi="Cambria Math"/>
              </w:rPr>
              <m:t xml:space="preserve">g</m:t>
            </m:r>
          </m:sub>
        </m:sSub>
        <m:r>
          <w:rPr>
            <w:rFonts w:ascii="Cambria Math" w:hAnsi="Cambria Math"/>
          </w:rPr>
          <m:t xml:space="preserve"> → 1</m:t>
        </m:r>
      </m:oMath>
      <w:r>
        <w:t xml:space="preserve">.</w:t>
      </w:r>
    </w:p>
    <w:p>
      <w:pPr>
        <w:pStyle w:val="Para"/>
      </w:pPr>
      <w:r>
        <w:rPr>
          <w:b/>
        </w:rPr>
        <w:t xml:space="preserve">The handover.</w:t>
      </w:r>
      <w:r>
        <w:t xml:space="preserve"> Writing </w:t>
      </w:r>
      <m:oMath>
        <m:sSup>
          <m:e>
            <m:r>
              <w:rPr>
                <w:rFonts w:ascii="Cambria Math" w:hAnsi="Cambria Math"/>
              </w:rPr>
              <m:t xml:space="preserve">p</m:t>
            </m:r>
          </m:e>
          <m:sup>
            <m:r>
              <w:rPr>
                <w:rFonts w:ascii="Cambria Math" w:hAnsi="Cambria Math"/>
              </w:rPr>
              <m:t xml:space="preserve">*</m:t>
            </m:r>
          </m:sup>
        </m:sSup>
      </m:oMath>
      <w:r>
        <w:t xml:space="preserve"> for the value of </w:t>
      </w:r>
      <m:oMath>
        <m:sSub>
          <m:e>
            <m:r>
              <w:rPr>
                <w:rFonts w:ascii="Cambria Math" w:hAnsi="Cambria Math"/>
              </w:rPr>
              <m:t xml:space="preserve">p</m:t>
            </m:r>
          </m:e>
          <m:sub>
            <m:r>
              <w:rPr>
                <w:rFonts w:ascii="Cambria Math" w:hAnsi="Cambria Math"/>
              </w:rPr>
              <m:t xml:space="preserve">g</m:t>
            </m:r>
          </m:sub>
        </m:sSub>
      </m:oMath>
      <w:r>
        <w:t xml:space="preserve"> at which the braked envelope falls to the invariance envelope, the recipe values </w:t>
      </w:r>
      <m:oMath>
        <m:r>
          <w:rPr>
            <w:rFonts w:ascii="Cambria Math" w:hAnsi="Cambria Math"/>
          </w:rPr>
          <m:t xml:space="preserve">V = 4</m:t>
        </m:r>
      </m:oMath>
      <w:r>
        <w:t xml:space="preserve">, </w:t>
      </w:r>
      <m:oMath>
        <m:r>
          <w:rPr>
            <w:rFonts w:ascii="Cambria Math" w:hAnsi="Cambria Math"/>
          </w:rPr>
          <m:t xml:space="preserve">λ = 2</m:t>
        </m:r>
      </m:oMath>
      <w:r>
        <w:t xml:space="preserve">, </w:t>
      </w:r>
      <m:oMath>
        <m:r>
          <w:rPr>
            <w:rFonts w:ascii="Cambria Math" w:hAnsi="Cambria Math"/>
          </w:rPr>
          <m:t xml:space="preserve">τ = 0.02</m:t>
        </m:r>
      </m:oMath>
      <w:r>
        <w:t xml:space="preserve"> give</w:t>
      </w:r>
    </w:p>
    <w:p>
      <w:pPr>
        <w:pStyle w:val="DisplayFormula"/>
      </w:pPr>
      <m:oMath>
        <m:f>
          <m:num>
            <m:r>
              <w:rPr>
                <w:rFonts w:ascii="Cambria Math" w:hAnsi="Cambria Math"/>
              </w:rPr>
              <m:t xml:space="preserve">2(1 −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m:t>
            </m:r>
          </m:num>
          <m:den>
            <m:r>
              <w:rPr>
                <w:rFonts w:ascii="Cambria Math" w:hAnsi="Cambria Math"/>
              </w:rPr>
              <m:t xml:space="preserve">τ</m:t>
            </m:r>
          </m:den>
        </m:f>
        <m:r>
          <w:rPr>
            <w:rFonts w:ascii="Cambria Math" w:hAnsi="Cambria Math"/>
          </w:rPr>
          <m:t xml:space="preserve"> = </m:t>
        </m:r>
        <m:f>
          <m:num>
            <m:r>
              <w:rPr>
                <w:rFonts w:ascii="Cambria Math" w:hAnsi="Cambria Math"/>
              </w:rPr>
              <m:t xml:space="preserve">2λ</m:t>
            </m:r>
          </m:num>
          <m:den>
            <m:r>
              <w:rPr>
                <w:rFonts w:ascii="Cambria Math" w:hAnsi="Cambria Math"/>
              </w:rPr>
              <m:t xml:space="preserve">V</m:t>
            </m:r>
          </m:den>
        </m:f>
        <m:r>
          <w:rPr>
            <w:rFonts w:ascii="Cambria Math" w:hAnsi="Cambria Math"/>
          </w:rPr>
          <m:t xml:space="preserve">,  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 = </m:t>
        </m:r>
        <m:f>
          <m:num>
            <m:r>
              <w:rPr>
                <w:rFonts w:ascii="Cambria Math" w:hAnsi="Cambria Math"/>
              </w:rPr>
              <m:t xml:space="preserve">λτ</m:t>
            </m:r>
          </m:num>
          <m:den>
            <m:r>
              <w:rPr>
                <w:rFonts w:ascii="Cambria Math" w:hAnsi="Cambria Math"/>
              </w:rPr>
              <m:t xml:space="preserve">V</m:t>
            </m:r>
          </m:den>
        </m:f>
        <m:r>
          <w:rPr>
            <w:rFonts w:ascii="Cambria Math" w:hAnsi="Cambria Math"/>
          </w:rPr>
          <m:t xml:space="preserve"> = 0.01</m:t>
        </m:r>
      </m:oMath>
      <w:r>
        <w:tab/>
        <w:t>(E.3)</w:t>
      </w:r>
    </w:p>
    <w:p>
      <w:pPr>
        <w:pStyle w:val="ParaContinue"/>
      </w:pPr>
      <w:r>
        <w:t xml:space="preserve">so a view’s envelope hands over once classified at 99% confidence: ceiling times handover margin is unit force, </w:t>
      </w:r>
      <m:oMath>
        <m:r>
          <w:rPr>
            <w:rFonts w:ascii="Cambria Math" w:hAnsi="Cambria Math"/>
          </w:rPr>
          <m:t xml:space="preserve">(2/τ)(λτ/V) = 2λ/V</m:t>
        </m:r>
      </m:oMath>
      <w:r>
        <w:t xml:space="preserve">, and the empirically chosen temperature (Table A12) restates as </w:t>
      </w:r>
      <m:oMath>
        <m:r>
          <w:rPr>
            <w:rFonts w:ascii="Cambria Math" w:hAnsi="Cambria Math"/>
          </w:rPr>
          <m:t xml:space="preserve">τ = (V/λ)(1 −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 = 2 × 0.01</m:t>
        </m:r>
      </m:oMath>
      <w:r>
        <w:t xml:space="preserve">, the factor 2 being </w:t>
      </w:r>
      <m:oMath>
        <m:r>
          <w:rPr>
            <w:rFonts w:ascii="Cambria Math" w:hAnsi="Cambria Math"/>
          </w:rPr>
          <m:t xml:space="preserve">V/λ</m:t>
        </m:r>
      </m:oMath>
      <w:r>
        <w:t xml:space="preserve">, which equals </w:t>
      </w:r>
      <m:oMath>
        <m:r>
          <w:rPr>
            <w:rFonts w:ascii="Cambria Math" w:hAnsi="Cambria Math"/>
          </w:rPr>
          <m:t xml:space="preserve">λ</m:t>
        </m:r>
      </m:oMath>
      <w:r>
        <w:t xml:space="preserve"> here only because </w:t>
      </w:r>
      <m:oMath>
        <m:r>
          <w:rPr>
            <w:rFonts w:ascii="Cambria Math" w:hAnsi="Cambria Math"/>
          </w:rPr>
          <m:t xml:space="preserve">λ = </m:t>
        </m:r>
        <m:rad>
          <m:radPr>
            <m:degHide m:val="1"/>
          </m:radPr>
          <m:deg/>
          <m:e>
            <m:r>
              <w:rPr>
                <w:rFonts w:ascii="Cambria Math" w:hAnsi="Cambria Math"/>
              </w:rPr>
              <m:t xml:space="preserve">V</m:t>
            </m:r>
          </m:e>
        </m:rad>
      </m:oMath>
      <w:r>
        <w:t xml:space="preserve">. Only the product </w:t>
      </w:r>
      <m:oMath>
        <m:r>
          <w:rPr>
            <w:rFonts w:ascii="Cambria Math" w:hAnsi="Cambria Math"/>
          </w:rPr>
          <m:t xml:space="preserve">λτ/V</m:t>
        </m:r>
      </m:oMath>
      <w:r>
        <w:t xml:space="preserve"> enters the crossing; </w:t>
      </w:r>
      <m:oMath>
        <m:r>
          <w:rPr>
            <w:rFonts w:ascii="Cambria Math" w:hAnsi="Cambria Math"/>
          </w:rPr>
          <m:t xml:space="preserve">τ</m:t>
        </m:r>
      </m:oMath>
      <w:r>
        <w:t xml:space="preserve"> was fixed by the sweep of Table A12 and </w:t>
      </w:r>
      <m:oMath>
        <m:r>
          <w:rPr>
            <w:rFonts w:ascii="Cambria Math" w:hAnsi="Cambria Math"/>
          </w:rPr>
          <m:t xml:space="preserve">λ</m:t>
        </m:r>
      </m:oMath>
      <w:r>
        <w:t xml:space="preserve"> carries no sweep, so unit force reads the fixed values rather than justifying them. In margin units, </w:t>
      </w:r>
      <m:oMath>
        <m:r>
          <w:rPr>
            <w:rFonts w:ascii="Cambria Math" w:hAnsi="Cambria Math"/>
          </w:rPr>
          <m:t xml:space="preserve">s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τ </m:t>
        </m:r>
        <m:r>
          <m:rPr>
            <m:sty m:val="p"/>
          </m:rPr>
          <w:rPr>
            <w:rFonts w:ascii="Cambria Math" w:hAnsi="Cambria Math"/>
          </w:rPr>
          <m:t xml:space="preserve">ln</m:t>
        </m:r>
        <m:r>
          <w:rPr>
            <w:rFonts w:ascii="Cambria Math" w:hAnsi="Cambria Math"/>
          </w:rPr>
          <m:t xml:space="preserve">(</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h</m:t>
            </m:r>
          </m:sub>
        </m:sSub>
        <m:r>
          <w:rPr>
            <w:rFonts w:ascii="Cambria Math" w:hAnsi="Cambria Math"/>
          </w:rPr>
          <m:t xml:space="preserve">)</m:t>
        </m:r>
      </m:oMath>
      <w:r>
        <w:t xml:space="preserve"> at any gallery size, and the residual mass </w:t>
      </w:r>
      <m:oMath>
        <m:r>
          <w:rPr>
            <w:rFonts w:ascii="Cambria Math" w:hAnsi="Cambria Math"/>
          </w:rPr>
          <m:t xml:space="preserve">λτ/V</m:t>
        </m:r>
      </m:oMath>
      <w:r>
        <w:t xml:space="preserve"> placed on one competitor, the worst case, gives the gap Section 4.3 quotes, </w:t>
      </w:r>
      <m:oMath>
        <m:sSup>
          <m:e>
            <m:r>
              <w:rPr>
                <w:rFonts w:ascii="Cambria Math" w:hAnsi="Cambria Math"/>
              </w:rPr>
              <m:t xml:space="preserve">s</m:t>
            </m:r>
          </m:e>
          <m:sup>
            <m:r>
              <w:rPr>
                <w:rFonts w:ascii="Cambria Math" w:hAnsi="Cambria Math"/>
              </w:rPr>
              <m:t xml:space="preserve">*</m:t>
            </m:r>
          </m:sup>
        </m:sSup>
        <m:r>
          <w:rPr>
            <w:rFonts w:ascii="Cambria Math" w:hAnsi="Cambria Math"/>
          </w:rPr>
          <m:t xml:space="preserve"> = τ </m:t>
        </m:r>
        <m:r>
          <m:rPr>
            <m:sty m:val="p"/>
          </m:rPr>
          <w:rPr>
            <w:rFonts w:ascii="Cambria Math" w:hAnsi="Cambria Math"/>
          </w:rPr>
          <m:t xml:space="preserve">ln</m:t>
        </m:r>
        <m:r>
          <w:rPr>
            <w:rFonts w:ascii="Cambria Math" w:hAnsi="Cambria Math"/>
          </w:rPr>
          <m:t xml:space="preserve">(V/(λτ) − 1) = 0.02 </m:t>
        </m:r>
        <m:r>
          <m:rPr>
            <m:sty m:val="p"/>
          </m:rPr>
          <w:rPr>
            <w:rFonts w:ascii="Cambria Math" w:hAnsi="Cambria Math"/>
          </w:rPr>
          <m:t xml:space="preserve">ln</m:t>
        </m:r>
        <m:r>
          <w:rPr>
            <w:rFonts w:ascii="Cambria Math" w:hAnsi="Cambria Math"/>
          </w:rPr>
          <m:t xml:space="preserve"> 99 ≈ 0.092</m:t>
        </m:r>
      </m:oMath>
      <w:r>
        <w:t xml:space="preserve">. The crossing compares worst-case envelopes attained at incompatible configurations, so it is a parameter-scale statement rather than a measured handover.</w:t>
      </w:r>
    </w:p>
    <w:p>
      <w:pPr>
        <w:pStyle w:val="AppendixH1"/>
      </w:pPr>
      <w:r>
        <w:t xml:space="preserve">APPENDIX F: THE QUERY-REWRITE PROMPTS</w:t>
      </w:r>
    </w:p>
    <w:p>
      <w:pPr>
        <w:pStyle w:val="PostHeadPara"/>
      </w:pPr>
      <w:r>
        <w:t xml:space="preserve">Each query is an English description that GPT-5.4-mini at temperature 0.7 writes from the held-out game’s full wiki article, truncated to 12,000 characters, called through an OpenAI-compatible gateway; the instructions below were issued in Chinese and are translated faithfully here, an output shorter than 300 characters re-requested with the elaboration instruction, which asks for at least 300 words and so for well more than the trigger requires, up to three attempts, and the verbatim strings and the retry policy in the released code. The name-stripped instruction asks for invented replacement names, but the model complies literally in only 113 of the 814 queries and generalizes the name away in the other 701, so the register is better read as name-free than as name-substituted.</w:t>
      </w:r>
    </w:p>
    <w:p>
      <w:pPr>
        <w:pStyle w:val="AlgorithmCaption"/>
      </w:pPr>
      <w:r>
        <w:t xml:space="preserve">ALGORITHM 1: The rewrite instructions behind the two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G: REDUCING THE STEAM TAG VOCABULARY</w:t>
      </w:r>
    </w:p>
    <w:p>
      <w:pPr>
        <w:pStyle w:val="PostHeadPara"/>
      </w:pPr>
      <w:r>
        <w:t xml:space="preserve">A single mapping file is the source of truth for every tag number in this paper: each of the 202 fine tags is assigned either to one coarse class or to the sentinel “discarded”. A class is present on a game if any of the Steam tags on its right-hand side is, and the vote weights Steam attaches are used only to resolve which source is strongest, never as a target, since the probe predicts presence. On our 2,020 games this yields a </w:t>
      </w:r>
      <m:oMath>
        <m:r>
          <w:rPr>
            <w:rFonts w:ascii="Cambria Math" w:hAnsi="Cambria Math"/>
          </w:rPr>
          <m:t xml:space="preserve">2,020 × 23</m:t>
        </m:r>
      </m:oMath>
      <w:r>
        <w:t xml:space="preserve"> binary matrix of density 0.202,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H: COST AT SCALE</w:t>
      </w:r>
    </w:p>
    <w:p>
      <w:pPr>
        <w:pStyle w:val="PostHeadPara"/>
      </w:pPr>
      <w:r>
        <w:t xml:space="preserve">Write </w:t>
      </w:r>
      <m:oMath>
        <m:r>
          <w:rPr>
            <w:rFonts w:ascii="Cambria Math" w:hAnsi="Cambria Math"/>
          </w:rPr>
          <m:t xml:space="preserve">R</m:t>
        </m:r>
      </m:oMath>
      <w:r>
        <w:t xml:space="preserve"> for the number of resident anchor packs (the fold gallery of Section 4.1, so </w:t>
      </w:r>
      <m:oMath>
        <m:r>
          <w:rPr>
            <w:rFonts w:ascii="Cambria Math" w:hAnsi="Cambria Math"/>
          </w:rPr>
          <m:t xml:space="preserve">R = n = 1,694</m:t>
        </m:r>
      </m:oMath>
      <w:r>
        <w:t xml:space="preserve"> here; the whole catalog, and so </w:t>
      </w:r>
      <m:oMath>
        <m:r>
          <w:rPr>
            <w:rFonts w:ascii="Cambria Math" w:hAnsi="Cambria Math"/>
          </w:rPr>
          <m:t xml:space="preserve">R = N</m:t>
        </m:r>
      </m:oMath>
      <w:r>
        <w:t xml:space="preserve">, at deployment scale), </w:t>
      </w:r>
      <m:oMath>
        <m:sSub>
          <m:e>
            <m:r>
              <w:rPr>
                <w:rFonts w:ascii="Cambria Math" w:hAnsi="Cambria Math"/>
              </w:rPr>
              <m:t xml:space="preserve">m</m:t>
            </m:r>
          </m:e>
          <m:sub>
            <m:r>
              <w:rPr>
                <w:rFonts w:ascii="Cambria Math" w:hAnsi="Cambria Math"/>
              </w:rPr>
              <m:t xml:space="preserve">a</m:t>
            </m:r>
          </m:sub>
        </m:sSub>
      </m:oMath>
      <w:r>
        <w:t xml:space="preserve"> for the anchor-pack cap in sentences (the budget of Section 4.1), </w:t>
      </w:r>
      <m:oMath>
        <m:r>
          <w:rPr>
            <w:rFonts w:ascii="Cambria Math" w:hAnsi="Cambria Math"/>
          </w:rPr>
          <m:t xml:space="preserve">d = 1,024</m:t>
        </m:r>
      </m:oMath>
      <w:r>
        <w:t xml:space="preserve"> for the embedding width, </w:t>
      </w:r>
      <m:oMath>
        <m:r>
          <w:rPr>
            <w:rFonts w:ascii="Cambria Math" w:hAnsi="Cambria Math"/>
          </w:rPr>
          <m:t xml:space="preserve">G = 192</m:t>
        </m:r>
      </m:oMath>
      <w:r>
        <w:t xml:space="preserve"> for the games in a step, and </w:t>
      </w:r>
      <m:oMath>
        <m:r>
          <w:rPr>
            <w:rFonts w:ascii="Cambria Math" w:hAnsi="Cambria Math"/>
          </w:rPr>
          <m:t xml:space="preserve">w = 168</m:t>
        </m:r>
      </m:oMath>
      <w:r>
        <w:t xml:space="preserve">, </w:t>
      </w:r>
      <m:oMath>
        <m:r>
          <w:rPr>
            <w:rFonts w:ascii="Cambria Math" w:hAnsi="Cambria Math"/>
          </w:rPr>
          <m:t xml:space="preserve">S = 84</m:t>
        </m:r>
      </m:oMath>
      <w:r>
        <w:t xml:space="preserve">, </w:t>
      </w:r>
      <m:oMath>
        <m:r>
          <w:rPr>
            <w:rFonts w:ascii="Cambria Math" w:hAnsi="Cambria Math"/>
          </w:rPr>
          <m:t xml:space="preserve">T = 2</m:t>
        </m:r>
      </m:oMath>
      <w:r>
        <w:t xml:space="preserve"> for the window, stride and micro-passes of the teacher in Appendix J. The tower reads one pack with </w:t>
      </w:r>
      <m:oMath>
        <m:r>
          <w:rPr>
            <w:rFonts w:ascii="Cambria Math" w:hAnsi="Cambria Math"/>
          </w:rPr>
          <m:t xml:space="preserve">Q = 4</m:t>
        </m:r>
      </m:oMath>
      <w:r>
        <w:t xml:space="preserve"> latent queries, so encoding a pack costs </w:t>
      </w:r>
      <m:oMath>
        <m:r>
          <w:rPr>
            <w:rFonts w:ascii="Cambria Math" w:hAnsi="Cambria Math"/>
          </w:rPr>
          <m:t xml:space="preserve">Θ(</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r>
        <w:t xml:space="preserve"> work and holds </w:t>
      </w:r>
      <m:oMath>
        <m:r>
          <w:rPr>
            <w:rFonts w:ascii="Cambria Math" w:hAnsi="Cambria Math"/>
          </w:rPr>
          <m:t xml:space="preserve">Θ(</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activation.</w:t>
      </w:r>
    </w:p>
    <w:p>
      <w:pPr>
        <w:pStyle w:val="Para"/>
      </w:pPr>
      <w:r>
        <w:t xml:space="preserve">The fully coupled teacher re-encodes every pack with gradient at every step, so its step time and its peak activation are</w:t>
      </w:r>
    </w:p>
    <w:p>
      <w:pPr>
        <w:pStyle w:val="DisplayFormula"/>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 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ab/>
        <w:t>(H.1)</w:t>
      </w:r>
    </w:p>
    <w:p>
      <w:pPr>
        <w:pStyle w:val="ParaContinue"/>
      </w:pPr>
      <w:r>
        <w:t xml:space="preserve">both linear in the catalog. At our scale the backward graph holds 6.9 M sentence slots, 13 GiB of fp16 input before any activation is stored (cf. Table A10, whose 6.6 M counts the fixed split’s 1,613 packs); the same expression at </w:t>
      </w:r>
      <m:oMath>
        <m:r>
          <w:rPr>
            <w:rFonts w:ascii="Cambria Math" w:hAnsi="Cambria Math"/>
          </w:rPr>
          <m:t xml:space="preserve">R = </m:t>
        </m:r>
        <m:sSup>
          <m:e>
            <m:r>
              <w:rPr>
                <w:rFonts w:ascii="Cambria Math" w:hAnsi="Cambria Math"/>
              </w:rPr>
              <m:t xml:space="preserve">10</m:t>
            </m:r>
          </m:e>
          <m:sup>
            <m:r>
              <w:rPr>
                <w:rFonts w:ascii="Cambria Math" w:hAnsi="Cambria Math"/>
              </w:rPr>
              <m:t xml:space="preserve">6</m:t>
            </m:r>
          </m:sup>
        </m:sSup>
      </m:oMath>
      <w:r>
        <w:t xml:space="preserve"> asks for 7.6 TiB, which no accelerator holds. This is the wall the scale limitation of Section 8 names.</w:t>
      </w:r>
    </w:p>
    <w:p>
      <w:pPr>
        <w:pStyle w:val="Para"/>
      </w:pPr>
      <w:r>
        <w:t xml:space="preserve">The measured cost matches (Table A5). Peak device allocation rises by 7.2× across an 8× rise in </w:t>
      </w:r>
      <m:oMath>
        <m:sSub>
          <m:e>
            <m:r>
              <w:rPr>
                <w:rFonts w:ascii="Cambria Math" w:hAnsi="Cambria Math"/>
              </w:rPr>
              <m:t xml:space="preserve">m</m:t>
            </m:r>
          </m:e>
          <m:sub>
            <m:r>
              <w:rPr>
                <w:rFonts w:ascii="Cambria Math" w:hAnsi="Cambria Math"/>
              </w:rPr>
              <m:t xml:space="preserve">a</m:t>
            </m:r>
          </m:sub>
        </m:sSub>
      </m:oMath>
      <w:r>
        <w:t xml:space="preserve"> and is dominated throughout by the with-gradient re-encoding of the gallery rather than by the anchor store, which accounts for only 1.7 to 13.2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 an inner-product search that runs in milliseconds.</w:t>
      </w:r>
    </w:p>
    <w:p>
      <w:pPr>
        <w:pStyle w:val="TableCaption"/>
      </w:pPr>
      <w:r>
        <w:t xml:space="preserve">Table A5: Measured cost of the fully coupled teacher at each anchor budget (peak is the fold-0 maximum device allocation over a training step, per process and unaffected by packing; the 4,096-sentence wall clock is the five-fold range). Only the 4,096-sentence budget had an A100 80 GB to itself, so its elapsed time is a clean per-run figure. The smaller budgets ran several folds packed onto one card, so their wall clock bounds a dedicated run from above: every timed run at 512 and at 1,024 sentences finished inside four hours while sharing its card. The one timed trace at 2,048 is too thin to bound and is left blank.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w:t>
            </w:r>
            <m:oMath>
              <m:sSub>
                <m:e>
                  <m:r>
                    <w:rPr>
                      <w:rFonts w:ascii="Cambria Math" w:hAnsi="Cambria Math"/>
                    </w:rPr>
                    <m:t xml:space="preserve">m</m:t>
                  </m:r>
                </m:e>
                <m:sub>
                  <m:r>
                    <w:rPr>
                      <w:rFonts w:ascii="Cambria Math" w:hAnsi="Cambria Math"/>
                    </w:rPr>
                    <m:t xml:space="preserve">a</m:t>
                  </m:r>
                </m:sub>
              </m:sSub>
            </m:oMath>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At 1,024 sentences, the plateau of Table A2, every retrieval and tag reading stays within 0.02 of the 4,096-sentence recipe at a peak 2.7× smaller, which fits the 24 GB of an RTX 3090 or 4090; the 22.3 GiB leaves little headroom, so such a card should be running headless.</w:t>
      </w:r>
    </w:p>
    <w:p>
      <w:pPr>
        <w:pStyle w:val="Para"/>
      </w:pPr>
      <w:r>
        <w:t xml:space="preserve">The windowed teacher removes </w:t>
      </w:r>
      <m:oMath>
        <m:r>
          <w:rPr>
            <w:rFonts w:ascii="Cambria Math" w:hAnsi="Cambria Math"/>
          </w:rPr>
          <m:t xml:space="preserve">R</m:t>
        </m:r>
      </m:oMath>
      <w:r>
        <w:t xml:space="preserve"> from both expressions. A micro-pass encodes the batch’s own packs plus one window and frees them before the next, so a step costs</w:t>
      </w:r>
    </w:p>
    <w:p>
      <w:pPr>
        <w:pStyle w:val="DisplayFormula"/>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 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ab/>
        <w:t>(H.2)</w:t>
      </w:r>
    </w:p>
    <w:p>
      <w:pPr>
        <w:pStyle w:val="ParaContinue"/>
      </w:pPr>
      <w:r>
        <w:t xml:space="preserve">in time and in memory (Table A6). At </w:t>
      </w:r>
      <m:oMath>
        <m:r>
          <w:rPr>
            <w:rFonts w:ascii="Cambria Math" w:hAnsi="Cambria Math"/>
          </w:rPr>
          <m:t xml:space="preserve">G = 192</m:t>
        </m:r>
      </m:oMath>
      <w:r>
        <w:t xml:space="preserve"> and </w:t>
      </w:r>
      <m:oMath>
        <m:r>
          <w:rPr>
            <w:rFonts w:ascii="Cambria Math" w:hAnsi="Cambria Math"/>
          </w:rPr>
          <m:t xml:space="preserve">w = 168</m:t>
        </m:r>
      </m:oMath>
      <w:r>
        <w:t xml:space="preserve"> that is 1.47 M sentence slots, 2.8 GiB of input, whether the catalog holds two thousand entries or ten million. What the window does not bound is the ring itself: the windowed teacher still keeps every anchor pack resident (Table A10), so </w:t>
      </w: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of store sits on the device even though only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of it is ever differentiated. Measured at our scale the fully coupled teacher peaks at about 61 GiB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and about 13 GiB of either teacher’s footprint is that resident ring; the windowed teacher’s peak was not separately measured.</w:t>
      </w:r>
    </w:p>
    <w:p>
      <w:pPr>
        <w:pStyle w:val="TableCaption"/>
      </w:pPr>
      <w:r>
        <w:t xml:space="preserve">Table A6: The cost model of the three teachers, with the fully coupled I-CE teacher normalized to 1 at the same catalog size. </w:t>
      </w:r>
      <m:oMath>
        <m:r>
          <w:rPr>
            <w:rFonts w:ascii="Cambria Math" w:hAnsi="Cambria Math"/>
          </w:rPr>
          <m:t xml:space="preserve">R</m:t>
        </m:r>
      </m:oMath>
      <w:r>
        <w:t xml:space="preserve"> is the resident-pack count, </w:t>
      </w:r>
      <m:oMath>
        <m:sSub>
          <m:e>
            <m:r>
              <w:rPr>
                <w:rFonts w:ascii="Cambria Math" w:hAnsi="Cambria Math"/>
              </w:rPr>
              <m:t xml:space="preserve">m</m:t>
            </m:r>
          </m:e>
          <m:sub>
            <m:r>
              <w:rPr>
                <w:rFonts w:ascii="Cambria Math" w:hAnsi="Cambria Math"/>
              </w:rPr>
              <m:t xml:space="preserve">a</m:t>
            </m:r>
          </m:sub>
        </m:sSub>
      </m:oMath>
      <w:r>
        <w:t xml:space="preserve"> the anchor-pack cap, </w:t>
      </w:r>
      <m:oMath>
        <m:r>
          <w:rPr>
            <w:rFonts w:ascii="Cambria Math" w:hAnsi="Cambria Math"/>
          </w:rPr>
          <m:t xml:space="preserve">d</m:t>
        </m:r>
      </m:oMath>
      <w:r>
        <w:t xml:space="preserve"> the embedding width, </w:t>
      </w:r>
      <m:oMath>
        <m:r>
          <w:rPr>
            <w:rFonts w:ascii="Cambria Math" w:hAnsi="Cambria Math"/>
          </w:rPr>
          <m:t xml:space="preserve">Q = 4</m:t>
        </m:r>
      </m:oMath>
      <w:r>
        <w:t xml:space="preserve"> latent queries, </w:t>
      </w:r>
      <m:oMath>
        <m:r>
          <w:rPr>
            <w:rFonts w:ascii="Cambria Math" w:hAnsi="Cambria Math"/>
          </w:rPr>
          <m:t xml:space="preserve">G = 192</m:t>
        </m:r>
      </m:oMath>
      <w:r>
        <w:t xml:space="preserve"> games per step, and </w:t>
      </w:r>
      <m:oMath>
        <m:r>
          <w:rPr>
            <w:rFonts w:ascii="Cambria Math" w:hAnsi="Cambria Math"/>
          </w:rPr>
          <m:t xml:space="preserve">w = 168</m:t>
        </m:r>
      </m:oMath>
      <w:r>
        <w:t xml:space="preserve">, </w:t>
      </w:r>
      <m:oMath>
        <m:r>
          <w:rPr>
            <w:rFonts w:ascii="Cambria Math" w:hAnsi="Cambria Math"/>
          </w:rPr>
          <m:t xml:space="preserve">S = 84</m:t>
        </m:r>
      </m:oMath>
      <w:r>
        <w:t xml:space="preserve">, </w:t>
      </w:r>
      <m:oMath>
        <m:r>
          <w:rPr>
            <w:rFonts w:ascii="Cambria Math" w:hAnsi="Cambria Math"/>
          </w:rPr>
          <m:t xml:space="preserve">T = 2</m:t>
        </m:r>
      </m:oMath>
      <w:r>
        <w:t xml:space="preserve"> the window, stride and micro-passes. Ratios are quoted at our </w:t>
      </w:r>
      <m:oMath>
        <m:r>
          <w:rPr>
            <w:rFonts w:ascii="Cambria Math" w:hAnsi="Cambria Math"/>
          </w:rPr>
          <m:t xml:space="preserve">R = 1,694</m:t>
        </m:r>
      </m:oMath>
      <w:r>
        <w:t xml:space="preserve">; the windowed teacher’s step contains no </w:t>
      </w:r>
      <m:oMath>
        <m:r>
          <w:rPr>
            <w:rFonts w:ascii="Cambria Math" w:hAnsi="Cambria Math"/>
          </w:rPr>
          <m:t xml:space="preserve">R</m:t>
        </m:r>
      </m:oMath>
      <w:r>
        <w:t xml:space="preserve">, so its first two quantities fall as </w:t>
      </w:r>
      <m:oMath>
        <m:r>
          <w:rPr>
            <w:rFonts w:ascii="Cambria Math" w:hAnsi="Cambria Math"/>
          </w:rPr>
          <m:t xml:space="preserve">1/R</m:t>
        </m:r>
      </m:oMath>
      <w:r>
        <w:t xml:space="preserve">, but its ring keeps every pack resident and therefore stays linear in the catalog on the device. The streamed store, the full-corpus pipeline of this paper, is what removes that last term, paying I/O for it. The measured peak is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(fold 0, torch.cuda.max_memory_allocated); the last row extrapolates each variant’s device budget for </w:t>
      </w:r>
      <m:oMath>
        <m:r>
          <w:rPr>
            <w:rFonts w:ascii="Cambria Math" w:hAnsi="Cambria Math"/>
          </w:rPr>
          <m:t xml:space="preserve">R</m:t>
        </m:r>
      </m:oMath>
      <w:r>
        <w:t xml:space="preserve"> on one 80 GiB accelerator, assuming the linear dependence on </w:t>
      </w:r>
      <m:oMath>
        <m:r>
          <w:rPr>
            <w:rFonts w:ascii="Cambria Math" w:hAnsi="Cambria Math"/>
          </w:rPr>
          <m:t xml:space="preserve">R</m:t>
        </m:r>
      </m:oMath>
      <w:r>
        <w:t xml:space="preserv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650"/>
        <w:gridCol w:w="2625"/>
        <w:gridCol w:w="2625"/>
      </w:tblGrid>
      <w:tr>
        <w:tc>
          <w:tcPr>
            <w:tcW w:type="dxa" w:w="1500"/>
          </w:tcPr>
          <w:p>
            <w:pPr>
              <w:pStyle w:val="TableCell"/>
              <w:keepNext/>
            </w:pPr>
            <w:r>
              <w:rPr>
                <w:b/>
              </w:rPr>
              <w:t xml:space="preserve">Quantity</w:t>
            </w:r>
          </w:p>
        </w:tc>
        <w:tc>
          <w:tcPr>
            <w:tcW w:type="dxa" w:w="1650"/>
          </w:tcPr>
          <w:p>
            <w:pPr>
              <w:pStyle w:val="TableCell"/>
              <w:keepNext/>
            </w:pPr>
            <w:r>
              <w:rPr>
                <w:b/>
              </w:rPr>
              <w:t xml:space="preserve">I-CE, fully coupled</w:t>
            </w:r>
          </w:p>
        </w:tc>
        <w:tc>
          <w:tcPr>
            <w:tcW w:type="dxa" w:w="2625"/>
          </w:tcPr>
          <w:p>
            <w:pPr>
              <w:pStyle w:val="TableCell"/>
              <w:keepNext/>
            </w:pPr>
            <w:r>
              <w:rPr>
                <w:b/>
              </w:rPr>
              <w:t xml:space="preserve">swin-I-CE (w = 168)</w:t>
            </w:r>
          </w:p>
        </w:tc>
        <w:tc>
          <w:tcPr>
            <w:tcW w:type="dxa" w:w="2625"/>
          </w:tcPr>
          <w:p>
            <w:pPr>
              <w:pStyle w:val="TableCell"/>
              <w:keepNext/>
            </w:pPr>
            <w:r>
              <w:rPr>
                <w:b/>
              </w:rPr>
              <w:t xml:space="preserve">swin + streamed store</w:t>
            </w:r>
          </w:p>
        </w:tc>
      </w:tr>
      <w:tr>
        <w:tc>
          <w:tcPr>
            <w:tcW w:type="dxa" w:w="1500"/>
          </w:tcPr>
          <w:p>
            <w:pPr>
              <w:pStyle w:val="TableCell"/>
              <w:keepNext/>
            </w:pPr>
            <w:r>
              <w:t xml:space="preserve">Step time</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c>
          <w:tcPr>
            <w:tcW w:type="dxa" w:w="2625"/>
          </w:tcPr>
          <w:p>
            <w:pPr>
              <w:pStyle w:val="TableCell"/>
              <w:keepNext/>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c>
          <w:tcPr>
            <w:tcW w:type="dxa" w:w="2625"/>
          </w:tcPr>
          <w:p>
            <w:pPr>
              <w:pStyle w:val="TableCell"/>
              <w:keepNext/>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0.43</w:t>
            </w:r>
          </w:p>
        </w:tc>
        <w:tc>
          <w:tcPr>
            <w:tcW w:type="dxa" w:w="2625"/>
          </w:tcPr>
          <w:p>
            <w:pPr>
              <w:pStyle w:val="TableCell"/>
              <w:keepNext/>
            </w:pPr>
            <w:r>
              <w:t xml:space="preserve">0.43</w:t>
            </w:r>
          </w:p>
        </w:tc>
      </w:tr>
      <w:tr>
        <w:tc>
          <w:tcPr>
            <w:tcW w:type="dxa" w:w="1500"/>
          </w:tcPr>
          <w:p>
            <w:pPr>
              <w:pStyle w:val="TableCell"/>
              <w:keepNext/>
            </w:pPr>
            <w:r>
              <w:t xml:space="preserve">Peak activation</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0.21</w:t>
            </w:r>
          </w:p>
        </w:tc>
        <w:tc>
          <w:tcPr>
            <w:tcW w:type="dxa" w:w="2625"/>
          </w:tcPr>
          <w:p>
            <w:pPr>
              <w:pStyle w:val="TableCell"/>
              <w:keepNext/>
            </w:pPr>
            <w:r>
              <w:t xml:space="preserve">0.21</w:t>
            </w:r>
          </w:p>
        </w:tc>
      </w:tr>
      <w:tr>
        <w:tc>
          <w:tcPr>
            <w:tcW w:type="dxa" w:w="1500"/>
          </w:tcPr>
          <w:p>
            <w:pPr>
              <w:pStyle w:val="TableCell"/>
              <w:keepNext/>
            </w:pPr>
            <w:r>
              <w:t xml:space="preserve">Resident anchor store</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1</w:t>
            </w:r>
          </w:p>
        </w:tc>
        <w:tc>
          <w:tcPr>
            <w:tcW w:type="dxa" w:w="2625"/>
          </w:tcPr>
          <w:p>
            <w:pPr>
              <w:pStyle w:val="TableCell"/>
              <w:keepNext/>
            </w:pPr>
            <w:r>
              <w:t xml:space="preserve">0.21</w:t>
            </w:r>
          </w:p>
        </w:tc>
      </w:tr>
      <w:tr>
        <w:tc>
          <w:tcPr>
            <w:tcW w:type="dxa" w:w="1500"/>
          </w:tcPr>
          <w:p>
            <w:pPr>
              <w:pStyle w:val="TableCell"/>
              <w:keepNext/>
            </w:pPr>
            <w:r>
              <w:t xml:space="preserve">Device memory in R</w:t>
            </w:r>
          </w:p>
        </w:tc>
        <w:tc>
          <w:tcPr>
            <w:tcW w:type="dxa" w:w="1650"/>
          </w:tcPr>
          <w:p>
            <w:pPr>
              <w:pStyle w:val="TableCell"/>
              <w:keepNext/>
            </w:pPr>
            <w:r>
              <w:t xml:space="preserve">linear</w:t>
            </w:r>
          </w:p>
        </w:tc>
        <w:tc>
          <w:tcPr>
            <w:tcW w:type="dxa" w:w="2625"/>
          </w:tcPr>
          <w:p>
            <w:pPr>
              <w:pStyle w:val="TableCell"/>
              <w:keepNext/>
            </w:pPr>
            <w:r>
              <w:t xml:space="preserve">linear</w:t>
            </w:r>
          </w:p>
        </w:tc>
        <w:tc>
          <w:tcPr>
            <w:tcW w:type="dxa" w:w="2625"/>
          </w:tcPr>
          <w:p>
            <w:pPr>
              <w:pStyle w:val="TableCell"/>
              <w:keepNext/>
            </w:pPr>
            <w:r>
              <w:t xml:space="preserve">constant</w:t>
            </w:r>
          </w:p>
        </w:tc>
      </w:tr>
      <w:tr>
        <w:tc>
          <w:tcPr>
            <w:tcW w:type="dxa" w:w="1500"/>
          </w:tcPr>
          <w:p>
            <w:pPr>
              <w:pStyle w:val="TableCell"/>
              <w:keepNext/>
            </w:pPr>
            <w:r>
              <w:t xml:space="preserve">Per-step device I/O</w:t>
            </w:r>
          </w:p>
        </w:tc>
        <w:tc>
          <w:tcPr>
            <w:tcW w:type="dxa" w:w="1650"/>
          </w:tcPr>
          <w:p>
            <w:pPr>
              <w:pStyle w:val="TableCell"/>
              <w:keepNext/>
            </w:pPr>
            <w:r>
              <w:t xml:space="preserve">none</w:t>
            </w:r>
          </w:p>
        </w:tc>
        <w:tc>
          <w:tcPr>
            <w:tcW w:type="dxa" w:w="2625"/>
          </w:tcPr>
          <w:p>
            <w:pPr>
              <w:pStyle w:val="TableCell"/>
              <w:keepNext/>
            </w:pPr>
            <w:r>
              <w:t xml:space="preserve">none</w:t>
            </w:r>
          </w:p>
        </w:tc>
        <w:tc>
          <w:tcPr>
            <w:tcW w:type="dxa" w:w="2625"/>
          </w:tcPr>
          <w:p>
            <w:pPr>
              <w:pStyle w:val="TableCell"/>
              <w:keepNext/>
            </w:pPr>
            <m:oMath>
              <m:r>
                <w:rPr>
                  <w:rFonts w:ascii="Cambria Math" w:hAnsi="Cambria Math"/>
                </w:rPr>
                <m:t xml:space="preserve">Θ(T·S·</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 1.3 GiB</w:t>
            </w:r>
          </w:p>
        </w:tc>
      </w:tr>
      <w:tr>
        <w:tc>
          <w:tcPr>
            <w:tcW w:type="dxa" w:w="1500"/>
          </w:tcPr>
          <w:p>
            <w:pPr>
              <w:pStyle w:val="TableCell"/>
              <w:keepNext/>
            </w:pPr>
            <w:r>
              <w:t xml:space="preserve">Measured peak at R = 1,694</w:t>
            </w:r>
          </w:p>
        </w:tc>
        <w:tc>
          <w:tcPr>
            <w:tcW w:type="dxa" w:w="1650"/>
          </w:tcPr>
          <w:p>
            <w:pPr>
              <w:pStyle w:val="TableCell"/>
              <w:keepNext/>
            </w:pPr>
            <w:r>
              <w:t xml:space="preserve">≈ 61 GiB</w:t>
            </w:r>
          </w:p>
        </w:tc>
        <w:tc>
          <w:tcPr>
            <w:tcW w:type="dxa" w:w="2625"/>
          </w:tcPr>
          <w:p>
            <w:pPr>
              <w:pStyle w:val="TableCell"/>
              <w:keepNext/>
            </w:pPr>
            <w:r>
              <w:t xml:space="preserve">not measured</w:t>
            </w:r>
          </w:p>
        </w:tc>
        <w:tc>
          <w:tcPr>
            <w:tcW w:type="dxa" w:w="2625"/>
          </w:tcPr>
          <w:p>
            <w:pPr>
              <w:pStyle w:val="TableCell"/>
              <w:keepNext/>
            </w:pPr>
            <w:r>
              <w:t xml:space="preserve">not measured</w:t>
            </w:r>
          </w:p>
        </w:tc>
      </w:tr>
      <w:tr>
        <w:tc>
          <w:tcPr>
            <w:tcW w:type="dxa" w:w="1500"/>
          </w:tcPr>
          <w:p>
            <w:pPr>
              <w:pStyle w:val="TableCell"/>
            </w:pPr>
            <w:r>
              <w:t xml:space="preserve">Extrapolated largest R, one 80 GiB device</w:t>
            </w:r>
          </w:p>
        </w:tc>
        <w:tc>
          <w:tcPr>
            <w:tcW w:type="dxa" w:w="1650"/>
          </w:tcPr>
          <w:p>
            <w:pPr>
              <w:pStyle w:val="TableCell"/>
            </w:pPr>
            <w:r>
              <w:t xml:space="preserve">≈ 2,200</w:t>
            </w:r>
          </w:p>
        </w:tc>
        <w:tc>
          <w:tcPr>
            <w:tcW w:type="dxa" w:w="2625"/>
          </w:tcPr>
          <w:p>
            <w:pPr>
              <w:pStyle w:val="TableCell"/>
            </w:pPr>
            <w:r>
              <w:t xml:space="preserve">not measured</w:t>
            </w:r>
          </w:p>
        </w:tc>
        <w:tc>
          <w:tcPr>
            <w:tcW w:type="dxa" w:w="2625"/>
          </w:tcPr>
          <w:p>
            <w:pPr>
              <w:pStyle w:val="TableCell"/>
            </w:pPr>
            <w:r>
              <w:t xml:space="preserve">not memory-bound</w:t>
            </w:r>
          </w:p>
        </w:tc>
      </w:tr>
    </w:tbl>
    <w:p>
      <w:pPr>
        <w:pStyle w:val="Para"/>
      </w:pPr>
      <w:r>
        <w:t xml:space="preserve">The streamed store closes that last term by giving up residency, and it is the pipeline that built the corpus of this paper. The merged pool is a single memory-mapped fp16 array on disk: the build writes and reads it a million rows at a time, so that assembling the 23,373-game merged pool (from which the 500-review floor of Section 2.2 keeps the 2,020 games of this paper) never holds more than a chunk, and the training loop gathers each anchor pack from that map instead of from a resident ring. The device then holds only what it differentiates,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and pays I/O in place of space: the ring advances </w:t>
      </w:r>
      <m:oMath>
        <m:r>
          <w:rPr>
            <w:rFonts w:ascii="Cambria Math" w:hAnsi="Cambria Math"/>
          </w:rPr>
          <m:t xml:space="preserve">T·S = 168</m:t>
        </m:r>
      </m:oMath>
      <w:r>
        <w:t xml:space="preserve"> packs per step and only the new ones must be paged, </w:t>
      </w:r>
      <m:oMath>
        <m:r>
          <w:rPr>
            <w:rFonts w:ascii="Cambria Math" w:hAnsi="Cambria Math"/>
          </w:rPr>
          <m:t xml:space="preserve">Θ(T·S·</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1.3 GiB per step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and 336 MiB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which a prefetch thread hides behind the forward pass. On one 80 GiB accelerator the fully coupled teacher extrapolates from its measured 61 GiB at </w:t>
      </w:r>
      <m:oMath>
        <m:r>
          <w:rPr>
            <w:rFonts w:ascii="Cambria Math" w:hAnsi="Cambria Math"/>
          </w:rPr>
          <m:t xml:space="preserve">R = 1,694</m:t>
        </m:r>
      </m:oMath>
      <w:r>
        <w:t xml:space="preserve"> to a ceiling near </w:t>
      </w:r>
      <m:oMath>
        <m:r>
          <w:rPr>
            <w:rFonts w:ascii="Cambria Math" w:hAnsi="Cambria Math"/>
          </w:rPr>
          <m:t xml:space="preserve">R ≈ 2,200</m:t>
        </m:r>
      </m:oMath>
      <w:r>
        <w:t xml:space="preserve">, the windowed teacher’s ring still grows linearly in the catalog, and the streamed variant alone has no such bound; the 23,373-game corpus needs 183 GiB of packs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which no single device holds, but 46 GiB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which one does.</w:t>
      </w:r>
    </w:p>
    <w:p>
      <w:pPr>
        <w:pStyle w:val="Para"/>
      </w:pPr>
      <w:r>
        <w:rPr>
          <w:b/>
        </w:rPr>
        <w:t xml:space="preserve">The sharded window.</w:t>
      </w:r>
      <w:r>
        <w:t xml:space="preserve"> The deployable form of the streamed variant splits the ring into </w:t>
      </w:r>
      <m:oMath>
        <m:r>
          <w:rPr>
            <w:rFonts w:ascii="Cambria Math" w:hAnsi="Cambria Math"/>
          </w:rPr>
          <m:t xml:space="preserve">κ</m:t>
        </m:r>
      </m:oMath>
      <w:r>
        <w:t xml:space="preserve"> shards, each sweeping its own window of </w:t>
      </w:r>
      <m:oMath>
        <m:r>
          <w:rPr>
            <w:rFonts w:ascii="Cambria Math" w:hAnsi="Cambria Math"/>
          </w:rPr>
          <m:t xml:space="preserve">w</m:t>
        </m:r>
      </m:oMath>
      <w:r>
        <w:t xml:space="preserve"> packs per micro-pass; the CE partition of a view is the union of the batch’s own anchors and the </w:t>
      </w:r>
      <m:oMath>
        <m:r>
          <w:rPr>
            <w:rFonts w:ascii="Cambria Math" w:hAnsi="Cambria Math"/>
          </w:rPr>
          <m:t xml:space="preserve">κ</m:t>
        </m:r>
      </m:oMath>
      <w:r>
        <w:t xml:space="preserve"> windows, and each window encode is gradient-checkpointed so that only its </w:t>
      </w:r>
      <m:oMath>
        <m:r>
          <w:rPr>
            <w:rFonts w:ascii="Cambria Math" w:hAnsi="Cambria Math"/>
          </w:rPr>
          <m:t xml:space="preserve">w</m:t>
        </m:r>
      </m:oMath>
      <w:r>
        <w:t xml:space="preserve"> output vectors stay live. A step then costs</w:t>
      </w:r>
    </w:p>
    <w:p>
      <w:pPr>
        <w:pStyle w:val="DisplayFormula"/>
      </w:pPr>
      <m:oMath>
        <m:r>
          <w:rPr>
            <w:rFonts w:ascii="Cambria Math" w:hAnsi="Cambria Math"/>
          </w:rPr>
          <m:t xml:space="preserve">Θ(T·(G + κ·w)·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r>
        <w:tab/>
        <w:t>(H.3)</w:t>
      </w:r>
    </w:p>
    <w:p>
      <w:pPr>
        <w:pStyle w:val="ParaContinue"/>
      </w:pPr>
      <w:r>
        <w:t xml:space="preserve">in time while device memory stays at one window,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constant in the catalog; a single process with </w:t>
      </w:r>
      <m:oMath>
        <m:r>
          <w:rPr>
            <w:rFonts w:ascii="Cambria Math" w:hAnsi="Cambria Math"/>
          </w:rPr>
          <m:t xml:space="preserve">κ</m:t>
        </m:r>
      </m:oMath>
      <w:r>
        <w:t xml:space="preserve"> shards computes exactly what </w:t>
      </w:r>
      <m:oMath>
        <m:r>
          <w:rPr>
            <w:rFonts w:ascii="Cambria Math" w:hAnsi="Cambria Math"/>
          </w:rPr>
          <m:t xml:space="preserve">κ</m:t>
        </m:r>
      </m:oMath>
      <w:r>
        <w:t xml:space="preserve"> workers would after an all-reduce of their window logits, and </w:t>
      </w:r>
      <m:oMath>
        <m:r>
          <w:rPr>
            <w:rFonts w:ascii="Cambria Math" w:hAnsi="Cambria Math"/>
          </w:rPr>
          <m:t xml:space="preserve">κ = 1</m:t>
        </m:r>
      </m:oMath>
      <w:r>
        <w:t xml:space="preserve"> is the windowed teacher above. The released code carries it as the sharded option of the five-fold worker on a swin arm, with the memory-mapped pool as the store, and main_model/pfc_sample.py walks through the supply on synthetic data.</w:t>
      </w:r>
    </w:p>
    <w:p>
      <w:pPr>
        <w:pStyle w:val="Para"/>
      </w:pPr>
      <w:r>
        <w:t xml:space="preserve">Two quantities do still grow with the catalog, and neither is memory. The ring advances 168 packs per step, so an anchor takes a gradient turn once every </w:t>
      </w:r>
      <m:oMath>
        <m:r>
          <w:rPr>
            <w:rFonts w:ascii="Cambria Math" w:hAnsi="Cambria Math"/>
          </w:rPr>
          <m:t xml:space="preserve">R/(T·S)</m:t>
        </m:r>
      </m:oMath>
      <w:r>
        <w:t xml:space="preserve"> steps: ten steps at our </w:t>
      </w:r>
      <m:oMath>
        <m:r>
          <w:rPr>
            <w:rFonts w:ascii="Cambria Math" w:hAnsi="Cambria Math"/>
          </w:rPr>
          <m:t xml:space="preserve">R = 1,694</m:t>
        </m:r>
      </m:oMath>
      <w:r>
        <w:t xml:space="preserve">, 139 at 23,373, and 5,952, about 370 epochs of sixteen steps, at a million; equivalently, peak concurrent coverage is </w:t>
      </w:r>
      <m:oMath>
        <m:r>
          <w:rPr>
            <w:rFonts w:ascii="Cambria Math" w:hAnsi="Cambria Math"/>
          </w:rPr>
          <m:t xml:space="preserve">(G + w)/R</m:t>
        </m:r>
      </m:oMath>
      <w:r>
        <w:t xml:space="preserve">, falling from 21% here to 1.5% at full-corpus scale and 0.04% at a million. A million-entity store is 7.6 TiB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or 1.9 TiB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an ordinary disk array read at about a gigabyte per step. Our evidence spans 21% to 100% peak concurrent coverage, the range in which the windowed teacher gives up 0.032 Stripped hit@1 against full coupling (Table A7); it does not reach the 0.04% regime and we do not claim it.</w:t>
      </w:r>
    </w:p>
    <w:p>
      <w:pPr>
        <w:pStyle w:val="TableCaption"/>
      </w:pPr>
      <w:r>
        <w:t xml:space="preserve">Table A7: The cost of the anchor-supply economies (test-set queries (ts), five-fold mean ± std at the 4,096-sentence anchor budget). The sliding fresh-window variant (swin, Appendix J) re-encodes ~26% of the five-fold gallery with gradient per step (27% on the fixed split of Appendix J); the two-stage row hands a BYOL warm start to the windowed teacher for the last 600 epochs; the EMA + memory-bank variant replaces the coupled teacher with an EMA shadow encoder feeding a 3,072-key bank (Appendix C).</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(~26%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I: THE DOCUMENT VIEW: PRESENT, ABSENT, REWRITTEN</w:t>
      </w:r>
    </w:p>
    <w:p>
      <w:pPr>
        <w:pStyle w:val="PostHeadPara"/>
      </w:pPr>
      <w:r>
        <w:t xml:space="preserve">The document view is one of the four strong views, and this ablation isolates it at the 512-sentence anchor budget, five folds per cell, seed-paired with the raw-document tower of the recipe, which keeps the original documents (Table A8).</w:t>
      </w:r>
    </w:p>
    <w:p>
      <w:pPr>
        <w:pStyle w:val="TableCaption"/>
      </w:pPr>
      <w:r>
        <w:t xml:space="preserve">Table A8: The document view: present, absent, rewritten (test-set queries (ts), five-fold mean ± std at the 512-sentence anchor budget, checkpoints selected by the rank criterion of Section 5, zero-shot, seed-paired folds; deltas are computed before rounding). The document view is worth 0.008 Stripped hit@1 (and 0.032 Name hit@1), and rewriting it helps: the LLM-rewritten row leads raw documents on the stripped columns (+0.008 Stripped hit@1) and ties on the name columns. The firewall would be a gain, not a cost.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raw documents (recipe)</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J: THE WINDOWED TEACHER, THE WINDOW-SIZE, VICREG AND TEMPERATURE SWEEPS, AND THE TAG READING AGAINST THE MARGIN</w:t>
      </w:r>
    </w:p>
    <w:p>
      <w:pPr>
        <w:pStyle w:val="PostHeadPara"/>
      </w:pPr>
      <w:r>
        <w:t xml:space="preserve">The windowed teacher deferred from Section 4 is specified below, followed by the three sweeps behind design choices. The window-size scan and the VICReg grid are single-split and should be read at the </w:t>
      </w:r>
      <m:oMath>
        <m:r>
          <w:rPr>
            <w:rFonts w:ascii="Cambria Math" w:hAnsi="Cambria Math"/>
          </w:rPr>
          <m:t xml:space="preserve">±0.03</m:t>
        </m:r>
      </m:oMath>
      <w:r>
        <w:t xml:space="preserve"> resolution of Section 5; the temperature sweep is five-fold.</w:t>
      </w:r>
    </w:p>
    <w:p>
      <w:pPr>
        <w:pStyle w:val="Para"/>
      </w:pPr>
      <w:r>
        <w:t xml:space="preserve">swin-I-CE lays the catalog on a ring with a persistent pointer </w:t>
      </w:r>
      <m:oMath>
        <m:r>
          <w:rPr>
            <w:rFonts w:ascii="Cambria Math" w:hAnsi="Cambria Math"/>
          </w:rPr>
          <m:t xml:space="preserve">u</m:t>
        </m:r>
      </m:oMath>
      <w:r>
        <w:t xml:space="preserve"> and runs two micro-passes per step: micro-pass </w:t>
      </w:r>
      <m:oMath>
        <m:r>
          <w:rPr>
            <w:rFonts w:ascii="Cambria Math" w:hAnsi="Cambria Math"/>
          </w:rPr>
          <m:t xml:space="preserve">l ∈ {0, 1}</m:t>
        </m:r>
      </m:oMath>
      <w:r>
        <w:t xml:space="preserve"> freshly encodes the </w:t>
      </w:r>
      <m:oMath>
        <m:r>
          <w:rPr>
            <w:rFonts w:ascii="Cambria Math" w:hAnsi="Cambria Math"/>
          </w:rPr>
          <m:t xml:space="preserve">w = 168</m:t>
        </m:r>
      </m:oMath>
      <w:r>
        <w:t xml:space="preserve"> anchors starting at ring position </w:t>
      </w:r>
      <m:oMath>
        <m:r>
          <w:rPr>
            <w:rFonts w:ascii="Cambria Math" w:hAnsi="Cambria Math"/>
          </w:rPr>
          <m:t xml:space="preserve">u + l·S</m:t>
        </m:r>
      </m:oMath>
      <w:r>
        <w:t xml:space="preserve"> (stride </w:t>
      </w:r>
      <m:oMath>
        <m:r>
          <w:rPr>
            <w:rFonts w:ascii="Cambria Math" w:hAnsi="Cambria Math"/>
          </w:rPr>
          <m:t xml:space="preserve">S = 84</m:t>
        </m:r>
      </m:oMath>
      <w:r>
        <w:t xml:space="preserve">, so consecutive passes overlap by half a window) together with the current batch’s own anchors, forms its own CE partition (every view’s positive sits in the batch block, the window anchors serve as negatives) and backpropagates immediately, freeing the window’s activations before the next pass. The pointer then advances by </w:t>
      </w:r>
      <m:oMath>
        <m:r>
          <w:rPr>
            <w:rFonts w:ascii="Cambria Math" w:hAnsi="Cambria Math"/>
          </w:rPr>
          <m:t xml:space="preserve">2S</m:t>
        </m:r>
      </m:oMath>
      <w:r>
        <w:t xml:space="preserve">, sweeping the full catalog every ten steps so that every anchor takes a regular, gradient-coupled turn, which per step touches about 27% of the gallery with gradient and bounds the gradient-coupled encoding to 22% of the full backward graph (Table A10); the tower, the views, and the invariance term are unchanged. Table A7 quantifies the cost of this variant five-fold; the window-size sweep (</w:t>
      </w:r>
      <m:oMath>
        <m:r>
          <w:rPr>
            <w:rFonts w:ascii="Cambria Math" w:hAnsi="Cambria Math"/>
          </w:rPr>
          <m:t xml:space="preserve">w = 84–336</m:t>
        </m:r>
      </m:oMath>
      <w:r>
        <w:t xml:space="preserve">) is Table A9.</w:t>
      </w:r>
    </w:p>
    <w:p>
      <w:pPr>
        <w:pStyle w:val="TableCaption"/>
      </w:pPr>
      <w:r>
        <w:t xml:space="preserve">Table A9: The window-size sweep behind the windowed teacher (fixed split, test-set queries (ts) of that split, 4,096-sentence anchors; a single anchor draw rather than the ten-draw expectation of the main tables). Every row’s checkpoint is selected by the rank criterion of Section 5, the sum of exp(−rank) over the validation games’ rewrites of both registers, over its first 2,000 epochs, the same rule as the five-fold tables; the cap matters for the reference arm alone, whose run continued to 4,000 epochs. Coverage counts the training-set anchor packs re-encoded with gradient per step (batch plus the union of the two micro-pass windows). Halving or doubling the window moves Stripped hit@1 by at most 0.044 with no monotone trend, at the single-split resolution: the smallest window already holds the plateau, so memory, not coverage, should pick </w:t>
      </w:r>
      <m:oMath>
        <m:r>
          <w:rPr>
            <w:rFonts w:ascii="Cambria Math" w:hAnsi="Cambria Math"/>
          </w:rPr>
          <m:t xml:space="preserve">w</m:t>
        </m:r>
      </m:oMath>
      <w:r>
        <w:t xml:space="preserve">. Tag readings are the test-set probe of Section 5, recomputed on this split so that they sit on the same scale as the rest of the paper; their spread here is single-split noise, and at fold level swin and full coupling read tags at parity (Table A7, which gives the five-fold account of </w:t>
      </w:r>
      <m:oMath>
        <m:r>
          <w:rPr>
            <w:rFonts w:ascii="Cambria Math" w:hAnsi="Cambria Math"/>
          </w:rPr>
          <m:t xml:space="preserve">w = 168</m:t>
        </m:r>
      </m:oMath>
      <w:r>
        <w:t xml:space="preserve">). The fully coupled row is the anchor-budget ladder’s tower re-selected under the same criterion; it leads the windowed arms by 0.04 to 0.08 Stripped hit@1 on this split, in line with the five-fold 0.032 of Table A7. All four rows are regenerated by one script in the repository.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0.956</w:t>
            </w:r>
          </w:p>
        </w:tc>
        <w:tc>
          <w:tcPr>
            <w:tcW w:type="dxa" w:w="1120"/>
          </w:tcPr>
          <w:p>
            <w:pPr>
              <w:pStyle w:val="TableCell"/>
              <w:keepNext/>
            </w:pPr>
            <w:r>
              <w:t xml:space="preserve">0.990</w:t>
            </w:r>
          </w:p>
        </w:tc>
        <w:tc>
          <w:tcPr>
            <w:tcW w:type="dxa" w:w="1245"/>
          </w:tcPr>
          <w:p>
            <w:pPr>
              <w:pStyle w:val="TableCell"/>
              <w:keepNext/>
            </w:pPr>
            <w:r>
              <w:t xml:space="preserve">0.725</w:t>
            </w:r>
          </w:p>
        </w:tc>
        <w:tc>
          <w:tcPr>
            <w:tcW w:type="dxa" w:w="1245"/>
          </w:tcPr>
          <w:p>
            <w:pPr>
              <w:pStyle w:val="TableCell"/>
              <w:keepNext/>
            </w:pPr>
            <w:r>
              <w:t xml:space="preserve">0.912</w:t>
            </w:r>
          </w:p>
        </w:tc>
        <w:tc>
          <w:tcPr>
            <w:tcW w:type="dxa" w:w="2170"/>
          </w:tcPr>
          <w:p>
            <w:pPr>
              <w:pStyle w:val="TableCell"/>
              <w:keepNext/>
            </w:pPr>
            <w:r>
              <w:t xml:space="preserve">0.707</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0.936</w:t>
            </w:r>
          </w:p>
        </w:tc>
        <w:tc>
          <w:tcPr>
            <w:tcW w:type="dxa" w:w="1120"/>
          </w:tcPr>
          <w:p>
            <w:pPr>
              <w:pStyle w:val="TableCell"/>
              <w:keepNext/>
            </w:pPr>
            <w:r>
              <w:rPr>
                <w:b/>
              </w:rPr>
              <w:t xml:space="preserve">0.990</w:t>
            </w:r>
          </w:p>
        </w:tc>
        <w:tc>
          <w:tcPr>
            <w:tcW w:type="dxa" w:w="1245"/>
          </w:tcPr>
          <w:p>
            <w:pPr>
              <w:pStyle w:val="TableCell"/>
              <w:keepNext/>
            </w:pPr>
            <w:r>
              <w:rPr>
                <w:b/>
              </w:rPr>
              <w:t xml:space="preserve">0.681</w:t>
            </w:r>
          </w:p>
        </w:tc>
        <w:tc>
          <w:tcPr>
            <w:tcW w:type="dxa" w:w="1245"/>
          </w:tcPr>
          <w:p>
            <w:pPr>
              <w:pStyle w:val="TableCell"/>
              <w:keepNext/>
            </w:pPr>
            <w:r>
              <w:rPr>
                <w:b/>
              </w:rPr>
              <w:t xml:space="preserve">0.907</w:t>
            </w:r>
          </w:p>
        </w:tc>
        <w:tc>
          <w:tcPr>
            <w:tcW w:type="dxa" w:w="2170"/>
          </w:tcPr>
          <w:p>
            <w:pPr>
              <w:pStyle w:val="TableCell"/>
              <w:keepNext/>
            </w:pPr>
            <w:r>
              <w:rPr>
                <w:b/>
              </w:rPr>
              <w:t xml:space="preserve">0.689</w:t>
            </w:r>
          </w:p>
        </w:tc>
      </w:tr>
      <w:tr>
        <w:tc>
          <w:tcPr>
            <w:tcW w:type="dxa" w:w="1500"/>
          </w:tcPr>
          <w:p>
            <w:pPr>
              <w:pStyle w:val="TableCell"/>
              <w:keepNext/>
            </w:pPr>
            <w:r>
              <w:t xml:space="preserve">swin, w = 336 (step 168, 43.1% coverage)</w:t>
            </w:r>
          </w:p>
        </w:tc>
        <w:tc>
          <w:tcPr>
            <w:tcW w:type="dxa" w:w="1120"/>
          </w:tcPr>
          <w:p>
            <w:pPr>
              <w:pStyle w:val="TableCell"/>
              <w:keepNext/>
            </w:pPr>
            <w:r>
              <w:t xml:space="preserve">0.946</w:t>
            </w:r>
          </w:p>
        </w:tc>
        <w:tc>
          <w:tcPr>
            <w:tcW w:type="dxa" w:w="1120"/>
          </w:tcPr>
          <w:p>
            <w:pPr>
              <w:pStyle w:val="TableCell"/>
              <w:keepNext/>
            </w:pPr>
            <w:r>
              <w:t xml:space="preserve">0.990</w:t>
            </w:r>
          </w:p>
        </w:tc>
        <w:tc>
          <w:tcPr>
            <w:tcW w:type="dxa" w:w="1245"/>
          </w:tcPr>
          <w:p>
            <w:pPr>
              <w:pStyle w:val="TableCell"/>
              <w:keepNext/>
            </w:pPr>
            <w:r>
              <w:t xml:space="preserve">0.711</w:t>
            </w:r>
          </w:p>
        </w:tc>
        <w:tc>
          <w:tcPr>
            <w:tcW w:type="dxa" w:w="1245"/>
          </w:tcPr>
          <w:p>
            <w:pPr>
              <w:pStyle w:val="TableCell"/>
              <w:keepNext/>
            </w:pPr>
            <w:r>
              <w:t xml:space="preserve">0.897</w:t>
            </w:r>
          </w:p>
        </w:tc>
        <w:tc>
          <w:tcPr>
            <w:tcW w:type="dxa" w:w="2170"/>
          </w:tcPr>
          <w:p>
            <w:pPr>
              <w:pStyle w:val="TableCell"/>
              <w:keepNext/>
            </w:pPr>
            <w:r>
              <w:t xml:space="preserve">0.676</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0.975</w:t>
            </w:r>
          </w:p>
        </w:tc>
        <w:tc>
          <w:tcPr>
            <w:tcW w:type="dxa" w:w="1120"/>
          </w:tcPr>
          <w:p>
            <w:pPr>
              <w:pStyle w:val="TableCell"/>
            </w:pPr>
            <w:r>
              <w:rPr>
                <w:b/>
              </w:rPr>
              <w:t xml:space="preserve">1.000</w:t>
            </w:r>
          </w:p>
        </w:tc>
        <w:tc>
          <w:tcPr>
            <w:tcW w:type="dxa" w:w="1245"/>
          </w:tcPr>
          <w:p>
            <w:pPr>
              <w:pStyle w:val="TableCell"/>
            </w:pPr>
            <w:r>
              <w:rPr>
                <w:b/>
              </w:rPr>
              <w:t xml:space="preserve">0.765</w:t>
            </w:r>
          </w:p>
        </w:tc>
        <w:tc>
          <w:tcPr>
            <w:tcW w:type="dxa" w:w="1245"/>
          </w:tcPr>
          <w:p>
            <w:pPr>
              <w:pStyle w:val="TableCell"/>
            </w:pPr>
            <w:r>
              <w:rPr>
                <w:b/>
              </w:rPr>
              <w:t xml:space="preserve">0.897</w:t>
            </w:r>
          </w:p>
        </w:tc>
        <w:tc>
          <w:tcPr>
            <w:tcW w:type="dxa" w:w="2170"/>
          </w:tcPr>
          <w:p>
            <w:pPr>
              <w:pStyle w:val="TableCell"/>
            </w:pPr>
            <w:r>
              <w:rPr>
                <w:b/>
              </w:rPr>
              <w:t xml:space="preserve">0.678</w:t>
            </w:r>
          </w:p>
        </w:tc>
      </w:tr>
    </w:tbl>
    <w:p>
      <w:pPr>
        <w:pStyle w:val="TableCaption"/>
      </w:pPr>
      <w:r>
        <w:t xml:space="preserve">Table A10: What the sliding window bounds. The fully coupled objective re-encodes every training-set anchor pack with gradient at once; swin holds only the batch’s own anchors plus one </w:t>
      </w:r>
      <m:oMath>
        <m:r>
          <w:rPr>
            <w:rFonts w:ascii="Cambria Math" w:hAnsi="Cambria Math"/>
          </w:rPr>
          <m:t xml:space="preserve">w = 168</m:t>
        </m:r>
      </m:oMath>
      <w:r>
        <w:t xml:space="preserve"> window per micro-pass and frees it before the next, so its gradient-coupled encoding peaks at 360 anchors, 22% of the full graph. Both variants keep the whole catalog resident, so the saving is bounded by the persistent ring rather than reaching the full 4.5×. Sentence-slot counts are ceilings (packs are capped at 4,096 sentences and realized packs are shorter), quoted on the fixed split of Section 4.1 (1,613 training-set games); a five-fold gallery of 1,694 or 1,695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anchor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 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predates validation selection and its towers were logged only at trajectory peaks, so Table A11 reports each arm’s peak Stripped hit@1 and omits tag readings, which cannot be re-scored under the test-set protocol of Section 5.</w:t>
      </w:r>
    </w:p>
    <w:p>
      <w:pPr>
        <w:pStyle w:val="TableCaption"/>
      </w:pPr>
      <w:r>
        <w:t xml:space="preserve">Table A11: The VICReg weight sweep (fixed split, test-set queries (ts) of that split, 512-sentence anchors at evaluation, a single anchor draw; trajectory peaks). All rows use the canonical wiring (variance, invariance, and covariance all on the expander-output pair); the earlier centroid wiring (invariance as a mean-squared error between unit-norm view centroids) collapsed retrieval outright at every view width (hit@1 </w:t>
      </w:r>
      <m:oMath>
        <m:r>
          <w:rPr>
            <w:rFonts w:ascii="Cambria Math" w:hAnsi="Cambria Math"/>
          </w:rPr>
          <m:t xml:space="preserve">≤ 0.03</m:t>
        </m:r>
      </m:oMath>
      <w:r>
        <w:t xml:space="preserve">) and is omitted. </w:t>
      </w:r>
      <m:oMath>
        <m:r>
          <w:rPr>
            <w:rFonts w:ascii="Cambria Math" w:hAnsi="Cambria Math"/>
          </w:rPr>
          <m:t xml:space="preserve">v/i/c = 20/10/20</m:t>
        </m:r>
      </m:oMath>
      <w:r>
        <w:t xml:space="preserve"> is the best cell and the image-domain 25/25/1 trails it. Drawing views for the whole training set per step (batch = all) provides true population moments in the variance term at roughly eight times the step cost; its one completed run reads 0.250 Stripped hit@1 against the batch-192 recipe’s 0.284 under this table’s own protocol, no improvement at the </w:t>
      </w:r>
      <m:oMath>
        <m:r>
          <w:rPr>
            <w:rFonts w:ascii="Cambria Math" w:hAnsi="Cambria Math"/>
          </w:rPr>
          <m:t xml:space="preserve">±0.03</m:t>
        </m:r>
      </m:oMath>
      <w:r>
        <w:t xml:space="preserve"> resolution,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of Table A12 is five-fold and carries the Section 8 verdict directly. The learnable variant (initialized at 0.02, </w:t>
      </w:r>
      <m:oMath>
        <m:r>
          <w:rPr>
            <w:rFonts w:ascii="Cambria Math" w:hAnsi="Cambria Math"/>
          </w:rPr>
          <m:t xml:space="preserve">τ</m:t>
        </m:r>
      </m:oMath>
      <w:r>
        <w:t xml:space="preserve"> clamped to </w:t>
      </w:r>
      <m:oMath>
        <m:r>
          <w:rPr>
            <w:rFonts w:ascii="Cambria Math" w:hAnsi="Cambria Math"/>
          </w:rPr>
          <m:t xml:space="preserve">[0.005, 0.2]</m:t>
        </m:r>
      </m:oMath>
      <w:r>
        <w:t xml:space="preserve">) never settles at an interior optimum: in all five folds it sharpens monotonically to the clamp floor within 250 epochs and trains there, an effective fixed </w:t>
      </w:r>
      <m:oMath>
        <m:r>
          <w:rPr>
            <w:rFonts w:ascii="Cambria Math" w:hAnsi="Cambria Math"/>
          </w:rPr>
          <m:t xml:space="preserve">τ = 0.005</m:t>
        </m:r>
      </m:oMath>
      <w:r>
        <w:t xml:space="preserve">, beating the frozen recipe by 0.010 Stripped hit@1 in five folds of five and by 0.008 on tags (computed before rounding), the sharp-side headroom that the frozen setting of Section 4.2 leaves to deployment.</w:t>
      </w:r>
    </w:p>
    <w:p>
      <w:pPr>
        <w:pStyle w:val="TableCaption"/>
      </w:pPr>
      <w:r>
        <w:t xml:space="preserve">Table A12: The temperature sweep behind the Section 8 verdict and the frozen setting of Section 4.2 (test-set queries (ts), five-fold mean ± std at the 512- and 2,048-sentence anchor budgets; the </w:t>
      </w:r>
      <m:oMath>
        <m:r>
          <w:rPr>
            <w:rFonts w:ascii="Cambria Math" w:hAnsi="Cambria Math"/>
          </w:rPr>
          <m:t xml:space="preserve">τ = 0.10</m:t>
        </m:r>
      </m:oMath>
      <w:r>
        <w:t xml:space="preserve"> cell at 512 has four folds; checkpoints selected by the rank criterion of Section 5 on the validation fold, the table reporting their test-set readings). Among fixed settings </w:t>
      </w:r>
      <m:oMath>
        <m:r>
          <w:rPr>
            <w:rFonts w:ascii="Cambria Math" w:hAnsi="Cambria Math"/>
          </w:rPr>
          <m:t xml:space="preserve">τ = 0.02</m:t>
        </m:r>
      </m:oMath>
      <w:r>
        <w:t xml:space="preserve"> is retrieval-optimal at both budgets: softening to 0.05/0.10 costs 0.060–0.226 Stripped hit@1, and what it buys is the tag reading: </w:t>
      </w:r>
      <m:oMath>
        <m:r>
          <w:rPr>
            <w:rFonts w:ascii="Cambria Math" w:hAnsi="Cambria Math"/>
          </w:rPr>
          <m:t xml:space="preserve">τ = 0.05</m:t>
        </m:r>
      </m:oMath>
      <w:r>
        <w:t xml:space="preserve"> lifts it to the edge of the negative-light band of Section 6.1, so on the soft side temperature trades the tag reading against identity.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Para"/>
      </w:pPr>
      <w:r>
        <w:rPr>
          <w:b/>
        </w:rPr>
        <w:t xml:space="preserve">The tag reading against the margin.</w:t>
      </w:r>
      <w:r>
        <w:t xml:space="preserve"> Pairing the fold-0 margins of Table 1 with the five-fold tag means of Table A3 for the five trained towers (BYOL 0.047 / 0.712, SimCLR 0.106 / 0.707, VICReg 0.108 / 0.708, I-CE 0.176 / 0.685, CE 0.191 / 0.664) gives</w:t>
      </w:r>
    </w:p>
    <w:p>
      <w:pPr>
        <w:pStyle w:val="DisplayFormula"/>
      </w:pPr>
      <m:oMath>
        <m:r>
          <m:rPr>
            <m:sty m:val="p"/>
          </m:rPr>
          <w:rPr>
            <w:rFonts w:ascii="Cambria Math" w:hAnsi="Cambria Math"/>
          </w:rPr>
          <m:t xml:space="preserve">tag</m:t>
        </m:r>
        <m:r>
          <w:rPr>
            <w:rFonts w:ascii="Cambria Math" w:hAnsi="Cambria Math"/>
          </w:rPr>
          <m:t xml:space="preserve"> ≈ 0.735 − 0.32 × </m:t>
        </m:r>
        <m:r>
          <m:rPr>
            <m:sty m:val="p"/>
          </m:rPr>
          <w:rPr>
            <w:rFonts w:ascii="Cambria Math" w:hAnsi="Cambria Math"/>
          </w:rPr>
          <m:t xml:space="preserve">margin</m:t>
        </m:r>
      </m:oMath>
      <w:r>
        <w:tab/>
        <w:t>(J.1)</w:t>
      </w:r>
    </w:p>
    <w:p>
      <w:pPr>
        <w:pStyle w:val="ParaContinue"/>
      </w:pPr>
      <w:r>
        <w:t xml:space="preserve">with Pearson −0.91 and Spearman −0.90, the one rank inversion being SimCLR against VICReg, 0.002 apart in margin and 0.001 in tag. Pairing the same margins with those towers’ fold-0 tag readings instead gives</w:t>
      </w:r>
    </w:p>
    <w:p>
      <w:pPr>
        <w:pStyle w:val="DisplayFormula"/>
      </w:pPr>
      <m:oMath>
        <m:r>
          <m:rPr>
            <m:sty m:val="p"/>
          </m:rPr>
          <w:rPr>
            <w:rFonts w:ascii="Cambria Math" w:hAnsi="Cambria Math"/>
          </w:rPr>
          <m:t xml:space="preserve">tag</m:t>
        </m:r>
        <m:r>
          <w:rPr>
            <w:rFonts w:ascii="Cambria Math" w:hAnsi="Cambria Math"/>
          </w:rPr>
          <m:t xml:space="preserve"> ≈ 0.762 − 0.39 × </m:t>
        </m:r>
        <m:r>
          <m:rPr>
            <m:sty m:val="p"/>
          </m:rPr>
          <w:rPr>
            <w:rFonts w:ascii="Cambria Math" w:hAnsi="Cambria Math"/>
          </w:rPr>
          <m:t xml:space="preserve">margin</m:t>
        </m:r>
      </m:oMath>
      <w:r>
        <w:tab/>
        <w:t>(J.2)</w:t>
      </w:r>
    </w:p>
    <w:p>
      <w:pPr>
        <w:pStyle w:val="ParaContinue"/>
      </w:pPr>
      <w:r>
        <w:t xml:space="preserve">with Pearson −0.87 and Spearman −0.70, single-fold tag readings being the noisier side. I-CE sits 0.006 above the five-fold line and CE 0.010 below it; the regression is not printed in the body because five points under two protocols support a direction, not a coefficient.</w:t>
      </w:r>
    </w:p>
    <w:p>
      <w:pPr>
        <w:pStyle w:val="AppendixH1"/>
      </w:pPr>
      <w:r>
        <w:t xml:space="preserve">APPENDIX K: PER-FOLD DETAIL ACROSS THE ANCHOR BUDGETS</w:t>
      </w:r>
    </w:p>
    <w:p>
      <w:pPr>
        <w:pStyle w:val="PostHeadPara"/>
      </w:pPr>
      <w:r>
        <w:t xml:space="preserve">Table A13 gives, fold by fold, the two numbers the body quotes across budgets. Values at 512 to 2,048 sentences are the ten-draw means behind Table A2, the 4,096-sentence rows those behind Tables A1 and A3; the two objectives are seed-paired on identical splits, so each column is a paired comparison.</w:t>
      </w:r>
    </w:p>
    <w:p>
      <w:pPr>
        <w:pStyle w:val="TableCaption"/>
      </w:pPr>
      <w:r>
        <w:t xml:space="preserve">Table A13: CE versus I-CE per fold at every anchor budget (test-set queries, ten anchor draws per fold, mean ± std over the five folds). Upper block: Stripped hit@1, which I-CE wins in 20 of 20 paired folds. Lower block: test-set tag F1, which I-CE wins in 18 of 20, the exceptions being fold 3 at 512 and fold 1 at 4,096 sentences.</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000"/>
        <w:gridCol w:w="1000"/>
        <w:gridCol w:w="1000"/>
        <w:gridCol w:w="1000"/>
        <w:gridCol w:w="1000"/>
        <w:gridCol w:w="1900"/>
      </w:tblGrid>
      <w:tr>
        <w:tc>
          <w:tcPr>
            <w:tcW w:type="dxa" w:w="1500"/>
          </w:tcPr>
          <w:p>
            <w:pPr>
              <w:pStyle w:val="TableCell"/>
              <w:keepNext/>
            </w:pPr>
            <w:r>
              <w:rPr>
                <w:b/>
              </w:rPr>
              <w:t xml:space="preserve">Stripped hit@1</w:t>
            </w:r>
          </w:p>
        </w:tc>
        <w:tc>
          <w:tcPr>
            <w:tcW w:type="dxa" w:w="1000"/>
          </w:tcPr>
          <w:p>
            <w:pPr>
              <w:pStyle w:val="TableCell"/>
              <w:keepNext/>
            </w:pPr>
            <w:r>
              <w:rPr>
                <w:b/>
              </w:rPr>
              <w:t xml:space="preserve">Fold 0</w:t>
            </w:r>
          </w:p>
        </w:tc>
        <w:tc>
          <w:tcPr>
            <w:tcW w:type="dxa" w:w="1000"/>
          </w:tcPr>
          <w:p>
            <w:pPr>
              <w:pStyle w:val="TableCell"/>
              <w:keepNext/>
            </w:pPr>
            <w:r>
              <w:rPr>
                <w:b/>
              </w:rPr>
              <w:t xml:space="preserve">Fold 1</w:t>
            </w:r>
          </w:p>
        </w:tc>
        <w:tc>
          <w:tcPr>
            <w:tcW w:type="dxa" w:w="1000"/>
          </w:tcPr>
          <w:p>
            <w:pPr>
              <w:pStyle w:val="TableCell"/>
              <w:keepNext/>
            </w:pPr>
            <w:r>
              <w:rPr>
                <w:b/>
              </w:rPr>
              <w:t xml:space="preserve">Fold 2</w:t>
            </w:r>
          </w:p>
        </w:tc>
        <w:tc>
          <w:tcPr>
            <w:tcW w:type="dxa" w:w="1000"/>
          </w:tcPr>
          <w:p>
            <w:pPr>
              <w:pStyle w:val="TableCell"/>
              <w:keepNext/>
            </w:pPr>
            <w:r>
              <w:rPr>
                <w:b/>
              </w:rPr>
              <w:t xml:space="preserve">Fold 3</w:t>
            </w:r>
          </w:p>
        </w:tc>
        <w:tc>
          <w:tcPr>
            <w:tcW w:type="dxa" w:w="1000"/>
          </w:tcPr>
          <w:p>
            <w:pPr>
              <w:pStyle w:val="TableCell"/>
              <w:keepNext/>
            </w:pPr>
            <w:r>
              <w:rPr>
                <w:b/>
              </w:rPr>
              <w:t xml:space="preserve">Fold 4</w:t>
            </w:r>
          </w:p>
        </w:tc>
        <w:tc>
          <w:tcPr>
            <w:tcW w:type="dxa" w:w="1900"/>
          </w:tcPr>
          <w:p>
            <w:pPr>
              <w:pStyle w:val="TableCell"/>
              <w:keepNext/>
            </w:pPr>
            <w:r>
              <w:rPr>
                <w:b/>
              </w:rPr>
              <w:t xml:space="preserve">Mean ± std</w:t>
            </w:r>
          </w:p>
        </w:tc>
      </w:tr>
      <w:tr>
        <w:tc>
          <w:tcPr>
            <w:tcW w:type="dxa" w:w="1500"/>
          </w:tcPr>
          <w:p>
            <w:pPr>
              <w:pStyle w:val="TableCell"/>
              <w:keepNext/>
            </w:pPr>
            <w:r>
              <w:t xml:space="preserve">CE @512</w:t>
            </w:r>
          </w:p>
        </w:tc>
        <w:tc>
          <w:tcPr>
            <w:tcW w:type="dxa" w:w="1000"/>
          </w:tcPr>
          <w:p>
            <w:pPr>
              <w:pStyle w:val="TableCell"/>
              <w:keepNext/>
            </w:pPr>
            <w:r>
              <w:t xml:space="preserve">0.626</w:t>
            </w:r>
          </w:p>
        </w:tc>
        <w:tc>
          <w:tcPr>
            <w:tcW w:type="dxa" w:w="1000"/>
          </w:tcPr>
          <w:p>
            <w:pPr>
              <w:pStyle w:val="TableCell"/>
              <w:keepNext/>
            </w:pPr>
            <w:r>
              <w:t xml:space="preserve">0.620</w:t>
            </w:r>
          </w:p>
        </w:tc>
        <w:tc>
          <w:tcPr>
            <w:tcW w:type="dxa" w:w="1000"/>
          </w:tcPr>
          <w:p>
            <w:pPr>
              <w:pStyle w:val="TableCell"/>
              <w:keepNext/>
            </w:pPr>
            <w:r>
              <w:t xml:space="preserve">0.594</w:t>
            </w:r>
          </w:p>
        </w:tc>
        <w:tc>
          <w:tcPr>
            <w:tcW w:type="dxa" w:w="1000"/>
          </w:tcPr>
          <w:p>
            <w:pPr>
              <w:pStyle w:val="TableCell"/>
              <w:keepNext/>
            </w:pPr>
            <w:r>
              <w:t xml:space="preserve">0.609</w:t>
            </w:r>
          </w:p>
        </w:tc>
        <w:tc>
          <w:tcPr>
            <w:tcW w:type="dxa" w:w="1000"/>
          </w:tcPr>
          <w:p>
            <w:pPr>
              <w:pStyle w:val="TableCell"/>
              <w:keepNext/>
            </w:pPr>
            <w:r>
              <w:t xml:space="preserve">0.619</w:t>
            </w:r>
          </w:p>
        </w:tc>
        <w:tc>
          <w:tcPr>
            <w:tcW w:type="dxa" w:w="1900"/>
          </w:tcPr>
          <w:p>
            <w:pPr>
              <w:pStyle w:val="TableCell"/>
              <w:keepNext/>
            </w:pPr>
            <w:r>
              <w:t xml:space="preserve">0.614 ± 0.011</w:t>
            </w:r>
          </w:p>
        </w:tc>
      </w:tr>
      <w:tr>
        <w:tc>
          <w:tcPr>
            <w:tcW w:type="dxa" w:w="1500"/>
          </w:tcPr>
          <w:p>
            <w:pPr>
              <w:pStyle w:val="TableCell"/>
              <w:keepNext/>
            </w:pPr>
            <w:r>
              <w:t xml:space="preserve">I-CE @512</w:t>
            </w:r>
          </w:p>
        </w:tc>
        <w:tc>
          <w:tcPr>
            <w:tcW w:type="dxa" w:w="1000"/>
          </w:tcPr>
          <w:p>
            <w:pPr>
              <w:pStyle w:val="TableCell"/>
              <w:keepNext/>
            </w:pPr>
            <w:r>
              <w:t xml:space="preserve">0.653</w:t>
            </w:r>
          </w:p>
        </w:tc>
        <w:tc>
          <w:tcPr>
            <w:tcW w:type="dxa" w:w="1000"/>
          </w:tcPr>
          <w:p>
            <w:pPr>
              <w:pStyle w:val="TableCell"/>
              <w:keepNext/>
            </w:pPr>
            <w:r>
              <w:t xml:space="preserve">0.639</w:t>
            </w:r>
          </w:p>
        </w:tc>
        <w:tc>
          <w:tcPr>
            <w:tcW w:type="dxa" w:w="1000"/>
          </w:tcPr>
          <w:p>
            <w:pPr>
              <w:pStyle w:val="TableCell"/>
              <w:keepNext/>
            </w:pPr>
            <w:r>
              <w:t xml:space="preserve">0.684</w:t>
            </w:r>
          </w:p>
        </w:tc>
        <w:tc>
          <w:tcPr>
            <w:tcW w:type="dxa" w:w="1000"/>
          </w:tcPr>
          <w:p>
            <w:pPr>
              <w:pStyle w:val="TableCell"/>
              <w:keepNext/>
            </w:pPr>
            <w:r>
              <w:t xml:space="preserve">0.612</w:t>
            </w:r>
          </w:p>
        </w:tc>
        <w:tc>
          <w:tcPr>
            <w:tcW w:type="dxa" w:w="1000"/>
          </w:tcPr>
          <w:p>
            <w:pPr>
              <w:pStyle w:val="TableCell"/>
              <w:keepNext/>
            </w:pPr>
            <w:r>
              <w:t xml:space="preserve">0.631</w:t>
            </w:r>
          </w:p>
        </w:tc>
        <w:tc>
          <w:tcPr>
            <w:tcW w:type="dxa" w:w="1900"/>
          </w:tcPr>
          <w:p>
            <w:pPr>
              <w:pStyle w:val="TableCell"/>
              <w:keepNext/>
            </w:pPr>
            <w:r>
              <w:t xml:space="preserve">0.644 ± 0.024</w:t>
            </w:r>
          </w:p>
        </w:tc>
      </w:tr>
      <w:tr>
        <w:tc>
          <w:tcPr>
            <w:tcW w:type="dxa" w:w="1500"/>
          </w:tcPr>
          <w:p>
            <w:pPr>
              <w:pStyle w:val="TableCell"/>
              <w:keepNext/>
            </w:pPr>
            <w:r>
              <w:t xml:space="preserve">CE @1,024</w:t>
            </w:r>
          </w:p>
        </w:tc>
        <w:tc>
          <w:tcPr>
            <w:tcW w:type="dxa" w:w="1000"/>
          </w:tcPr>
          <w:p>
            <w:pPr>
              <w:pStyle w:val="TableCell"/>
              <w:keepNext/>
            </w:pPr>
            <w:r>
              <w:t xml:space="preserve">0.663</w:t>
            </w:r>
          </w:p>
        </w:tc>
        <w:tc>
          <w:tcPr>
            <w:tcW w:type="dxa" w:w="1000"/>
          </w:tcPr>
          <w:p>
            <w:pPr>
              <w:pStyle w:val="TableCell"/>
              <w:keepNext/>
            </w:pPr>
            <w:r>
              <w:t xml:space="preserve">0.647</w:t>
            </w:r>
          </w:p>
        </w:tc>
        <w:tc>
          <w:tcPr>
            <w:tcW w:type="dxa" w:w="1000"/>
          </w:tcPr>
          <w:p>
            <w:pPr>
              <w:pStyle w:val="TableCell"/>
              <w:keepNext/>
            </w:pPr>
            <w:r>
              <w:t xml:space="preserve">0.645</w:t>
            </w:r>
          </w:p>
        </w:tc>
        <w:tc>
          <w:tcPr>
            <w:tcW w:type="dxa" w:w="1000"/>
          </w:tcPr>
          <w:p>
            <w:pPr>
              <w:pStyle w:val="TableCell"/>
              <w:keepNext/>
            </w:pPr>
            <w:r>
              <w:t xml:space="preserve">0.661</w:t>
            </w:r>
          </w:p>
        </w:tc>
        <w:tc>
          <w:tcPr>
            <w:tcW w:type="dxa" w:w="1000"/>
          </w:tcPr>
          <w:p>
            <w:pPr>
              <w:pStyle w:val="TableCell"/>
              <w:keepNext/>
            </w:pPr>
            <w:r>
              <w:t xml:space="preserve">0.659</w:t>
            </w:r>
          </w:p>
        </w:tc>
        <w:tc>
          <w:tcPr>
            <w:tcW w:type="dxa" w:w="1900"/>
          </w:tcPr>
          <w:p>
            <w:pPr>
              <w:pStyle w:val="TableCell"/>
              <w:keepNext/>
            </w:pPr>
            <w:r>
              <w:t xml:space="preserve">0.655 ± 0.007</w:t>
            </w:r>
          </w:p>
        </w:tc>
      </w:tr>
      <w:tr>
        <w:tc>
          <w:tcPr>
            <w:tcW w:type="dxa" w:w="1500"/>
          </w:tcPr>
          <w:p>
            <w:pPr>
              <w:pStyle w:val="TableCell"/>
              <w:keepNext/>
            </w:pPr>
            <w:r>
              <w:t xml:space="preserve">I-CE @1,024</w:t>
            </w:r>
          </w:p>
        </w:tc>
        <w:tc>
          <w:tcPr>
            <w:tcW w:type="dxa" w:w="1000"/>
          </w:tcPr>
          <w:p>
            <w:pPr>
              <w:pStyle w:val="TableCell"/>
              <w:keepNext/>
            </w:pPr>
            <w:r>
              <w:t xml:space="preserve">0.737</w:t>
            </w:r>
          </w:p>
        </w:tc>
        <w:tc>
          <w:tcPr>
            <w:tcW w:type="dxa" w:w="1000"/>
          </w:tcPr>
          <w:p>
            <w:pPr>
              <w:pStyle w:val="TableCell"/>
              <w:keepNext/>
            </w:pPr>
            <w:r>
              <w:t xml:space="preserve">0.723</w:t>
            </w:r>
          </w:p>
        </w:tc>
        <w:tc>
          <w:tcPr>
            <w:tcW w:type="dxa" w:w="1000"/>
          </w:tcPr>
          <w:p>
            <w:pPr>
              <w:pStyle w:val="TableCell"/>
              <w:keepNext/>
            </w:pPr>
            <w:r>
              <w:t xml:space="preserve">0.719</w:t>
            </w:r>
          </w:p>
        </w:tc>
        <w:tc>
          <w:tcPr>
            <w:tcW w:type="dxa" w:w="1000"/>
          </w:tcPr>
          <w:p>
            <w:pPr>
              <w:pStyle w:val="TableCell"/>
              <w:keepNext/>
            </w:pPr>
            <w:r>
              <w:t xml:space="preserve">0.728</w:t>
            </w:r>
          </w:p>
        </w:tc>
        <w:tc>
          <w:tcPr>
            <w:tcW w:type="dxa" w:w="1000"/>
          </w:tcPr>
          <w:p>
            <w:pPr>
              <w:pStyle w:val="TableCell"/>
              <w:keepNext/>
            </w:pPr>
            <w:r>
              <w:t xml:space="preserve">0.727</w:t>
            </w:r>
          </w:p>
        </w:tc>
        <w:tc>
          <w:tcPr>
            <w:tcW w:type="dxa" w:w="1900"/>
          </w:tcPr>
          <w:p>
            <w:pPr>
              <w:pStyle w:val="TableCell"/>
              <w:keepNext/>
            </w:pPr>
            <w:r>
              <w:t xml:space="preserve">0.727 ± 0.006</w:t>
            </w:r>
          </w:p>
        </w:tc>
      </w:tr>
      <w:tr>
        <w:tc>
          <w:tcPr>
            <w:tcW w:type="dxa" w:w="1500"/>
          </w:tcPr>
          <w:p>
            <w:pPr>
              <w:pStyle w:val="TableCell"/>
              <w:keepNext/>
            </w:pPr>
            <w:r>
              <w:t xml:space="preserve">CE @2,048</w:t>
            </w:r>
          </w:p>
        </w:tc>
        <w:tc>
          <w:tcPr>
            <w:tcW w:type="dxa" w:w="1000"/>
          </w:tcPr>
          <w:p>
            <w:pPr>
              <w:pStyle w:val="TableCell"/>
              <w:keepNext/>
            </w:pPr>
            <w:r>
              <w:t xml:space="preserve">0.684</w:t>
            </w:r>
          </w:p>
        </w:tc>
        <w:tc>
          <w:tcPr>
            <w:tcW w:type="dxa" w:w="1000"/>
          </w:tcPr>
          <w:p>
            <w:pPr>
              <w:pStyle w:val="TableCell"/>
              <w:keepNext/>
            </w:pPr>
            <w:r>
              <w:t xml:space="preserve">0.684</w:t>
            </w:r>
          </w:p>
        </w:tc>
        <w:tc>
          <w:tcPr>
            <w:tcW w:type="dxa" w:w="1000"/>
          </w:tcPr>
          <w:p>
            <w:pPr>
              <w:pStyle w:val="TableCell"/>
              <w:keepNext/>
            </w:pPr>
            <w:r>
              <w:t xml:space="preserve">0.682</w:t>
            </w:r>
          </w:p>
        </w:tc>
        <w:tc>
          <w:tcPr>
            <w:tcW w:type="dxa" w:w="1000"/>
          </w:tcPr>
          <w:p>
            <w:pPr>
              <w:pStyle w:val="TableCell"/>
              <w:keepNext/>
            </w:pPr>
            <w:r>
              <w:t xml:space="preserve">0.647</w:t>
            </w:r>
          </w:p>
        </w:tc>
        <w:tc>
          <w:tcPr>
            <w:tcW w:type="dxa" w:w="1000"/>
          </w:tcPr>
          <w:p>
            <w:pPr>
              <w:pStyle w:val="TableCell"/>
              <w:keepNext/>
            </w:pPr>
            <w:r>
              <w:t xml:space="preserve">0.660</w:t>
            </w:r>
          </w:p>
        </w:tc>
        <w:tc>
          <w:tcPr>
            <w:tcW w:type="dxa" w:w="1900"/>
          </w:tcPr>
          <w:p>
            <w:pPr>
              <w:pStyle w:val="TableCell"/>
              <w:keepNext/>
            </w:pPr>
            <w:r>
              <w:t xml:space="preserve">0.671 ± 0.015</w:t>
            </w:r>
          </w:p>
        </w:tc>
      </w:tr>
      <w:tr>
        <w:tc>
          <w:tcPr>
            <w:tcW w:type="dxa" w:w="1500"/>
          </w:tcPr>
          <w:p>
            <w:pPr>
              <w:pStyle w:val="TableCell"/>
              <w:keepNext/>
            </w:pPr>
            <w:r>
              <w:t xml:space="preserve">I-CE @2,048</w:t>
            </w:r>
          </w:p>
        </w:tc>
        <w:tc>
          <w:tcPr>
            <w:tcW w:type="dxa" w:w="1000"/>
          </w:tcPr>
          <w:p>
            <w:pPr>
              <w:pStyle w:val="TableCell"/>
              <w:keepNext/>
            </w:pPr>
            <w:r>
              <w:t xml:space="preserve">0.732</w:t>
            </w:r>
          </w:p>
        </w:tc>
        <w:tc>
          <w:tcPr>
            <w:tcW w:type="dxa" w:w="1000"/>
          </w:tcPr>
          <w:p>
            <w:pPr>
              <w:pStyle w:val="TableCell"/>
              <w:keepNext/>
            </w:pPr>
            <w:r>
              <w:t xml:space="preserve">0.740</w:t>
            </w:r>
          </w:p>
        </w:tc>
        <w:tc>
          <w:tcPr>
            <w:tcW w:type="dxa" w:w="1000"/>
          </w:tcPr>
          <w:p>
            <w:pPr>
              <w:pStyle w:val="TableCell"/>
              <w:keepNext/>
            </w:pPr>
            <w:r>
              <w:t xml:space="preserve">0.721</w:t>
            </w:r>
          </w:p>
        </w:tc>
        <w:tc>
          <w:tcPr>
            <w:tcW w:type="dxa" w:w="1000"/>
          </w:tcPr>
          <w:p>
            <w:pPr>
              <w:pStyle w:val="TableCell"/>
              <w:keepNext/>
            </w:pPr>
            <w:r>
              <w:t xml:space="preserve">0.733</w:t>
            </w:r>
          </w:p>
        </w:tc>
        <w:tc>
          <w:tcPr>
            <w:tcW w:type="dxa" w:w="1000"/>
          </w:tcPr>
          <w:p>
            <w:pPr>
              <w:pStyle w:val="TableCell"/>
              <w:keepNext/>
            </w:pPr>
            <w:r>
              <w:t xml:space="preserve">0.714</w:t>
            </w:r>
          </w:p>
        </w:tc>
        <w:tc>
          <w:tcPr>
            <w:tcW w:type="dxa" w:w="1900"/>
          </w:tcPr>
          <w:p>
            <w:pPr>
              <w:pStyle w:val="TableCell"/>
              <w:keepNext/>
            </w:pPr>
            <w:r>
              <w:t xml:space="preserve">0.728 ± 0.009</w:t>
            </w:r>
          </w:p>
        </w:tc>
      </w:tr>
      <w:tr>
        <w:tc>
          <w:tcPr>
            <w:tcW w:type="dxa" w:w="1500"/>
          </w:tcPr>
          <w:p>
            <w:pPr>
              <w:pStyle w:val="TableCell"/>
              <w:keepNext/>
            </w:pPr>
            <w:r>
              <w:t xml:space="preserve">CE @4,096</w:t>
            </w:r>
          </w:p>
        </w:tc>
        <w:tc>
          <w:tcPr>
            <w:tcW w:type="dxa" w:w="1000"/>
          </w:tcPr>
          <w:p>
            <w:pPr>
              <w:pStyle w:val="TableCell"/>
              <w:keepNext/>
            </w:pPr>
            <w:r>
              <w:t xml:space="preserve">0.687</w:t>
            </w:r>
          </w:p>
        </w:tc>
        <w:tc>
          <w:tcPr>
            <w:tcW w:type="dxa" w:w="1000"/>
          </w:tcPr>
          <w:p>
            <w:pPr>
              <w:pStyle w:val="TableCell"/>
              <w:keepNext/>
            </w:pPr>
            <w:r>
              <w:t xml:space="preserve">0.693</w:t>
            </w:r>
          </w:p>
        </w:tc>
        <w:tc>
          <w:tcPr>
            <w:tcW w:type="dxa" w:w="1000"/>
          </w:tcPr>
          <w:p>
            <w:pPr>
              <w:pStyle w:val="TableCell"/>
              <w:keepNext/>
            </w:pPr>
            <w:r>
              <w:t xml:space="preserve">0.667</w:t>
            </w:r>
          </w:p>
        </w:tc>
        <w:tc>
          <w:tcPr>
            <w:tcW w:type="dxa" w:w="1000"/>
          </w:tcPr>
          <w:p>
            <w:pPr>
              <w:pStyle w:val="TableCell"/>
              <w:keepNext/>
            </w:pPr>
            <w:r>
              <w:t xml:space="preserve">0.656</w:t>
            </w:r>
          </w:p>
        </w:tc>
        <w:tc>
          <w:tcPr>
            <w:tcW w:type="dxa" w:w="1000"/>
          </w:tcPr>
          <w:p>
            <w:pPr>
              <w:pStyle w:val="TableCell"/>
              <w:keepNext/>
            </w:pPr>
            <w:r>
              <w:t xml:space="preserve">0.662</w:t>
            </w:r>
          </w:p>
        </w:tc>
        <w:tc>
          <w:tcPr>
            <w:tcW w:type="dxa" w:w="1900"/>
          </w:tcPr>
          <w:p>
            <w:pPr>
              <w:pStyle w:val="TableCell"/>
              <w:keepNext/>
            </w:pPr>
            <w:r>
              <w:t xml:space="preserve">0.673 ± 0.014</w:t>
            </w:r>
          </w:p>
        </w:tc>
      </w:tr>
      <w:tr>
        <w:tc>
          <w:tcPr>
            <w:tcW w:type="dxa" w:w="1500"/>
          </w:tcPr>
          <w:p>
            <w:pPr>
              <w:pStyle w:val="TableCell"/>
            </w:pPr>
            <w:r>
              <w:t xml:space="preserve">I-CE @4,096</w:t>
            </w:r>
          </w:p>
        </w:tc>
        <w:tc>
          <w:tcPr>
            <w:tcW w:type="dxa" w:w="1000"/>
          </w:tcPr>
          <w:p>
            <w:pPr>
              <w:pStyle w:val="TableCell"/>
            </w:pPr>
            <w:r>
              <w:t xml:space="preserve">0.728</w:t>
            </w:r>
          </w:p>
        </w:tc>
        <w:tc>
          <w:tcPr>
            <w:tcW w:type="dxa" w:w="1000"/>
          </w:tcPr>
          <w:p>
            <w:pPr>
              <w:pStyle w:val="TableCell"/>
            </w:pPr>
            <w:r>
              <w:t xml:space="preserve">0.745</w:t>
            </w:r>
          </w:p>
        </w:tc>
        <w:tc>
          <w:tcPr>
            <w:tcW w:type="dxa" w:w="1000"/>
          </w:tcPr>
          <w:p>
            <w:pPr>
              <w:pStyle w:val="TableCell"/>
            </w:pPr>
            <w:r>
              <w:t xml:space="preserve">0.715</w:t>
            </w:r>
          </w:p>
        </w:tc>
        <w:tc>
          <w:tcPr>
            <w:tcW w:type="dxa" w:w="1000"/>
          </w:tcPr>
          <w:p>
            <w:pPr>
              <w:pStyle w:val="TableCell"/>
            </w:pPr>
            <w:r>
              <w:t xml:space="preserve">0.749</w:t>
            </w:r>
          </w:p>
        </w:tc>
        <w:tc>
          <w:tcPr>
            <w:tcW w:type="dxa" w:w="1000"/>
          </w:tcPr>
          <w:p>
            <w:pPr>
              <w:pStyle w:val="TableCell"/>
            </w:pPr>
            <w:r>
              <w:t xml:space="preserve">0.769</w:t>
            </w:r>
          </w:p>
        </w:tc>
        <w:tc>
          <w:tcPr>
            <w:tcW w:type="dxa" w:w="1900"/>
          </w:tcPr>
          <w:p>
            <w:pPr>
              <w:pStyle w:val="TableCell"/>
            </w:pPr>
            <w:r>
              <w:t xml:space="preserve">0.741 ± 0.018</w:t>
            </w:r>
          </w:p>
        </w:tc>
      </w:tr>
    </w:tbl>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000"/>
        <w:gridCol w:w="1000"/>
        <w:gridCol w:w="1000"/>
        <w:gridCol w:w="1000"/>
        <w:gridCol w:w="1000"/>
        <w:gridCol w:w="1900"/>
      </w:tblGrid>
      <w:tr>
        <w:tc>
          <w:tcPr>
            <w:tcW w:type="dxa" w:w="1500"/>
          </w:tcPr>
          <w:p>
            <w:pPr>
              <w:pStyle w:val="TableCell"/>
              <w:keepNext/>
            </w:pPr>
            <w:r>
              <w:rPr>
                <w:b/>
              </w:rPr>
              <w:t xml:space="preserve">Test-set tag F1</w:t>
            </w:r>
          </w:p>
        </w:tc>
        <w:tc>
          <w:tcPr>
            <w:tcW w:type="dxa" w:w="1000"/>
          </w:tcPr>
          <w:p>
            <w:pPr>
              <w:pStyle w:val="TableCell"/>
              <w:keepNext/>
            </w:pPr>
            <w:r>
              <w:rPr>
                <w:b/>
              </w:rPr>
              <w:t xml:space="preserve">Fold 0</w:t>
            </w:r>
          </w:p>
        </w:tc>
        <w:tc>
          <w:tcPr>
            <w:tcW w:type="dxa" w:w="1000"/>
          </w:tcPr>
          <w:p>
            <w:pPr>
              <w:pStyle w:val="TableCell"/>
              <w:keepNext/>
            </w:pPr>
            <w:r>
              <w:rPr>
                <w:b/>
              </w:rPr>
              <w:t xml:space="preserve">Fold 1</w:t>
            </w:r>
          </w:p>
        </w:tc>
        <w:tc>
          <w:tcPr>
            <w:tcW w:type="dxa" w:w="1000"/>
          </w:tcPr>
          <w:p>
            <w:pPr>
              <w:pStyle w:val="TableCell"/>
              <w:keepNext/>
            </w:pPr>
            <w:r>
              <w:rPr>
                <w:b/>
              </w:rPr>
              <w:t xml:space="preserve">Fold 2</w:t>
            </w:r>
          </w:p>
        </w:tc>
        <w:tc>
          <w:tcPr>
            <w:tcW w:type="dxa" w:w="1000"/>
          </w:tcPr>
          <w:p>
            <w:pPr>
              <w:pStyle w:val="TableCell"/>
              <w:keepNext/>
            </w:pPr>
            <w:r>
              <w:rPr>
                <w:b/>
              </w:rPr>
              <w:t xml:space="preserve">Fold 3</w:t>
            </w:r>
          </w:p>
        </w:tc>
        <w:tc>
          <w:tcPr>
            <w:tcW w:type="dxa" w:w="1000"/>
          </w:tcPr>
          <w:p>
            <w:pPr>
              <w:pStyle w:val="TableCell"/>
              <w:keepNext/>
            </w:pPr>
            <w:r>
              <w:rPr>
                <w:b/>
              </w:rPr>
              <w:t xml:space="preserve">Fold 4</w:t>
            </w:r>
          </w:p>
        </w:tc>
        <w:tc>
          <w:tcPr>
            <w:tcW w:type="dxa" w:w="1900"/>
          </w:tcPr>
          <w:p>
            <w:pPr>
              <w:pStyle w:val="TableCell"/>
              <w:keepNext/>
            </w:pPr>
            <w:r>
              <w:rPr>
                <w:b/>
              </w:rPr>
              <w:t xml:space="preserve">Mean ± std</w:t>
            </w:r>
          </w:p>
        </w:tc>
      </w:tr>
      <w:tr>
        <w:tc>
          <w:tcPr>
            <w:tcW w:type="dxa" w:w="1500"/>
          </w:tcPr>
          <w:p>
            <w:pPr>
              <w:pStyle w:val="TableCell"/>
              <w:keepNext/>
            </w:pPr>
            <w:r>
              <w:t xml:space="preserve">CE @512</w:t>
            </w:r>
          </w:p>
        </w:tc>
        <w:tc>
          <w:tcPr>
            <w:tcW w:type="dxa" w:w="1000"/>
          </w:tcPr>
          <w:p>
            <w:pPr>
              <w:pStyle w:val="TableCell"/>
              <w:keepNext/>
            </w:pPr>
            <w:r>
              <w:t xml:space="preserve">0.700</w:t>
            </w:r>
          </w:p>
        </w:tc>
        <w:tc>
          <w:tcPr>
            <w:tcW w:type="dxa" w:w="1000"/>
          </w:tcPr>
          <w:p>
            <w:pPr>
              <w:pStyle w:val="TableCell"/>
              <w:keepNext/>
            </w:pPr>
            <w:r>
              <w:t xml:space="preserve">0.673</w:t>
            </w:r>
          </w:p>
        </w:tc>
        <w:tc>
          <w:tcPr>
            <w:tcW w:type="dxa" w:w="1000"/>
          </w:tcPr>
          <w:p>
            <w:pPr>
              <w:pStyle w:val="TableCell"/>
              <w:keepNext/>
            </w:pPr>
            <w:r>
              <w:t xml:space="preserve">0.677</w:t>
            </w:r>
          </w:p>
        </w:tc>
        <w:tc>
          <w:tcPr>
            <w:tcW w:type="dxa" w:w="1000"/>
          </w:tcPr>
          <w:p>
            <w:pPr>
              <w:pStyle w:val="TableCell"/>
              <w:keepNext/>
            </w:pPr>
            <w:r>
              <w:t xml:space="preserve">0.699</w:t>
            </w:r>
          </w:p>
        </w:tc>
        <w:tc>
          <w:tcPr>
            <w:tcW w:type="dxa" w:w="1000"/>
          </w:tcPr>
          <w:p>
            <w:pPr>
              <w:pStyle w:val="TableCell"/>
              <w:keepNext/>
            </w:pPr>
            <w:r>
              <w:t xml:space="preserve">0.684</w:t>
            </w:r>
          </w:p>
        </w:tc>
        <w:tc>
          <w:tcPr>
            <w:tcW w:type="dxa" w:w="1900"/>
          </w:tcPr>
          <w:p>
            <w:pPr>
              <w:pStyle w:val="TableCell"/>
              <w:keepNext/>
            </w:pPr>
            <w:r>
              <w:t xml:space="preserve">0.687 ± 0.011</w:t>
            </w:r>
          </w:p>
        </w:tc>
      </w:tr>
      <w:tr>
        <w:tc>
          <w:tcPr>
            <w:tcW w:type="dxa" w:w="1500"/>
          </w:tcPr>
          <w:p>
            <w:pPr>
              <w:pStyle w:val="TableCell"/>
              <w:keepNext/>
            </w:pPr>
            <w:r>
              <w:t xml:space="preserve">I-CE @512</w:t>
            </w:r>
          </w:p>
        </w:tc>
        <w:tc>
          <w:tcPr>
            <w:tcW w:type="dxa" w:w="1000"/>
          </w:tcPr>
          <w:p>
            <w:pPr>
              <w:pStyle w:val="TableCell"/>
              <w:keepNext/>
            </w:pPr>
            <w:r>
              <w:t xml:space="preserve">0.712</w:t>
            </w:r>
          </w:p>
        </w:tc>
        <w:tc>
          <w:tcPr>
            <w:tcW w:type="dxa" w:w="1000"/>
          </w:tcPr>
          <w:p>
            <w:pPr>
              <w:pStyle w:val="TableCell"/>
              <w:keepNext/>
            </w:pPr>
            <w:r>
              <w:t xml:space="preserve">0.678</w:t>
            </w:r>
          </w:p>
        </w:tc>
        <w:tc>
          <w:tcPr>
            <w:tcW w:type="dxa" w:w="1000"/>
          </w:tcPr>
          <w:p>
            <w:pPr>
              <w:pStyle w:val="TableCell"/>
              <w:keepNext/>
            </w:pPr>
            <w:r>
              <w:t xml:space="preserve">0.679</w:t>
            </w:r>
          </w:p>
        </w:tc>
        <w:tc>
          <w:tcPr>
            <w:tcW w:type="dxa" w:w="1000"/>
          </w:tcPr>
          <w:p>
            <w:pPr>
              <w:pStyle w:val="TableCell"/>
              <w:keepNext/>
            </w:pPr>
            <w:r>
              <w:t xml:space="preserve">0.691</w:t>
            </w:r>
          </w:p>
        </w:tc>
        <w:tc>
          <w:tcPr>
            <w:tcW w:type="dxa" w:w="1000"/>
          </w:tcPr>
          <w:p>
            <w:pPr>
              <w:pStyle w:val="TableCell"/>
              <w:keepNext/>
            </w:pPr>
            <w:r>
              <w:t xml:space="preserve">0.698</w:t>
            </w:r>
          </w:p>
        </w:tc>
        <w:tc>
          <w:tcPr>
            <w:tcW w:type="dxa" w:w="1900"/>
          </w:tcPr>
          <w:p>
            <w:pPr>
              <w:pStyle w:val="TableCell"/>
              <w:keepNext/>
            </w:pPr>
            <w:r>
              <w:t xml:space="preserve">0.692 ± 0.013</w:t>
            </w:r>
          </w:p>
        </w:tc>
      </w:tr>
      <w:tr>
        <w:tc>
          <w:tcPr>
            <w:tcW w:type="dxa" w:w="1500"/>
          </w:tcPr>
          <w:p>
            <w:pPr>
              <w:pStyle w:val="TableCell"/>
              <w:keepNext/>
            </w:pPr>
            <w:r>
              <w:t xml:space="preserve">CE @1,024</w:t>
            </w:r>
          </w:p>
        </w:tc>
        <w:tc>
          <w:tcPr>
            <w:tcW w:type="dxa" w:w="1000"/>
          </w:tcPr>
          <w:p>
            <w:pPr>
              <w:pStyle w:val="TableCell"/>
              <w:keepNext/>
            </w:pPr>
            <w:r>
              <w:t xml:space="preserve">0.678</w:t>
            </w:r>
          </w:p>
        </w:tc>
        <w:tc>
          <w:tcPr>
            <w:tcW w:type="dxa" w:w="1000"/>
          </w:tcPr>
          <w:p>
            <w:pPr>
              <w:pStyle w:val="TableCell"/>
              <w:keepNext/>
            </w:pPr>
            <w:r>
              <w:t xml:space="preserve">0.649</w:t>
            </w:r>
          </w:p>
        </w:tc>
        <w:tc>
          <w:tcPr>
            <w:tcW w:type="dxa" w:w="1000"/>
          </w:tcPr>
          <w:p>
            <w:pPr>
              <w:pStyle w:val="TableCell"/>
              <w:keepNext/>
            </w:pPr>
            <w:r>
              <w:t xml:space="preserve">0.667</w:t>
            </w:r>
          </w:p>
        </w:tc>
        <w:tc>
          <w:tcPr>
            <w:tcW w:type="dxa" w:w="1000"/>
          </w:tcPr>
          <w:p>
            <w:pPr>
              <w:pStyle w:val="TableCell"/>
              <w:keepNext/>
            </w:pPr>
            <w:r>
              <w:t xml:space="preserve">0.658</w:t>
            </w:r>
          </w:p>
        </w:tc>
        <w:tc>
          <w:tcPr>
            <w:tcW w:type="dxa" w:w="1000"/>
          </w:tcPr>
          <w:p>
            <w:pPr>
              <w:pStyle w:val="TableCell"/>
              <w:keepNext/>
            </w:pPr>
            <w:r>
              <w:t xml:space="preserve">0.686</w:t>
            </w:r>
          </w:p>
        </w:tc>
        <w:tc>
          <w:tcPr>
            <w:tcW w:type="dxa" w:w="1900"/>
          </w:tcPr>
          <w:p>
            <w:pPr>
              <w:pStyle w:val="TableCell"/>
              <w:keepNext/>
            </w:pPr>
            <w:r>
              <w:t xml:space="preserve">0.668 ± 0.013</w:t>
            </w:r>
          </w:p>
        </w:tc>
      </w:tr>
      <w:tr>
        <w:tc>
          <w:tcPr>
            <w:tcW w:type="dxa" w:w="1500"/>
          </w:tcPr>
          <w:p>
            <w:pPr>
              <w:pStyle w:val="TableCell"/>
              <w:keepNext/>
            </w:pPr>
            <w:r>
              <w:t xml:space="preserve">I-CE @1,024</w:t>
            </w:r>
          </w:p>
        </w:tc>
        <w:tc>
          <w:tcPr>
            <w:tcW w:type="dxa" w:w="1000"/>
          </w:tcPr>
          <w:p>
            <w:pPr>
              <w:pStyle w:val="TableCell"/>
              <w:keepNext/>
            </w:pPr>
            <w:r>
              <w:t xml:space="preserve">0.714</w:t>
            </w:r>
          </w:p>
        </w:tc>
        <w:tc>
          <w:tcPr>
            <w:tcW w:type="dxa" w:w="1000"/>
          </w:tcPr>
          <w:p>
            <w:pPr>
              <w:pStyle w:val="TableCell"/>
              <w:keepNext/>
            </w:pPr>
            <w:r>
              <w:t xml:space="preserve">0.657</w:t>
            </w:r>
          </w:p>
        </w:tc>
        <w:tc>
          <w:tcPr>
            <w:tcW w:type="dxa" w:w="1000"/>
          </w:tcPr>
          <w:p>
            <w:pPr>
              <w:pStyle w:val="TableCell"/>
              <w:keepNext/>
            </w:pPr>
            <w:r>
              <w:t xml:space="preserve">0.678</w:t>
            </w:r>
          </w:p>
        </w:tc>
        <w:tc>
          <w:tcPr>
            <w:tcW w:type="dxa" w:w="1000"/>
          </w:tcPr>
          <w:p>
            <w:pPr>
              <w:pStyle w:val="TableCell"/>
              <w:keepNext/>
            </w:pPr>
            <w:r>
              <w:t xml:space="preserve">0.702</w:t>
            </w:r>
          </w:p>
        </w:tc>
        <w:tc>
          <w:tcPr>
            <w:tcW w:type="dxa" w:w="1000"/>
          </w:tcPr>
          <w:p>
            <w:pPr>
              <w:pStyle w:val="TableCell"/>
              <w:keepNext/>
            </w:pPr>
            <w:r>
              <w:t xml:space="preserve">0.714</w:t>
            </w:r>
          </w:p>
        </w:tc>
        <w:tc>
          <w:tcPr>
            <w:tcW w:type="dxa" w:w="1900"/>
          </w:tcPr>
          <w:p>
            <w:pPr>
              <w:pStyle w:val="TableCell"/>
              <w:keepNext/>
            </w:pPr>
            <w:r>
              <w:t xml:space="preserve">0.693 ± 0.022</w:t>
            </w:r>
          </w:p>
        </w:tc>
      </w:tr>
      <w:tr>
        <w:tc>
          <w:tcPr>
            <w:tcW w:type="dxa" w:w="1500"/>
          </w:tcPr>
          <w:p>
            <w:pPr>
              <w:pStyle w:val="TableCell"/>
              <w:keepNext/>
            </w:pPr>
            <w:r>
              <w:t xml:space="preserve">CE @2,048</w:t>
            </w:r>
          </w:p>
        </w:tc>
        <w:tc>
          <w:tcPr>
            <w:tcW w:type="dxa" w:w="1000"/>
          </w:tcPr>
          <w:p>
            <w:pPr>
              <w:pStyle w:val="TableCell"/>
              <w:keepNext/>
            </w:pPr>
            <w:r>
              <w:t xml:space="preserve">0.670</w:t>
            </w:r>
          </w:p>
        </w:tc>
        <w:tc>
          <w:tcPr>
            <w:tcW w:type="dxa" w:w="1000"/>
          </w:tcPr>
          <w:p>
            <w:pPr>
              <w:pStyle w:val="TableCell"/>
              <w:keepNext/>
            </w:pPr>
            <w:r>
              <w:t xml:space="preserve">0.630</w:t>
            </w:r>
          </w:p>
        </w:tc>
        <w:tc>
          <w:tcPr>
            <w:tcW w:type="dxa" w:w="1000"/>
          </w:tcPr>
          <w:p>
            <w:pPr>
              <w:pStyle w:val="TableCell"/>
              <w:keepNext/>
            </w:pPr>
            <w:r>
              <w:t xml:space="preserve">0.653</w:t>
            </w:r>
          </w:p>
        </w:tc>
        <w:tc>
          <w:tcPr>
            <w:tcW w:type="dxa" w:w="1000"/>
          </w:tcPr>
          <w:p>
            <w:pPr>
              <w:pStyle w:val="TableCell"/>
              <w:keepNext/>
            </w:pPr>
            <w:r>
              <w:t xml:space="preserve">0.664</w:t>
            </w:r>
          </w:p>
        </w:tc>
        <w:tc>
          <w:tcPr>
            <w:tcW w:type="dxa" w:w="1000"/>
          </w:tcPr>
          <w:p>
            <w:pPr>
              <w:pStyle w:val="TableCell"/>
              <w:keepNext/>
            </w:pPr>
            <w:r>
              <w:t xml:space="preserve">0.665</w:t>
            </w:r>
          </w:p>
        </w:tc>
        <w:tc>
          <w:tcPr>
            <w:tcW w:type="dxa" w:w="1900"/>
          </w:tcPr>
          <w:p>
            <w:pPr>
              <w:pStyle w:val="TableCell"/>
              <w:keepNext/>
            </w:pPr>
            <w:r>
              <w:t xml:space="preserve">0.657 ± 0.014</w:t>
            </w:r>
          </w:p>
        </w:tc>
      </w:tr>
      <w:tr>
        <w:tc>
          <w:tcPr>
            <w:tcW w:type="dxa" w:w="1500"/>
          </w:tcPr>
          <w:p>
            <w:pPr>
              <w:pStyle w:val="TableCell"/>
              <w:keepNext/>
            </w:pPr>
            <w:r>
              <w:t xml:space="preserve">I-CE @2,048</w:t>
            </w:r>
          </w:p>
        </w:tc>
        <w:tc>
          <w:tcPr>
            <w:tcW w:type="dxa" w:w="1000"/>
          </w:tcPr>
          <w:p>
            <w:pPr>
              <w:pStyle w:val="TableCell"/>
              <w:keepNext/>
            </w:pPr>
            <w:r>
              <w:t xml:space="preserve">0.686</w:t>
            </w:r>
          </w:p>
        </w:tc>
        <w:tc>
          <w:tcPr>
            <w:tcW w:type="dxa" w:w="1000"/>
          </w:tcPr>
          <w:p>
            <w:pPr>
              <w:pStyle w:val="TableCell"/>
              <w:keepNext/>
            </w:pPr>
            <w:r>
              <w:t xml:space="preserve">0.666</w:t>
            </w:r>
          </w:p>
        </w:tc>
        <w:tc>
          <w:tcPr>
            <w:tcW w:type="dxa" w:w="1000"/>
          </w:tcPr>
          <w:p>
            <w:pPr>
              <w:pStyle w:val="TableCell"/>
              <w:keepNext/>
            </w:pPr>
            <w:r>
              <w:t xml:space="preserve">0.673</w:t>
            </w:r>
          </w:p>
        </w:tc>
        <w:tc>
          <w:tcPr>
            <w:tcW w:type="dxa" w:w="1000"/>
          </w:tcPr>
          <w:p>
            <w:pPr>
              <w:pStyle w:val="TableCell"/>
              <w:keepNext/>
            </w:pPr>
            <w:r>
              <w:t xml:space="preserve">0.701</w:t>
            </w:r>
          </w:p>
        </w:tc>
        <w:tc>
          <w:tcPr>
            <w:tcW w:type="dxa" w:w="1000"/>
          </w:tcPr>
          <w:p>
            <w:pPr>
              <w:pStyle w:val="TableCell"/>
              <w:keepNext/>
            </w:pPr>
            <w:r>
              <w:t xml:space="preserve">0.695</w:t>
            </w:r>
          </w:p>
        </w:tc>
        <w:tc>
          <w:tcPr>
            <w:tcW w:type="dxa" w:w="1900"/>
          </w:tcPr>
          <w:p>
            <w:pPr>
              <w:pStyle w:val="TableCell"/>
              <w:keepNext/>
            </w:pPr>
            <w:r>
              <w:t xml:space="preserve">0.684 ± 0.013</w:t>
            </w:r>
          </w:p>
        </w:tc>
      </w:tr>
      <w:tr>
        <w:tc>
          <w:tcPr>
            <w:tcW w:type="dxa" w:w="1500"/>
          </w:tcPr>
          <w:p>
            <w:pPr>
              <w:pStyle w:val="TableCell"/>
              <w:keepNext/>
            </w:pPr>
            <w:r>
              <w:t xml:space="preserve">CE @4,096</w:t>
            </w:r>
          </w:p>
        </w:tc>
        <w:tc>
          <w:tcPr>
            <w:tcW w:type="dxa" w:w="1000"/>
          </w:tcPr>
          <w:p>
            <w:pPr>
              <w:pStyle w:val="TableCell"/>
              <w:keepNext/>
            </w:pPr>
            <w:r>
              <w:t xml:space="preserve">0.681</w:t>
            </w:r>
          </w:p>
        </w:tc>
        <w:tc>
          <w:tcPr>
            <w:tcW w:type="dxa" w:w="1000"/>
          </w:tcPr>
          <w:p>
            <w:pPr>
              <w:pStyle w:val="TableCell"/>
              <w:keepNext/>
            </w:pPr>
            <w:r>
              <w:t xml:space="preserve">0.667</w:t>
            </w:r>
          </w:p>
        </w:tc>
        <w:tc>
          <w:tcPr>
            <w:tcW w:type="dxa" w:w="1000"/>
          </w:tcPr>
          <w:p>
            <w:pPr>
              <w:pStyle w:val="TableCell"/>
              <w:keepNext/>
            </w:pPr>
            <w:r>
              <w:t xml:space="preserve">0.649</w:t>
            </w:r>
          </w:p>
        </w:tc>
        <w:tc>
          <w:tcPr>
            <w:tcW w:type="dxa" w:w="1000"/>
          </w:tcPr>
          <w:p>
            <w:pPr>
              <w:pStyle w:val="TableCell"/>
              <w:keepNext/>
            </w:pPr>
            <w:r>
              <w:t xml:space="preserve">0.681</w:t>
            </w:r>
          </w:p>
        </w:tc>
        <w:tc>
          <w:tcPr>
            <w:tcW w:type="dxa" w:w="1000"/>
          </w:tcPr>
          <w:p>
            <w:pPr>
              <w:pStyle w:val="TableCell"/>
              <w:keepNext/>
            </w:pPr>
            <w:r>
              <w:t xml:space="preserve">0.642</w:t>
            </w:r>
          </w:p>
        </w:tc>
        <w:tc>
          <w:tcPr>
            <w:tcW w:type="dxa" w:w="1900"/>
          </w:tcPr>
          <w:p>
            <w:pPr>
              <w:pStyle w:val="TableCell"/>
              <w:keepNext/>
            </w:pPr>
            <w:r>
              <w:t xml:space="preserve">0.664 ± 0.016</w:t>
            </w:r>
          </w:p>
        </w:tc>
      </w:tr>
      <w:tr>
        <w:tc>
          <w:tcPr>
            <w:tcW w:type="dxa" w:w="1500"/>
          </w:tcPr>
          <w:p>
            <w:pPr>
              <w:pStyle w:val="TableCell"/>
            </w:pPr>
            <w:r>
              <w:t xml:space="preserve">I-CE @4,096</w:t>
            </w:r>
          </w:p>
        </w:tc>
        <w:tc>
          <w:tcPr>
            <w:tcW w:type="dxa" w:w="1000"/>
          </w:tcPr>
          <w:p>
            <w:pPr>
              <w:pStyle w:val="TableCell"/>
            </w:pPr>
            <w:r>
              <w:t xml:space="preserve">0.689</w:t>
            </w:r>
          </w:p>
        </w:tc>
        <w:tc>
          <w:tcPr>
            <w:tcW w:type="dxa" w:w="1000"/>
          </w:tcPr>
          <w:p>
            <w:pPr>
              <w:pStyle w:val="TableCell"/>
            </w:pPr>
            <w:r>
              <w:t xml:space="preserve">0.665</w:t>
            </w:r>
          </w:p>
        </w:tc>
        <w:tc>
          <w:tcPr>
            <w:tcW w:type="dxa" w:w="1000"/>
          </w:tcPr>
          <w:p>
            <w:pPr>
              <w:pStyle w:val="TableCell"/>
            </w:pPr>
            <w:r>
              <w:t xml:space="preserve">0.662</w:t>
            </w:r>
          </w:p>
        </w:tc>
        <w:tc>
          <w:tcPr>
            <w:tcW w:type="dxa" w:w="1000"/>
          </w:tcPr>
          <w:p>
            <w:pPr>
              <w:pStyle w:val="TableCell"/>
            </w:pPr>
            <w:r>
              <w:t xml:space="preserve">0.697</w:t>
            </w:r>
          </w:p>
        </w:tc>
        <w:tc>
          <w:tcPr>
            <w:tcW w:type="dxa" w:w="1000"/>
          </w:tcPr>
          <w:p>
            <w:pPr>
              <w:pStyle w:val="TableCell"/>
            </w:pPr>
            <w:r>
              <w:t xml:space="preserve">0.709</w:t>
            </w:r>
          </w:p>
        </w:tc>
        <w:tc>
          <w:tcPr>
            <w:tcW w:type="dxa" w:w="1900"/>
          </w:tcPr>
          <w:p>
            <w:pPr>
              <w:pStyle w:val="TableCell"/>
            </w:pPr>
            <w:r>
              <w:t xml:space="preserve">0.685 ± 0.019</w:t>
            </w:r>
          </w:p>
        </w:tc>
      </w:tr>
    </w:tbl>
    <w:p>
      <w:pPr>
        <w:pStyle w:val="AppendixH1"/>
      </w:pPr>
      <w:r>
        <w:t xml:space="preserve">APPENDIX L: THE TAG DEFICIT AS A REGISTER CROSSING</w:t>
      </w:r>
    </w:p>
    <w:p>
      <w:pPr>
        <w:pStyle w:val="PostHeadPara"/>
      </w:pPr>
      <w:r>
        <w:t xml:space="preserve">The tag probe of Section 5 is fit in one register and read in another, so its ranking of the towers mixes tag content with register transfer. Table A14 separates the two on the shipped rank-selected checkpoints, all five folds at the 4,096-sentence anchor budget, the only budget at which every tower of Table A3 exists (BYOL, the SimCLR-style arm and VICReg have no selected checkpoints at 512). The cross-register column is the shipped protocol unchanged: for each of the ten anchor draws behind Table A3, a ridge readout is fit on the 1,694 or 1,695 training-pool anchors (review register), its threshold is picked on validation-game anchors, and it is scored on the name-intact wiki-rewrite query vectors of the test games (document register), the ten micro-F1 values then averaged; recomputed from the shipped checkpoints, this column returns every tag entry of Table A3 exactly. The in-domain column changes one thing: the same ridge with the same threshold is scored on the test-game anchors of the same draw, so the two readings differ only in the register of the vectors read. Transfer loss is in-domain minus cross-register. The register offset is the norm of the mean anchor-to-query displacement over the training games of the fold that carry a wiki query (about 488 per fold), measured in the tower’s 128-d output space.</w:t>
      </w:r>
    </w:p>
    <w:p>
      <w:pPr>
        <w:pStyle w:val="TableCaption"/>
      </w:pPr>
      <w:r>
        <w:t xml:space="preserve">Table A14: Where the tag deficit lives (five folds at the 4,096-sentence anchor budget, shipped rank-selected checkpoints, ten anchor draws, mean ± std over folds). The cross-register column is the shipped readout of Section 5 and reproduces the tag column of Table A3; the in-domain column reuses that ridge and its threshold on test-game anchors. Rows are ordered by transfer loss. The margin column repeats Table 1 (fold-0, single draw). The frozen embedder is omitted: its readout runs in the 1,024-d input space and is not comparable to the 128-d towers.</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500"/>
        <w:gridCol w:w="950"/>
        <w:gridCol w:w="1250"/>
        <w:gridCol w:w="1250"/>
        <w:gridCol w:w="1050"/>
        <w:gridCol w:w="1100"/>
      </w:tblGrid>
      <w:tr>
        <w:tc>
          <w:tcPr>
            <w:tcW w:type="dxa" w:w="2500"/>
          </w:tcPr>
          <w:p>
            <w:pPr>
              <w:pStyle w:val="TableCell"/>
              <w:keepNext/>
            </w:pPr>
            <w:r>
              <w:rPr>
                <w:b/>
              </w:rPr>
              <w:t xml:space="preserve">Objective</w:t>
            </w:r>
          </w:p>
        </w:tc>
        <w:tc>
          <w:tcPr>
            <w:tcW w:type="dxa" w:w="950"/>
          </w:tcPr>
          <w:p>
            <w:pPr>
              <w:pStyle w:val="TableCell"/>
              <w:keepNext/>
            </w:pPr>
            <w:r>
              <w:rPr>
                <w:b/>
              </w:rPr>
              <w:t xml:space="preserve">NN margin (Table 1)</w:t>
            </w:r>
          </w:p>
        </w:tc>
        <w:tc>
          <w:tcPr>
            <w:tcW w:type="dxa" w:w="1250"/>
          </w:tcPr>
          <w:p>
            <w:pPr>
              <w:pStyle w:val="TableCell"/>
              <w:keepNext/>
            </w:pPr>
            <w:r>
              <w:rPr>
                <w:b/>
              </w:rPr>
              <w:t xml:space="preserve">Cross-register tag F1</w:t>
            </w:r>
          </w:p>
        </w:tc>
        <w:tc>
          <w:tcPr>
            <w:tcW w:type="dxa" w:w="1250"/>
          </w:tcPr>
          <w:p>
            <w:pPr>
              <w:pStyle w:val="TableCell"/>
              <w:keepNext/>
            </w:pPr>
            <w:r>
              <w:rPr>
                <w:b/>
              </w:rPr>
              <w:t xml:space="preserve">In-domain tag F1</w:t>
            </w:r>
          </w:p>
        </w:tc>
        <w:tc>
          <w:tcPr>
            <w:tcW w:type="dxa" w:w="1050"/>
          </w:tcPr>
          <w:p>
            <w:pPr>
              <w:pStyle w:val="TableCell"/>
              <w:keepNext/>
            </w:pPr>
            <w:r>
              <w:rPr>
                <w:b/>
              </w:rPr>
              <w:t xml:space="preserve">Transfer loss</w:t>
            </w:r>
          </w:p>
        </w:tc>
        <w:tc>
          <w:tcPr>
            <w:tcW w:type="dxa" w:w="1100"/>
          </w:tcPr>
          <w:p>
            <w:pPr>
              <w:pStyle w:val="TableCell"/>
              <w:keepNext/>
            </w:pPr>
            <w:r>
              <w:rPr>
                <w:b/>
              </w:rPr>
              <w:t xml:space="preserve">Register offset</w:t>
            </w:r>
          </w:p>
        </w:tc>
      </w:tr>
      <w:tr>
        <w:tc>
          <w:tcPr>
            <w:tcW w:type="dxa" w:w="2500"/>
          </w:tcPr>
          <w:p>
            <w:pPr>
              <w:pStyle w:val="TableCell"/>
              <w:keepNext/>
            </w:pPr>
            <w:r>
              <w:t xml:space="preserve">CE (contrast only)</w:t>
            </w:r>
          </w:p>
        </w:tc>
        <w:tc>
          <w:tcPr>
            <w:tcW w:type="dxa" w:w="950"/>
          </w:tcPr>
          <w:p>
            <w:pPr>
              <w:pStyle w:val="TableCell"/>
              <w:keepNext/>
            </w:pPr>
            <w:r>
              <w:t xml:space="preserve">0.191</w:t>
            </w:r>
          </w:p>
        </w:tc>
        <w:tc>
          <w:tcPr>
            <w:tcW w:type="dxa" w:w="1250"/>
          </w:tcPr>
          <w:p>
            <w:pPr>
              <w:pStyle w:val="TableCell"/>
              <w:keepNext/>
            </w:pPr>
            <w:r>
              <w:t xml:space="preserve">0.664 ± 0.016</w:t>
            </w:r>
          </w:p>
        </w:tc>
        <w:tc>
          <w:tcPr>
            <w:tcW w:type="dxa" w:w="1250"/>
          </w:tcPr>
          <w:p>
            <w:pPr>
              <w:pStyle w:val="TableCell"/>
              <w:keepNext/>
            </w:pPr>
            <w:r>
              <w:t xml:space="preserve">0.758 ± 0.024</w:t>
            </w:r>
          </w:p>
        </w:tc>
        <w:tc>
          <w:tcPr>
            <w:tcW w:type="dxa" w:w="1050"/>
          </w:tcPr>
          <w:p>
            <w:pPr>
              <w:pStyle w:val="TableCell"/>
              <w:keepNext/>
            </w:pPr>
            <w:r>
              <w:t xml:space="preserve">0.094</w:t>
            </w:r>
          </w:p>
        </w:tc>
        <w:tc>
          <w:tcPr>
            <w:tcW w:type="dxa" w:w="1100"/>
          </w:tcPr>
          <w:p>
            <w:pPr>
              <w:pStyle w:val="TableCell"/>
              <w:keepNext/>
            </w:pPr>
            <w:r>
              <w:t xml:space="preserve">0.297</w:t>
            </w:r>
          </w:p>
        </w:tc>
      </w:tr>
      <w:tr>
        <w:tc>
          <w:tcPr>
            <w:tcW w:type="dxa" w:w="2500"/>
          </w:tcPr>
          <w:p>
            <w:pPr>
              <w:pStyle w:val="TableCell"/>
              <w:keepNext/>
            </w:pPr>
            <w:r>
              <w:t xml:space="preserve">I-CE (ours)</w:t>
            </w:r>
          </w:p>
        </w:tc>
        <w:tc>
          <w:tcPr>
            <w:tcW w:type="dxa" w:w="950"/>
          </w:tcPr>
          <w:p>
            <w:pPr>
              <w:pStyle w:val="TableCell"/>
              <w:keepNext/>
            </w:pPr>
            <w:r>
              <w:t xml:space="preserve">0.176</w:t>
            </w:r>
          </w:p>
        </w:tc>
        <w:tc>
          <w:tcPr>
            <w:tcW w:type="dxa" w:w="1250"/>
          </w:tcPr>
          <w:p>
            <w:pPr>
              <w:pStyle w:val="TableCell"/>
              <w:keepNext/>
            </w:pPr>
            <w:r>
              <w:t xml:space="preserve">0.685 ± 0.019</w:t>
            </w:r>
          </w:p>
        </w:tc>
        <w:tc>
          <w:tcPr>
            <w:tcW w:type="dxa" w:w="1250"/>
          </w:tcPr>
          <w:p>
            <w:pPr>
              <w:pStyle w:val="TableCell"/>
              <w:keepNext/>
            </w:pPr>
            <w:r>
              <w:t xml:space="preserve">0.763 ± 0.019</w:t>
            </w:r>
          </w:p>
        </w:tc>
        <w:tc>
          <w:tcPr>
            <w:tcW w:type="dxa" w:w="1050"/>
          </w:tcPr>
          <w:p>
            <w:pPr>
              <w:pStyle w:val="TableCell"/>
              <w:keepNext/>
            </w:pPr>
            <w:r>
              <w:t xml:space="preserve">0.078</w:t>
            </w:r>
          </w:p>
        </w:tc>
        <w:tc>
          <w:tcPr>
            <w:tcW w:type="dxa" w:w="1100"/>
          </w:tcPr>
          <w:p>
            <w:pPr>
              <w:pStyle w:val="TableCell"/>
              <w:keepNext/>
            </w:pPr>
            <w:r>
              <w:t xml:space="preserve">0.217</w:t>
            </w:r>
          </w:p>
        </w:tc>
      </w:tr>
      <w:tr>
        <w:tc>
          <w:tcPr>
            <w:tcW w:type="dxa" w:w="2500"/>
          </w:tcPr>
          <w:p>
            <w:pPr>
              <w:pStyle w:val="TableCell"/>
              <w:keepNext/>
            </w:pPr>
            <w:r>
              <w:t xml:space="preserve">SimCLR-style (in-batch views)</w:t>
            </w:r>
          </w:p>
        </w:tc>
        <w:tc>
          <w:tcPr>
            <w:tcW w:type="dxa" w:w="950"/>
          </w:tcPr>
          <w:p>
            <w:pPr>
              <w:pStyle w:val="TableCell"/>
              <w:keepNext/>
            </w:pPr>
            <w:r>
              <w:t xml:space="preserve">0.106</w:t>
            </w:r>
          </w:p>
        </w:tc>
        <w:tc>
          <w:tcPr>
            <w:tcW w:type="dxa" w:w="1250"/>
          </w:tcPr>
          <w:p>
            <w:pPr>
              <w:pStyle w:val="TableCell"/>
              <w:keepNext/>
            </w:pPr>
            <w:r>
              <w:t xml:space="preserve">0.707 ± 0.019</w:t>
            </w:r>
          </w:p>
        </w:tc>
        <w:tc>
          <w:tcPr>
            <w:tcW w:type="dxa" w:w="1250"/>
          </w:tcPr>
          <w:p>
            <w:pPr>
              <w:pStyle w:val="TableCell"/>
              <w:keepNext/>
            </w:pPr>
            <w:r>
              <w:t xml:space="preserve">0.753 ± 0.015</w:t>
            </w:r>
          </w:p>
        </w:tc>
        <w:tc>
          <w:tcPr>
            <w:tcW w:type="dxa" w:w="1050"/>
          </w:tcPr>
          <w:p>
            <w:pPr>
              <w:pStyle w:val="TableCell"/>
              <w:keepNext/>
            </w:pPr>
            <w:r>
              <w:t xml:space="preserve">0.046</w:t>
            </w:r>
          </w:p>
        </w:tc>
        <w:tc>
          <w:tcPr>
            <w:tcW w:type="dxa" w:w="1100"/>
          </w:tcPr>
          <w:p>
            <w:pPr>
              <w:pStyle w:val="TableCell"/>
              <w:keepNext/>
            </w:pPr>
            <w:r>
              <w:t xml:space="preserve">0.075</w:t>
            </w:r>
          </w:p>
        </w:tc>
      </w:tr>
      <w:tr>
        <w:tc>
          <w:tcPr>
            <w:tcW w:type="dxa" w:w="2500"/>
          </w:tcPr>
          <w:p>
            <w:pPr>
              <w:pStyle w:val="TableCell"/>
              <w:keepNext/>
            </w:pPr>
            <w:r>
              <w:t xml:space="preserve">VICReg (v/i/c = 20/10/20)</w:t>
            </w:r>
          </w:p>
        </w:tc>
        <w:tc>
          <w:tcPr>
            <w:tcW w:type="dxa" w:w="950"/>
          </w:tcPr>
          <w:p>
            <w:pPr>
              <w:pStyle w:val="TableCell"/>
              <w:keepNext/>
            </w:pPr>
            <w:r>
              <w:t xml:space="preserve">0.108</w:t>
            </w:r>
          </w:p>
        </w:tc>
        <w:tc>
          <w:tcPr>
            <w:tcW w:type="dxa" w:w="1250"/>
          </w:tcPr>
          <w:p>
            <w:pPr>
              <w:pStyle w:val="TableCell"/>
              <w:keepNext/>
            </w:pPr>
            <w:r>
              <w:t xml:space="preserve">0.708 ± 0.022</w:t>
            </w:r>
          </w:p>
        </w:tc>
        <w:tc>
          <w:tcPr>
            <w:tcW w:type="dxa" w:w="1250"/>
          </w:tcPr>
          <w:p>
            <w:pPr>
              <w:pStyle w:val="TableCell"/>
              <w:keepNext/>
            </w:pPr>
            <w:r>
              <w:t xml:space="preserve">0.743 ± 0.016</w:t>
            </w:r>
          </w:p>
        </w:tc>
        <w:tc>
          <w:tcPr>
            <w:tcW w:type="dxa" w:w="1050"/>
          </w:tcPr>
          <w:p>
            <w:pPr>
              <w:pStyle w:val="TableCell"/>
              <w:keepNext/>
            </w:pPr>
            <w:r>
              <w:t xml:space="preserve">0.034</w:t>
            </w:r>
          </w:p>
        </w:tc>
        <w:tc>
          <w:tcPr>
            <w:tcW w:type="dxa" w:w="1100"/>
          </w:tcPr>
          <w:p>
            <w:pPr>
              <w:pStyle w:val="TableCell"/>
              <w:keepNext/>
            </w:pPr>
            <w:r>
              <w:t xml:space="preserve">0.141</w:t>
            </w:r>
          </w:p>
        </w:tc>
      </w:tr>
      <w:tr>
        <w:tc>
          <w:tcPr>
            <w:tcW w:type="dxa" w:w="2500"/>
          </w:tcPr>
          <w:p>
            <w:pPr>
              <w:pStyle w:val="TableCell"/>
            </w:pPr>
            <w:r>
              <w:t xml:space="preserve">BYOL</w:t>
            </w:r>
          </w:p>
        </w:tc>
        <w:tc>
          <w:tcPr>
            <w:tcW w:type="dxa" w:w="950"/>
          </w:tcPr>
          <w:p>
            <w:pPr>
              <w:pStyle w:val="TableCell"/>
            </w:pPr>
            <w:r>
              <w:t xml:space="preserve">0.047</w:t>
            </w:r>
          </w:p>
        </w:tc>
        <w:tc>
          <w:tcPr>
            <w:tcW w:type="dxa" w:w="1250"/>
          </w:tcPr>
          <w:p>
            <w:pPr>
              <w:pStyle w:val="TableCell"/>
            </w:pPr>
            <w:r>
              <w:t xml:space="preserve">0.712 ± 0.017</w:t>
            </w:r>
          </w:p>
        </w:tc>
        <w:tc>
          <w:tcPr>
            <w:tcW w:type="dxa" w:w="1250"/>
          </w:tcPr>
          <w:p>
            <w:pPr>
              <w:pStyle w:val="TableCell"/>
            </w:pPr>
            <w:r>
              <w:t xml:space="preserve">0.734 ± 0.016</w:t>
            </w:r>
          </w:p>
        </w:tc>
        <w:tc>
          <w:tcPr>
            <w:tcW w:type="dxa" w:w="1050"/>
          </w:tcPr>
          <w:p>
            <w:pPr>
              <w:pStyle w:val="TableCell"/>
            </w:pPr>
            <w:r>
              <w:t xml:space="preserve">0.022</w:t>
            </w:r>
          </w:p>
        </w:tc>
        <w:tc>
          <w:tcPr>
            <w:tcW w:type="dxa" w:w="1100"/>
          </w:tcPr>
          <w:p>
            <w:pPr>
              <w:pStyle w:val="TableCell"/>
            </w:pPr>
            <w:r>
              <w:t xml:space="preserve">0.045</w:t>
            </w:r>
          </w:p>
        </w:tc>
      </w:tr>
    </w:tbl>
    <w:p>
      <w:pPr>
        <w:pStyle w:val="Para"/>
      </w:pPr>
      <w:r>
        <w:t xml:space="preserve">Table A15 gives the paired differences behind the body’s claims: the cross-register deficit holds against all four negative-light towers in every fold, and the in-domain reversal holds against the three towers of Figure 4 and not against CE, which the body states accordingly.</w:t>
      </w:r>
    </w:p>
    <w:p>
      <w:pPr>
        <w:pStyle w:val="TableCaption"/>
      </w:pPr>
      <w:r>
        <w:t xml:space="preserve">Table A15: Paired differences across the five folds, I-CE minus the named tower, at the 4,096-sentence budget: the cross-register readout of Section 5 and the in-domain readout of Table A14, with the paired </w:t>
      </w:r>
      <m:oMath>
        <m:r>
          <w:rPr>
            <w:rFonts w:ascii="Cambria Math" w:hAnsi="Cambria Math"/>
          </w:rPr>
          <m:t xml:space="preserve">t</m:t>
        </m:r>
      </m:oMath>
      <w:r>
        <w:t xml:space="preserve"> (four degrees of freedom) and the folds I-CE wins. The EMA + memory-bank tower of Table A7 has the cross-register reading only; its in-domain readout was not measured.</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600"/>
        <w:gridCol w:w="1600"/>
        <w:gridCol w:w="800"/>
        <w:gridCol w:w="1000"/>
        <w:gridCol w:w="1600"/>
        <w:gridCol w:w="800"/>
        <w:gridCol w:w="1000"/>
      </w:tblGrid>
      <w:tr>
        <w:tc>
          <w:tcPr>
            <w:tcW w:type="dxa" w:w="1600"/>
          </w:tcPr>
          <w:p>
            <w:pPr>
              <w:pStyle w:val="TableCell"/>
              <w:keepNext/>
            </w:pPr>
            <w:r>
              <w:rPr>
                <w:b/>
              </w:rPr>
              <w:t xml:space="preserve">I-CE minus</w:t>
            </w:r>
          </w:p>
        </w:tc>
        <w:tc>
          <w:tcPr>
            <w:tcW w:type="dxa" w:w="1600"/>
          </w:tcPr>
          <w:p>
            <w:pPr>
              <w:pStyle w:val="TableCell"/>
              <w:keepNext/>
            </w:pPr>
            <w:r>
              <w:rPr>
                <w:b/>
              </w:rPr>
              <w:t xml:space="preserve">Cross-register Δ</w:t>
            </w:r>
          </w:p>
        </w:tc>
        <w:tc>
          <w:tcPr>
            <w:tcW w:type="dxa" w:w="800"/>
          </w:tcPr>
          <w:p>
            <w:pPr>
              <w:pStyle w:val="TableCell"/>
              <w:keepNext/>
            </w:pPr>
            <w:r>
              <w:rPr>
                <w:b/>
              </w:rPr>
              <w:t xml:space="preserve">t</w:t>
            </w:r>
          </w:p>
        </w:tc>
        <w:tc>
          <w:tcPr>
            <w:tcW w:type="dxa" w:w="1000"/>
          </w:tcPr>
          <w:p>
            <w:pPr>
              <w:pStyle w:val="TableCell"/>
              <w:keepNext/>
            </w:pPr>
            <w:r>
              <w:rPr>
                <w:b/>
              </w:rPr>
              <w:t xml:space="preserve">Folds won</w:t>
            </w:r>
          </w:p>
        </w:tc>
        <w:tc>
          <w:tcPr>
            <w:tcW w:type="dxa" w:w="1600"/>
          </w:tcPr>
          <w:p>
            <w:pPr>
              <w:pStyle w:val="TableCell"/>
              <w:keepNext/>
            </w:pPr>
            <w:r>
              <w:rPr>
                <w:b/>
              </w:rPr>
              <w:t xml:space="preserve">In-domain Δ</w:t>
            </w:r>
          </w:p>
        </w:tc>
        <w:tc>
          <w:tcPr>
            <w:tcW w:type="dxa" w:w="800"/>
          </w:tcPr>
          <w:p>
            <w:pPr>
              <w:pStyle w:val="TableCell"/>
              <w:keepNext/>
            </w:pPr>
            <w:r>
              <w:rPr>
                <w:b/>
              </w:rPr>
              <w:t xml:space="preserve">t</w:t>
            </w:r>
          </w:p>
        </w:tc>
        <w:tc>
          <w:tcPr>
            <w:tcW w:type="dxa" w:w="1000"/>
          </w:tcPr>
          <w:p>
            <w:pPr>
              <w:pStyle w:val="TableCell"/>
              <w:keepNext/>
            </w:pPr>
            <w:r>
              <w:rPr>
                <w:b/>
              </w:rPr>
              <w:t xml:space="preserve">Folds won</w:t>
            </w:r>
          </w:p>
        </w:tc>
      </w:tr>
      <w:tr>
        <w:tc>
          <w:tcPr>
            <w:tcW w:type="dxa" w:w="1600"/>
          </w:tcPr>
          <w:p>
            <w:pPr>
              <w:pStyle w:val="TableCell"/>
              <w:keepNext/>
            </w:pPr>
            <w:r>
              <w:t xml:space="preserve">BYOL</w:t>
            </w:r>
          </w:p>
        </w:tc>
        <w:tc>
          <w:tcPr>
            <w:tcW w:type="dxa" w:w="1600"/>
          </w:tcPr>
          <w:p>
            <w:pPr>
              <w:pStyle w:val="TableCell"/>
              <w:keepNext/>
            </w:pPr>
            <w:r>
              <w:t xml:space="preserve">−0.028</w:t>
            </w:r>
          </w:p>
        </w:tc>
        <w:tc>
          <w:tcPr>
            <w:tcW w:type="dxa" w:w="800"/>
          </w:tcPr>
          <w:p>
            <w:pPr>
              <w:pStyle w:val="TableCell"/>
              <w:keepNext/>
            </w:pPr>
            <w:r>
              <w:t xml:space="preserve">−3.74</w:t>
            </w:r>
          </w:p>
        </w:tc>
        <w:tc>
          <w:tcPr>
            <w:tcW w:type="dxa" w:w="1000"/>
          </w:tcPr>
          <w:p>
            <w:pPr>
              <w:pStyle w:val="TableCell"/>
              <w:keepNext/>
            </w:pPr>
            <w:r>
              <w:t xml:space="preserve">0 of 5</w:t>
            </w:r>
          </w:p>
        </w:tc>
        <w:tc>
          <w:tcPr>
            <w:tcW w:type="dxa" w:w="1600"/>
          </w:tcPr>
          <w:p>
            <w:pPr>
              <w:pStyle w:val="TableCell"/>
              <w:keepNext/>
            </w:pPr>
            <w:r>
              <w:t xml:space="preserve">+0.029</w:t>
            </w:r>
          </w:p>
        </w:tc>
        <w:tc>
          <w:tcPr>
            <w:tcW w:type="dxa" w:w="800"/>
          </w:tcPr>
          <w:p>
            <w:pPr>
              <w:pStyle w:val="TableCell"/>
              <w:keepNext/>
            </w:pPr>
            <w:r>
              <w:t xml:space="preserve">9.41</w:t>
            </w:r>
          </w:p>
        </w:tc>
        <w:tc>
          <w:tcPr>
            <w:tcW w:type="dxa" w:w="1000"/>
          </w:tcPr>
          <w:p>
            <w:pPr>
              <w:pStyle w:val="TableCell"/>
              <w:keepNext/>
            </w:pPr>
            <w:r>
              <w:t xml:space="preserve">5 of 5</w:t>
            </w:r>
          </w:p>
        </w:tc>
      </w:tr>
      <w:tr>
        <w:tc>
          <w:tcPr>
            <w:tcW w:type="dxa" w:w="1600"/>
          </w:tcPr>
          <w:p>
            <w:pPr>
              <w:pStyle w:val="TableCell"/>
              <w:keepNext/>
            </w:pPr>
            <w:r>
              <w:t xml:space="preserve">VICReg</w:t>
            </w:r>
          </w:p>
        </w:tc>
        <w:tc>
          <w:tcPr>
            <w:tcW w:type="dxa" w:w="1600"/>
          </w:tcPr>
          <w:p>
            <w:pPr>
              <w:pStyle w:val="TableCell"/>
              <w:keepNext/>
            </w:pPr>
            <w:r>
              <w:t xml:space="preserve">−0.024</w:t>
            </w:r>
          </w:p>
        </w:tc>
        <w:tc>
          <w:tcPr>
            <w:tcW w:type="dxa" w:w="800"/>
          </w:tcPr>
          <w:p>
            <w:pPr>
              <w:pStyle w:val="TableCell"/>
              <w:keepNext/>
            </w:pPr>
            <w:r>
              <w:t xml:space="preserve">−3.56</w:t>
            </w:r>
          </w:p>
        </w:tc>
        <w:tc>
          <w:tcPr>
            <w:tcW w:type="dxa" w:w="1000"/>
          </w:tcPr>
          <w:p>
            <w:pPr>
              <w:pStyle w:val="TableCell"/>
              <w:keepNext/>
            </w:pPr>
            <w:r>
              <w:t xml:space="preserve">0 of 5</w:t>
            </w:r>
          </w:p>
        </w:tc>
        <w:tc>
          <w:tcPr>
            <w:tcW w:type="dxa" w:w="1600"/>
          </w:tcPr>
          <w:p>
            <w:pPr>
              <w:pStyle w:val="TableCell"/>
              <w:keepNext/>
            </w:pPr>
            <w:r>
              <w:t xml:space="preserve">+0.020</w:t>
            </w:r>
          </w:p>
        </w:tc>
        <w:tc>
          <w:tcPr>
            <w:tcW w:type="dxa" w:w="800"/>
          </w:tcPr>
          <w:p>
            <w:pPr>
              <w:pStyle w:val="TableCell"/>
              <w:keepNext/>
            </w:pPr>
            <w:r>
              <w:t xml:space="preserve">6.93</w:t>
            </w:r>
          </w:p>
        </w:tc>
        <w:tc>
          <w:tcPr>
            <w:tcW w:type="dxa" w:w="1000"/>
          </w:tcPr>
          <w:p>
            <w:pPr>
              <w:pStyle w:val="TableCell"/>
              <w:keepNext/>
            </w:pPr>
            <w:r>
              <w:t xml:space="preserve">5 of 5</w:t>
            </w:r>
          </w:p>
        </w:tc>
      </w:tr>
      <w:tr>
        <w:tc>
          <w:tcPr>
            <w:tcW w:type="dxa" w:w="1600"/>
          </w:tcPr>
          <w:p>
            <w:pPr>
              <w:pStyle w:val="TableCell"/>
              <w:keepNext/>
            </w:pPr>
            <w:r>
              <w:t xml:space="preserve">SimCLR-style</w:t>
            </w:r>
          </w:p>
        </w:tc>
        <w:tc>
          <w:tcPr>
            <w:tcW w:type="dxa" w:w="1600"/>
          </w:tcPr>
          <w:p>
            <w:pPr>
              <w:pStyle w:val="TableCell"/>
              <w:keepNext/>
            </w:pPr>
            <w:r>
              <w:t xml:space="preserve">−0.022</w:t>
            </w:r>
          </w:p>
        </w:tc>
        <w:tc>
          <w:tcPr>
            <w:tcW w:type="dxa" w:w="800"/>
          </w:tcPr>
          <w:p>
            <w:pPr>
              <w:pStyle w:val="TableCell"/>
              <w:keepNext/>
            </w:pPr>
            <w:r>
              <w:t xml:space="preserve">−4.05</w:t>
            </w:r>
          </w:p>
        </w:tc>
        <w:tc>
          <w:tcPr>
            <w:tcW w:type="dxa" w:w="1000"/>
          </w:tcPr>
          <w:p>
            <w:pPr>
              <w:pStyle w:val="TableCell"/>
              <w:keepNext/>
            </w:pPr>
            <w:r>
              <w:t xml:space="preserve">0 of 5</w:t>
            </w:r>
          </w:p>
        </w:tc>
        <w:tc>
          <w:tcPr>
            <w:tcW w:type="dxa" w:w="1600"/>
          </w:tcPr>
          <w:p>
            <w:pPr>
              <w:pStyle w:val="TableCell"/>
              <w:keepNext/>
            </w:pPr>
            <w:r>
              <w:t xml:space="preserve">+0.010</w:t>
            </w:r>
          </w:p>
        </w:tc>
        <w:tc>
          <w:tcPr>
            <w:tcW w:type="dxa" w:w="800"/>
          </w:tcPr>
          <w:p>
            <w:pPr>
              <w:pStyle w:val="TableCell"/>
              <w:keepNext/>
            </w:pPr>
            <w:r>
              <w:t xml:space="preserve">2.81</w:t>
            </w:r>
          </w:p>
        </w:tc>
        <w:tc>
          <w:tcPr>
            <w:tcW w:type="dxa" w:w="1000"/>
          </w:tcPr>
          <w:p>
            <w:pPr>
              <w:pStyle w:val="TableCell"/>
              <w:keepNext/>
            </w:pPr>
            <w:r>
              <w:t xml:space="preserve">4 of 5</w:t>
            </w:r>
          </w:p>
        </w:tc>
      </w:tr>
      <w:tr>
        <w:tc>
          <w:tcPr>
            <w:tcW w:type="dxa" w:w="1600"/>
          </w:tcPr>
          <w:p>
            <w:pPr>
              <w:pStyle w:val="TableCell"/>
              <w:keepNext/>
            </w:pPr>
            <w:r>
              <w:t xml:space="preserve">EMA + memory bank</w:t>
            </w:r>
          </w:p>
        </w:tc>
        <w:tc>
          <w:tcPr>
            <w:tcW w:type="dxa" w:w="1600"/>
          </w:tcPr>
          <w:p>
            <w:pPr>
              <w:pStyle w:val="TableCell"/>
              <w:keepNext/>
            </w:pPr>
            <w:r>
              <w:t xml:space="preserve">−0.027</w:t>
            </w:r>
          </w:p>
        </w:tc>
        <w:tc>
          <w:tcPr>
            <w:tcW w:type="dxa" w:w="800"/>
          </w:tcPr>
          <w:p>
            <w:pPr>
              <w:pStyle w:val="TableCell"/>
              <w:keepNext/>
            </w:pPr>
            <w:r>
              <w:t xml:space="preserve">−13.44</w:t>
            </w:r>
          </w:p>
        </w:tc>
        <w:tc>
          <w:tcPr>
            <w:tcW w:type="dxa" w:w="1000"/>
          </w:tcPr>
          <w:p>
            <w:pPr>
              <w:pStyle w:val="TableCell"/>
              <w:keepNext/>
            </w:pPr>
            <w:r>
              <w:t xml:space="preserve">0 of 5</w:t>
            </w:r>
          </w:p>
        </w:tc>
        <w:tc>
          <w:tcPr>
            <w:tcW w:type="dxa" w:w="1600"/>
          </w:tcPr>
          <w:p>
            <w:pPr>
              <w:pStyle w:val="TableCell"/>
              <w:keepNext/>
            </w:pPr>
            <w:r>
              <w:t xml:space="preserve">not measured</w:t>
            </w:r>
          </w:p>
        </w:tc>
        <w:tc>
          <w:tcPr>
            <w:tcW w:type="dxa" w:w="800"/>
          </w:tcPr>
          <w:p>
            <w:pPr>
              <w:pStyle w:val="TableCell"/>
              <w:keepNext/>
            </w:pPr>
            <w:r>
              <w:t xml:space="preserve">n/a</w:t>
            </w:r>
          </w:p>
        </w:tc>
        <w:tc>
          <w:tcPr>
            <w:tcW w:type="dxa" w:w="1000"/>
          </w:tcPr>
          <w:p>
            <w:pPr>
              <w:pStyle w:val="TableCell"/>
              <w:keepNext/>
            </w:pPr>
            <w:r>
              <w:t xml:space="preserve">n/a</w:t>
            </w:r>
          </w:p>
        </w:tc>
      </w:tr>
      <w:tr>
        <w:tc>
          <w:tcPr>
            <w:tcW w:type="dxa" w:w="1600"/>
          </w:tcPr>
          <w:p>
            <w:pPr>
              <w:pStyle w:val="TableCell"/>
            </w:pPr>
            <w:r>
              <w:t xml:space="preserve">CE</w:t>
            </w:r>
          </w:p>
        </w:tc>
        <w:tc>
          <w:tcPr>
            <w:tcW w:type="dxa" w:w="1600"/>
          </w:tcPr>
          <w:p>
            <w:pPr>
              <w:pStyle w:val="TableCell"/>
            </w:pPr>
            <w:r>
              <w:t xml:space="preserve">+0.021</w:t>
            </w:r>
          </w:p>
        </w:tc>
        <w:tc>
          <w:tcPr>
            <w:tcW w:type="dxa" w:w="800"/>
          </w:tcPr>
          <w:p>
            <w:pPr>
              <w:pStyle w:val="TableCell"/>
            </w:pPr>
            <w:r>
              <w:t xml:space="preserve">1.68</w:t>
            </w:r>
          </w:p>
        </w:tc>
        <w:tc>
          <w:tcPr>
            <w:tcW w:type="dxa" w:w="1000"/>
          </w:tcPr>
          <w:p>
            <w:pPr>
              <w:pStyle w:val="TableCell"/>
            </w:pPr>
            <w:r>
              <w:t xml:space="preserve">4 of 5</w:t>
            </w:r>
          </w:p>
        </w:tc>
        <w:tc>
          <w:tcPr>
            <w:tcW w:type="dxa" w:w="1600"/>
          </w:tcPr>
          <w:p>
            <w:pPr>
              <w:pStyle w:val="TableCell"/>
            </w:pPr>
            <w:r>
              <w:t xml:space="preserve">+0.004</w:t>
            </w:r>
          </w:p>
        </w:tc>
        <w:tc>
          <w:tcPr>
            <w:tcW w:type="dxa" w:w="800"/>
          </w:tcPr>
          <w:p>
            <w:pPr>
              <w:pStyle w:val="TableCell"/>
            </w:pPr>
            <w:r>
              <w:t xml:space="preserve">0.90</w:t>
            </w:r>
          </w:p>
        </w:tc>
        <w:tc>
          <w:tcPr>
            <w:tcW w:type="dxa" w:w="1000"/>
          </w:tcPr>
          <w:p>
            <w:pPr>
              <w:pStyle w:val="TableCell"/>
            </w:pPr>
            <w:r>
              <w:t xml:space="preserve">4 of 5</w:t>
            </w:r>
          </w:p>
        </w:tc>
      </w:tr>
    </w:tbl>
    <w:p>
      <w:pPr>
        <w:pStyle w:val="Para"/>
      </w:pPr>
      <w:r>
        <w:rPr>
          <w:b/>
        </w:rPr>
        <w:t xml:space="preserve">Why identity pressure costs transfer.</w:t>
      </w:r>
      <w:r>
        <w:t xml:space="preserve"> Every anchor pack is a store-page prefix followed by reviews (Section 4.1), so the gallery an anchored objective repels against is review register in the main, and a game’s document view has to leave its own anchor’s neighborhood far enough to be told apart from the other 1,693 or 1,694 review anchors, most cheaply in a direction no review anchor occupies, orthogonal to the review manifold. The invariance term is the only force pulling that view back onto its anchor and it closes the gap only part of the way: I-CE reads tags in domain level with CE and above the three negative-light towers yet pays the second-largest transfer loss, while CE, with no invariance term, pays the largest loss and carries the largest offset. BYOL and VICReg never push a view away from a review anchor, so their two registers stay close and they lose least in transfer, which is how they win the shipped tag column while reading tags worst in domain; the SimCLR-style arm sits between the families, its in-batch negatives drawn from both registers, so its repulsion does not single out the document direction.</w:t>
      </w:r>
    </w:p>
    <w:p>
      <w:pPr>
        <w:pStyle w:val="Para"/>
      </w:pPr>
      <w:r>
        <w:rPr>
          <w:b/>
        </w:rPr>
        <w:t xml:space="preserve">What this does not license.</w:t>
      </w:r>
      <w:r>
        <w:t xml:space="preserve"> Subtracting the training-estimated offset from every test query lifts I-CE’s cross-register reading from 0.685 to 0.700 but costs it retrieval (Stripped hit@1 0.741 to 0.728), and for an affine readout a constant shift only moves each tag’s threshold: a recalibration, not a repair of the geometry. Letting the anchor pack see the strong views’ own sentences does not help either (the vfa arm of Supplement A). If a correction exists it belongs on the repulsive side, admitting document-register negatives into the gallery, which we have not tested.</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 Game Representation Learning from Steam Reviews: Appendices</dc:title>
  <dc:subject/>
  <dc:creator/>
  <cp:keywords/>
  <dc:description/>
  <cp:lastModifiedBy/>
  <cp:revision>1</cp:revision>
  <dcterms:created xsi:type="dcterms:W3CDTF">2026-01-01T00:00:00Z</dcterms:created>
  <dcterms:modified xsi:type="dcterms:W3CDTF">2026-01-01T00:00:00Z</dcterms:modified>
  <cp:category/>
  <cp:contentStatus/>
</cp:coreProperties>
</file>