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A-L</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I)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4 plots.</w:t>
      </w:r>
    </w:p>
    <w:p>
      <w:pPr>
        <w:pStyle w:val="TableCaption"/>
      </w:pPr>
      <w:r>
        <w:t xml:space="preserve">Table A3: The self-supervision families in full — the five-fold account behind the body's Figure 4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B: THE BASELINE RECIPES OF FIGURE 4</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A10). Anchors are encoded only at evaluation time. Appendix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I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A6 measures.</w:t>
      </w:r>
    </w:p>
    <w:p>
      <w:pPr>
        <w:pStyle w:val="AppendixH1"/>
      </w:pPr>
      <w:r>
        <w:t xml:space="preserve">APPENDIX C: THE SEPARATION GRADIENTS OF SECTION 4.3</w:t>
      </w:r>
    </w:p>
    <w:p>
      <w:pPr>
        <w:pStyle w:val="PostHeadPara"/>
      </w:pPr>
      <w:r>
        <w:t xml:space="preserve">This is the worked derivation behind Equations (4)-(6) of the body: why repelling one sample against another aims along noise near a hard pair, why repelling against an anchor does not, and why adding the invariance term leaves only the semantic difference. The analysis is first-order and treats encodings as free variables, in the reading of [5]; it claims directions and dominance relations, not rates.</w:t>
      </w:r>
    </w:p>
    <w:p>
      <w:pPr>
        <w:pStyle w:val="Para"/>
      </w:pPr>
      <w:r>
        <w:rPr>
          <w:b/>
        </w:rPr>
        <w:t xml:space="preserve">The noise model.</w:t>
      </w:r>
      <w:r>
        <w:t xml:space="preserve"> Write the pooled embedding of an m-sentence pack drawn from game g as x = c_g + ε_m, where c_g is the draw-invariant component (the game's content together with whatever static bias its reviewers share) and ε_m is the sampling fluctuation of that particular draw, with E[ε_m] = 0. Packs enter at two scales: a strong view holds m_v = 16 sentences and an anchor pack holds m_a = 512 to 4,096, so m_a ≫ m_v. Averaging shrinks the fluctuation with pack size, hence Var(ε_v) ≫ Var(ε_a): the anchor is the low-variance observation of the same game the strong view observes noisily. The shared tower f encodes both, f(x_v) = z and f(x_a) = a, and transmits the asymmetry, so encoded views scatter while encoded anchors hold still.</w:t>
      </w:r>
    </w:p>
    <w:p>
      <w:pPr>
        <w:pStyle w:val="Para"/>
      </w:pPr>
      <w:r>
        <w:rPr>
          <w:b/>
        </w:rPr>
        <w:t xml:space="preserve">Why sample-to-sample repulsion aims along noise.</w:t>
      </w:r>
      <w:r>
        <w:t xml:space="preserve"> For two encoded views z_1 = f(x_v1) and z_2 = f(x_v2) of different games, a repulsion term that acts between samples pushes along their difference: the gradient it puts on z_1 is proportional to z_1 − z_2 = (c_1 − c_2) + (ε_v1 − ε_v2), which is Equation (5). Retrieval rank is decided by hard pairs, and a hard pair is by definition one whose semantics nearly coincide: c_1 ≈ c_2. There the first half of that difference is small while the second half carries the full high-variance draw noise of two independent views, ‖ε_v1 − ε_v2‖ ≫ ‖c_1 − c_2‖, so the repulsion aims predominantly along noise. It still disperses the gallery in the large, where the semantic term dominates, which is why sample-repelled towers spread widely yet carve narrow nearest-neighbour margins. This is prediction (i).</w:t>
      </w:r>
    </w:p>
    <w:p>
      <w:pPr>
        <w:pStyle w:val="Para"/>
      </w:pPr>
      <w:r>
        <w:rPr>
          <w:b/>
        </w:rPr>
        <w:t xml:space="preserve">Why anchor-mediated repulsion does not.</w:t>
      </w:r>
      <w:r>
        <w:t xml:space="preserve"> Under the softmax of Equation (2) a view is not pushed against another view but against the anchor gallery, and one gradient step separates the pair along Δ(z_1 − z_2) ∝ ((1 − p_g)/τ + p_h/τ)(a_1 − a_2), which is Equation (6), where p_g is the weight on the view's own anchor and p_h the weight on the competing one. The direction it aims along is a_1 − a_2 = (c_1 − c_2) + (ε_a1 − ε_a2), and by the variance asymmetry the second half is a small static residual rather than a fresh draw: the repulsion tracks the semantic difference even where that difference is small. The softmax also concentrates the whole repulsion budget on whichever anchors currently compete, through p_h. This is prediction (ii).</w:t>
      </w:r>
    </w:p>
    <w:p>
      <w:pPr>
        <w:pStyle w:val="Para"/>
      </w:pPr>
      <w:r>
        <w:rPr>
          <w:b/>
        </w:rPr>
        <w:t xml:space="preserve">Why the invariance term removes the residual noise.</w:t>
      </w:r>
      <w:r>
        <w:t xml:space="preserve"> Expand the tower to first order about the invariant component, f(c + ε) ≈ f(c) + Jε with J the Jacobian at c. A strong view then encodes to z ≈ f(c) + Jε_v, in which f(c) is a constant vector and every fluctuation of z is carried by Jε_v, so Cov(z) ≈ J Cov(ε_v) Jᵀ. The invariance term I is the expected disagreement between two independent views of one game, which is proportional to the total variance of that distribution: E[I] ≈ tr(J Cov(ε_v) Jᵀ). Minimizing I therefore drives tr(J Cov(ε_v) Jᵀ) → 0, that is, Jε_v → 0: the tower's response to draw noise is suppressed, not the noise itself. Two views of the same game then differ only by their invariant parts, ε_v1 − ε_v2 → 0.</w:t>
      </w:r>
    </w:p>
    <w:p>
      <w:pPr>
        <w:pStyle w:val="Para"/>
      </w:pPr>
      <w:r>
        <w:rPr>
          <w:b/>
        </w:rPr>
        <w:t xml:space="preserve">What the two terms leave.</w:t>
      </w:r>
      <w:r>
        <w:t xml:space="preserve"> Writing the pair difference with the noise model, x_v1 − x_v2 = (c_1 − c_2) + (ε_v1 − ε_v2). The invariance term sends the second half to zero while the anchor-mediated repulsion of Equation (6) keeps the first half separated, since a term that suppressed both would leave the gallery unable to classify and would be forbidden by the cross-entropy. What survives at the optimum is the semantic difference alone, x_v1 − x_v2 = c_1 − c_2. This is prediction (iii): the invariance term contracts a query's displacement while the margin, an anchor-side quantity made by repulsion, stays roughly in place, so the displacement-to-margin ratio that retrieval depends on falls. Appendix D bounds the two forces against each other and fixes the point at which the contrastive term hands over to the invariance term; prediction (iv), the indivisibility of the softmax brake, follows from that same pairing of the (1 − p_g)/τ pull with the p_h/τ push and is tested in Section 6.2.</w:t>
      </w:r>
    </w:p>
    <w:p>
      <w:pPr>
        <w:pStyle w:val="AppendixH1"/>
      </w:pPr>
      <w:r>
        <w:t xml:space="preserve">APPENDIX D: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E: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F: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G: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I.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7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At inference time the resource requirements are modest. Encoding a user query requires a single forward pass through the 0.6B parameter frozen text model (under 3 GiB of VRAM). Retrieval over the pre-computed anchors is an inner-product search that runs in milliseconds, so the heavy training-time graph does not affect deployment.</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I)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H: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I: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I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J: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A12: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K: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L: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raises the name-stripped score and simultaneously removes the memorization component from it.</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