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document"/>
      </w:pPr>
      <w:r>
        <w:t xml:space="preserve">Invariant Game Representation Learning from Steam Reviews: Supplementary Material</w:t>
      </w:r>
    </w:p>
    <w:p>
      <w:pPr>
        <w:pStyle w:val="PostHeadPara"/>
      </w:pPr>
      <w:r>
        <w:t xml:space="preserve">Supplements A–C hold three studies that the appendices (A–L) no longer carry: the teacher-exclusion result that Appendix L cites (Supplement A, Table S1), the two anchor-reading regimes behind the body’s headline protocol (Supplement B, Tables S2 and S3) and the training-set versus test-set query comparison (Supplement C, Table S4). Section, table and equation numbers without an S or A prefix refer to the body.</w:t>
      </w:r>
    </w:p>
    <w:p>
      <w:pPr>
        <w:pStyle w:val="AppendixH1"/>
      </w:pPr>
      <w:r>
        <w:t xml:space="preserve">SUPPLEMENT A: THE ANCHOR MUST EXCLUDE THE STRONG VIEWS</w:t>
      </w:r>
    </w:p>
    <w:p>
      <w:pPr>
        <w:pStyle w:val="PostHeadPara"/>
      </w:pPr>
      <w:r>
        <w:t xml:space="preserve">The tag gap of Section 8 invites a softer anchor: if the fixed anchor pack, which shares reviews with a strong view only by chance (about 29% of a median game’s sentences sit in the pack at </w:t>
      </w:r>
      <m:oMath>
        <m:sSub>
          <m:e>
            <m:r>
              <w:rPr>
                <w:rFonts w:ascii="Cambria Math" w:hAnsi="Cambria Math"/>
              </w:rPr>
              <m:t xml:space="preserve">m</m:t>
            </m:r>
          </m:e>
          <m:sub>
            <m:r>
              <w:rPr>
                <w:rFonts w:ascii="Cambria Math" w:hAnsi="Cambria Math"/>
              </w:rPr>
              <m:t xml:space="preserve">a</m:t>
            </m:r>
          </m:sub>
        </m:sSub>
        <m:r>
          <w:rPr>
            <w:rFonts w:ascii="Cambria Math" w:hAnsi="Cambria Math"/>
          </w:rPr>
          <m:t xml:space="preserve"> = 4,096</m:t>
        </m:r>
      </m:oMath>
      <w:r>
        <w:t xml:space="preserve">), is what forces the strong view to discard view-specific content, then letting the anchor see those sentences might relax the pressure. We tested exactly this (arm vfa): at every step, each batch game’s anchor pack is opened with the game’s four strong views and the fixed pack fills the remainder, so the anchor pack becomes a superset of the strong view’s evidence; evaluation anchors stay the fixed packs. The result refutes the hypothesis and then some (Table S1). Both retrieval axes collapse (Name hit@1 </w:t>
      </w:r>
      <m:oMath>
        <m:r>
          <w:rPr>
            <w:rFonts w:ascii="Cambria Math" w:hAnsi="Cambria Math"/>
          </w:rPr>
          <m:t xml:space="preserve">0.901 → 0.638</m:t>
        </m:r>
      </m:oMath>
      <w:r>
        <w:t xml:space="preserve">, Stripped </w:t>
      </w:r>
      <m:oMath>
        <m:r>
          <w:rPr>
            <w:rFonts w:ascii="Cambria Math" w:hAnsi="Cambria Math"/>
          </w:rPr>
          <m:t xml:space="preserve">0.657 → 0.398</m:t>
        </m:r>
      </m:oMath>
      <w:r>
        <w:t xml:space="preserve">, zero of five paired folds) and the tag reading falls rather than rises (</w:t>
      </w:r>
      <m:oMath>
        <m:r>
          <w:rPr>
            <w:rFonts w:ascii="Cambria Math" w:hAnsi="Cambria Math"/>
          </w:rPr>
          <m:t xml:space="preserve">0.705 → 0.670</m:t>
        </m:r>
      </m:oMath>
      <w:r>
        <w:t xml:space="preserve">). The diagnosis is unambiguous: every fold selects the epoch-50 checkpoint, the earliest written, so the tower is already past its best at the first write and degrades monotonically thereafter. The mechanism is positive leakage. Once the anchor vector </w:t>
      </w:r>
      <m:oMath>
        <m:sSub>
          <m:e>
            <m:r>
              <w:rPr>
                <w:rFonts w:ascii="Cambria Math" w:hAnsi="Cambria Math"/>
              </w:rPr>
              <m:t xml:space="preserve">a</m:t>
            </m:r>
          </m:e>
          <m:sub>
            <m:r>
              <w:rPr>
                <w:rFonts w:ascii="Cambria Math" w:hAnsi="Cambria Math"/>
              </w:rPr>
              <m:t xml:space="preserve">g</m:t>
            </m:r>
          </m:sub>
        </m:sSub>
      </m:oMath>
      <w:r>
        <w:t xml:space="preserve"> contains the strong view’s own sentences, the contrastive positive is trivially matched and the softmax stops pushing the strong view to recognize the game from anything else; at evaluation the anchor reverts to the fixed pack the strong view never learned to key on, and identity, with the tag geometry that rides on it, is gone. The anchor must not be built from the strong view’s own sentences: this independence is what lets contrast manufacture identity, and the tag gap is its intrinsic price, not a free lunch a softer anchor can recover.</w:t>
      </w:r>
    </w:p>
    <w:p>
      <w:pPr>
        <w:pStyle w:val="TableCaption"/>
      </w:pPr>
      <w:r>
        <w:t xml:space="preserve">Table S1: Views-first anchors (vfa), a softer anchor that fails. Each batch game’s anchor pack is opened with the strong view’s own four views before the fixed pack; five-fold @512 (test-set queries (ts), a single anchor draw per fold) against the identical-split I-CE reference. Retrieval collapses on both axes (zero of five paired folds) and the tag reading does not rise; every fold selects the epoch-50 checkpoint. The tag F1 column is the review-probe reading (the @512 references predate the held-out test-set probe), consistent within this table. Both rows also predate the selection rule of Section 5 and share the earlier criterion, so the comparison is internal to the table; the collapse it reports is not a selection artifact, since every fold of the softer anchor picks its earliest checkpoint and degrades from there.</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2993"/>
        <w:gridCol w:w="1347"/>
        <w:gridCol w:w="1459"/>
        <w:gridCol w:w="2601"/>
      </w:tblGrid>
      <w:tr>
        <w:tc>
          <w:tcPr>
            <w:tcW w:type="dxa" w:w="2993"/>
          </w:tcPr>
          <w:p>
            <w:pPr>
              <w:pStyle w:val="TableCell"/>
              <w:keepNext/>
            </w:pPr>
            <w:r>
              <w:rPr>
                <w:b/>
              </w:rPr>
              <w:t xml:space="preserve">Objective</w:t>
            </w:r>
          </w:p>
        </w:tc>
        <w:tc>
          <w:tcPr>
            <w:tcW w:type="dxa" w:w="1347"/>
          </w:tcPr>
          <w:p>
            <w:pPr>
              <w:pStyle w:val="TableCell"/>
              <w:keepNext/>
            </w:pPr>
            <w:r>
              <w:rPr>
                <w:b/>
              </w:rPr>
              <w:t xml:space="preserve">Name hit@1</w:t>
            </w:r>
          </w:p>
        </w:tc>
        <w:tc>
          <w:tcPr>
            <w:tcW w:type="dxa" w:w="1459"/>
          </w:tcPr>
          <w:p>
            <w:pPr>
              <w:pStyle w:val="TableCell"/>
              <w:keepNext/>
            </w:pPr>
            <w:r>
              <w:rPr>
                <w:b/>
              </w:rPr>
              <w:t xml:space="preserve">Stripped hit@1</w:t>
            </w:r>
          </w:p>
        </w:tc>
        <w:tc>
          <w:tcPr>
            <w:tcW w:type="dxa" w:w="2601"/>
          </w:tcPr>
          <w:p>
            <w:pPr>
              <w:pStyle w:val="TableCell"/>
              <w:keepNext/>
            </w:pPr>
            <w:r>
              <w:rPr>
                <w:b/>
              </w:rPr>
              <w:t xml:space="preserve">tag F1</w:t>
            </w:r>
          </w:p>
        </w:tc>
      </w:tr>
      <w:tr>
        <w:tc>
          <w:tcPr>
            <w:tcW w:type="dxa" w:w="2993"/>
          </w:tcPr>
          <w:p>
            <w:pPr>
              <w:pStyle w:val="TableCell"/>
              <w:keepNext/>
            </w:pPr>
            <w:r>
              <w:t xml:space="preserve">Views-first anchors (vfa) @512</w:t>
            </w:r>
          </w:p>
        </w:tc>
        <w:tc>
          <w:tcPr>
            <w:tcW w:type="dxa" w:w="1347"/>
          </w:tcPr>
          <w:p>
            <w:pPr>
              <w:pStyle w:val="TableCell"/>
              <w:keepNext/>
            </w:pPr>
            <w:r>
              <w:t xml:space="preserve">0.638 ± 0.055</w:t>
            </w:r>
          </w:p>
        </w:tc>
        <w:tc>
          <w:tcPr>
            <w:tcW w:type="dxa" w:w="1459"/>
          </w:tcPr>
          <w:p>
            <w:pPr>
              <w:pStyle w:val="TableCell"/>
              <w:keepNext/>
            </w:pPr>
            <w:r>
              <w:t xml:space="preserve">0.398 ± 0.041</w:t>
            </w:r>
          </w:p>
        </w:tc>
        <w:tc>
          <w:tcPr>
            <w:tcW w:type="dxa" w:w="2601"/>
          </w:tcPr>
          <w:p>
            <w:pPr>
              <w:pStyle w:val="TableCell"/>
              <w:keepNext/>
            </w:pPr>
            <w:r>
              <w:t xml:space="preserve">0.670 ± 0.021</w:t>
            </w:r>
          </w:p>
        </w:tc>
      </w:tr>
      <w:tr>
        <w:tc>
          <w:tcPr>
            <w:tcW w:type="dxa" w:w="2993"/>
          </w:tcPr>
          <w:p>
            <w:pPr>
              <w:pStyle w:val="TableCell"/>
            </w:pPr>
            <w:r>
              <w:t xml:space="preserve">I-CE (reference, same split) @512</w:t>
            </w:r>
          </w:p>
        </w:tc>
        <w:tc>
          <w:tcPr>
            <w:tcW w:type="dxa" w:w="1347"/>
          </w:tcPr>
          <w:p>
            <w:pPr>
              <w:pStyle w:val="TableCell"/>
            </w:pPr>
            <w:r>
              <w:t xml:space="preserve">0.901 ± 0.021</w:t>
            </w:r>
          </w:p>
        </w:tc>
        <w:tc>
          <w:tcPr>
            <w:tcW w:type="dxa" w:w="1459"/>
          </w:tcPr>
          <w:p>
            <w:pPr>
              <w:pStyle w:val="TableCell"/>
            </w:pPr>
            <w:r>
              <w:t xml:space="preserve">0.657 ± 0.028</w:t>
            </w:r>
          </w:p>
        </w:tc>
        <w:tc>
          <w:tcPr>
            <w:tcW w:type="dxa" w:w="2601"/>
          </w:tcPr>
          <w:p>
            <w:pPr>
              <w:pStyle w:val="TableCell"/>
            </w:pPr>
            <w:r>
              <w:t xml:space="preserve">0.705 ± 0.015</w:t>
            </w:r>
          </w:p>
        </w:tc>
      </w:tr>
    </w:tbl>
    <w:p>
      <w:pPr>
        <w:pStyle w:val="AppendixH1"/>
      </w:pPr>
      <w:r>
        <w:t xml:space="preserve">SUPPLEMENT B: THE TWO ANCHOR-READING REGIMES</w:t>
      </w:r>
    </w:p>
    <w:p>
      <w:pPr>
        <w:pStyle w:val="PostHeadPara"/>
      </w:pPr>
      <w:r>
        <w:t xml:space="preserve">Anchor packs are drawn, not given: a game’s reviews far exceed the 4,096-sentence cap, so each pack is one sample of the game’s material (Section 5). This supplement reports every headline tower under both readings of ten such draws. Table S2 is the single-source reading the body uses; Table S3 pools the ten encodings into one index vector first. On Stripped hit@1 the ordering and the sign of every paired comparison are identical in the two tables; the only rank changes outside the Stripped hit@1 column are between towers separated by less than the fold spread; what pooling changes is at most 0.008 Stripped hit@1 on the tower that gains most from averaging its draws, computed before rounding.</w:t>
      </w:r>
    </w:p>
    <w:p>
      <w:pPr>
        <w:pStyle w:val="TableCaption"/>
      </w:pPr>
      <w:r>
        <w:t xml:space="preserve">Table S2: The single-source reading: each of the ten anchor packs is scored on its own and the scores are averaged (five-fold mean ± std, test-set queries (ts), 4,096-sentence anchors). This is the protocol behind the body’s headline numbers, reproduced here for comparison with Table S3.</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I-CE (ours)</w:t>
            </w:r>
          </w:p>
        </w:tc>
        <w:tc>
          <w:tcPr>
            <w:tcW w:type="dxa" w:w="1120"/>
          </w:tcPr>
          <w:p>
            <w:pPr>
              <w:pStyle w:val="TableCell"/>
              <w:keepNext/>
            </w:pPr>
            <w:r>
              <w:t xml:space="preserve">0.954 ± 0.013</w:t>
            </w:r>
          </w:p>
        </w:tc>
        <w:tc>
          <w:tcPr>
            <w:tcW w:type="dxa" w:w="1120"/>
          </w:tcPr>
          <w:p>
            <w:pPr>
              <w:pStyle w:val="TableCell"/>
              <w:keepNext/>
            </w:pPr>
            <w:r>
              <w:t xml:space="preserve">0.997 ± 0.004</w:t>
            </w:r>
          </w:p>
        </w:tc>
        <w:tc>
          <w:tcPr>
            <w:tcW w:type="dxa" w:w="1245"/>
          </w:tcPr>
          <w:p>
            <w:pPr>
              <w:pStyle w:val="TableCell"/>
              <w:keepNext/>
            </w:pPr>
            <w:r>
              <w:t xml:space="preserve">0.741 ± 0.018</w:t>
            </w:r>
          </w:p>
        </w:tc>
        <w:tc>
          <w:tcPr>
            <w:tcW w:type="dxa" w:w="1245"/>
          </w:tcPr>
          <w:p>
            <w:pPr>
              <w:pStyle w:val="TableCell"/>
              <w:keepNext/>
            </w:pPr>
            <w:r>
              <w:t xml:space="preserve">0.928 ± 0.020</w:t>
            </w:r>
          </w:p>
        </w:tc>
        <w:tc>
          <w:tcPr>
            <w:tcW w:type="dxa" w:w="2170"/>
          </w:tcPr>
          <w:p>
            <w:pPr>
              <w:pStyle w:val="TableCell"/>
              <w:keepNext/>
            </w:pPr>
            <w:r>
              <w:t xml:space="preserve">0.685 ± 0.019</w:t>
            </w:r>
          </w:p>
        </w:tc>
      </w:tr>
      <w:tr>
        <w:tc>
          <w:tcPr>
            <w:tcW w:type="dxa" w:w="1500"/>
          </w:tcPr>
          <w:p>
            <w:pPr>
              <w:pStyle w:val="TableCell"/>
              <w:keepNext/>
            </w:pPr>
            <w:r>
              <w:t xml:space="preserve">swin-I-CE (~26% gradient window)</w:t>
            </w:r>
          </w:p>
        </w:tc>
        <w:tc>
          <w:tcPr>
            <w:tcW w:type="dxa" w:w="1120"/>
          </w:tcPr>
          <w:p>
            <w:pPr>
              <w:pStyle w:val="TableCell"/>
              <w:keepNext/>
            </w:pPr>
            <w:r>
              <w:t xml:space="preserve">0.934 ± 0.014</w:t>
            </w:r>
          </w:p>
        </w:tc>
        <w:tc>
          <w:tcPr>
            <w:tcW w:type="dxa" w:w="1120"/>
          </w:tcPr>
          <w:p>
            <w:pPr>
              <w:pStyle w:val="TableCell"/>
              <w:keepNext/>
            </w:pPr>
            <w:r>
              <w:t xml:space="preserve">0.994 ± 0.004</w:t>
            </w:r>
          </w:p>
        </w:tc>
        <w:tc>
          <w:tcPr>
            <w:tcW w:type="dxa" w:w="1245"/>
          </w:tcPr>
          <w:p>
            <w:pPr>
              <w:pStyle w:val="TableCell"/>
              <w:keepNext/>
            </w:pPr>
            <w:r>
              <w:t xml:space="preserve">0.709 ± 0.027</w:t>
            </w:r>
          </w:p>
        </w:tc>
        <w:tc>
          <w:tcPr>
            <w:tcW w:type="dxa" w:w="1245"/>
          </w:tcPr>
          <w:p>
            <w:pPr>
              <w:pStyle w:val="TableCell"/>
              <w:keepNext/>
            </w:pPr>
            <w:r>
              <w:t xml:space="preserve">0.922 ± 0.010</w:t>
            </w:r>
          </w:p>
        </w:tc>
        <w:tc>
          <w:tcPr>
            <w:tcW w:type="dxa" w:w="2170"/>
          </w:tcPr>
          <w:p>
            <w:pPr>
              <w:pStyle w:val="TableCell"/>
              <w:keepNext/>
            </w:pPr>
            <w:r>
              <w:t xml:space="preserve">0.691 ± 0.014</w:t>
            </w:r>
          </w:p>
        </w:tc>
      </w:tr>
      <w:tr>
        <w:tc>
          <w:tcPr>
            <w:tcW w:type="dxa" w:w="1500"/>
          </w:tcPr>
          <w:p>
            <w:pPr>
              <w:pStyle w:val="TableCell"/>
              <w:keepNext/>
            </w:pPr>
            <w:r>
              <w:t xml:space="preserve">Two-stage: BYOL warm start → windowed, 600 ep</w:t>
            </w:r>
          </w:p>
        </w:tc>
        <w:tc>
          <w:tcPr>
            <w:tcW w:type="dxa" w:w="1120"/>
          </w:tcPr>
          <w:p>
            <w:pPr>
              <w:pStyle w:val="TableCell"/>
              <w:keepNext/>
            </w:pPr>
            <w:r>
              <w:t xml:space="preserve">0.930 ± 0.011</w:t>
            </w:r>
          </w:p>
        </w:tc>
        <w:tc>
          <w:tcPr>
            <w:tcW w:type="dxa" w:w="1120"/>
          </w:tcPr>
          <w:p>
            <w:pPr>
              <w:pStyle w:val="TableCell"/>
              <w:keepNext/>
            </w:pPr>
            <w:r>
              <w:t xml:space="preserve">0.991 ± 0.008</w:t>
            </w:r>
          </w:p>
        </w:tc>
        <w:tc>
          <w:tcPr>
            <w:tcW w:type="dxa" w:w="1245"/>
          </w:tcPr>
          <w:p>
            <w:pPr>
              <w:pStyle w:val="TableCell"/>
              <w:keepNext/>
            </w:pPr>
            <w:r>
              <w:t xml:space="preserve">0.709 ± 0.019</w:t>
            </w:r>
          </w:p>
        </w:tc>
        <w:tc>
          <w:tcPr>
            <w:tcW w:type="dxa" w:w="1245"/>
          </w:tcPr>
          <w:p>
            <w:pPr>
              <w:pStyle w:val="TableCell"/>
              <w:keepNext/>
            </w:pPr>
            <w:r>
              <w:t xml:space="preserve">0.917 ± 0.005</w:t>
            </w:r>
          </w:p>
        </w:tc>
        <w:tc>
          <w:tcPr>
            <w:tcW w:type="dxa" w:w="2170"/>
          </w:tcPr>
          <w:p>
            <w:pPr>
              <w:pStyle w:val="TableCell"/>
              <w:keepNext/>
            </w:pPr>
            <w:r>
              <w:t xml:space="preserve">0.705 ± 0.022</w:t>
            </w:r>
          </w:p>
        </w:tc>
      </w:tr>
      <w:tr>
        <w:tc>
          <w:tcPr>
            <w:tcW w:type="dxa" w:w="1500"/>
          </w:tcPr>
          <w:p>
            <w:pPr>
              <w:pStyle w:val="TableCell"/>
              <w:keepNext/>
            </w:pPr>
            <w:r>
              <w:t xml:space="preserve">CE (contrast only)</w:t>
            </w:r>
          </w:p>
        </w:tc>
        <w:tc>
          <w:tcPr>
            <w:tcW w:type="dxa" w:w="1120"/>
          </w:tcPr>
          <w:p>
            <w:pPr>
              <w:pStyle w:val="TableCell"/>
              <w:keepNext/>
            </w:pPr>
            <w:r>
              <w:t xml:space="preserve">0.938 ± 0.013</w:t>
            </w:r>
          </w:p>
        </w:tc>
        <w:tc>
          <w:tcPr>
            <w:tcW w:type="dxa" w:w="1120"/>
          </w:tcPr>
          <w:p>
            <w:pPr>
              <w:pStyle w:val="TableCell"/>
              <w:keepNext/>
            </w:pPr>
            <w:r>
              <w:t xml:space="preserve">0.988 ± 0.010</w:t>
            </w:r>
          </w:p>
        </w:tc>
        <w:tc>
          <w:tcPr>
            <w:tcW w:type="dxa" w:w="1245"/>
          </w:tcPr>
          <w:p>
            <w:pPr>
              <w:pStyle w:val="TableCell"/>
              <w:keepNext/>
            </w:pPr>
            <w:r>
              <w:t xml:space="preserve">0.673 ± 0.014</w:t>
            </w:r>
          </w:p>
        </w:tc>
        <w:tc>
          <w:tcPr>
            <w:tcW w:type="dxa" w:w="1245"/>
          </w:tcPr>
          <w:p>
            <w:pPr>
              <w:pStyle w:val="TableCell"/>
              <w:keepNext/>
            </w:pPr>
            <w:r>
              <w:t xml:space="preserve">0.889 ± 0.011</w:t>
            </w:r>
          </w:p>
        </w:tc>
        <w:tc>
          <w:tcPr>
            <w:tcW w:type="dxa" w:w="2170"/>
          </w:tcPr>
          <w:p>
            <w:pPr>
              <w:pStyle w:val="TableCell"/>
              <w:keepNext/>
            </w:pPr>
            <w:r>
              <w:t xml:space="preserve">0.664 ± 0.016</w:t>
            </w:r>
          </w:p>
        </w:tc>
      </w:tr>
      <w:tr>
        <w:tc>
          <w:tcPr>
            <w:tcW w:type="dxa" w:w="1500"/>
          </w:tcPr>
          <w:p>
            <w:pPr>
              <w:pStyle w:val="TableCell"/>
              <w:keepNext/>
            </w:pPr>
            <w:r>
              <w:t xml:space="preserve">SimCLR-style (in-batch views)</w:t>
            </w:r>
          </w:p>
        </w:tc>
        <w:tc>
          <w:tcPr>
            <w:tcW w:type="dxa" w:w="1120"/>
          </w:tcPr>
          <w:p>
            <w:pPr>
              <w:pStyle w:val="TableCell"/>
              <w:keepNext/>
            </w:pPr>
            <w:r>
              <w:t xml:space="preserve">0.918 ± 0.024</w:t>
            </w:r>
          </w:p>
        </w:tc>
        <w:tc>
          <w:tcPr>
            <w:tcW w:type="dxa" w:w="1120"/>
          </w:tcPr>
          <w:p>
            <w:pPr>
              <w:pStyle w:val="TableCell"/>
              <w:keepNext/>
            </w:pPr>
            <w:r>
              <w:t xml:space="preserve">0.990 ± 0.007</w:t>
            </w:r>
          </w:p>
        </w:tc>
        <w:tc>
          <w:tcPr>
            <w:tcW w:type="dxa" w:w="1245"/>
          </w:tcPr>
          <w:p>
            <w:pPr>
              <w:pStyle w:val="TableCell"/>
              <w:keepNext/>
            </w:pPr>
            <w:r>
              <w:t xml:space="preserve">0.632 ± 0.029</w:t>
            </w:r>
          </w:p>
        </w:tc>
        <w:tc>
          <w:tcPr>
            <w:tcW w:type="dxa" w:w="1245"/>
          </w:tcPr>
          <w:p>
            <w:pPr>
              <w:pStyle w:val="TableCell"/>
              <w:keepNext/>
            </w:pPr>
            <w:r>
              <w:t xml:space="preserve">0.882 ± 0.022</w:t>
            </w:r>
          </w:p>
        </w:tc>
        <w:tc>
          <w:tcPr>
            <w:tcW w:type="dxa" w:w="2170"/>
          </w:tcPr>
          <w:p>
            <w:pPr>
              <w:pStyle w:val="TableCell"/>
              <w:keepNext/>
            </w:pPr>
            <w:r>
              <w:t xml:space="preserve">0.707 ± 0.019</w:t>
            </w:r>
          </w:p>
        </w:tc>
      </w:tr>
      <w:tr>
        <w:tc>
          <w:tcPr>
            <w:tcW w:type="dxa" w:w="1500"/>
          </w:tcPr>
          <w:p>
            <w:pPr>
              <w:pStyle w:val="TableCell"/>
              <w:keepNext/>
            </w:pPr>
            <w:r>
              <w:t xml:space="preserve">I-CE (EMA + memory bank)</w:t>
            </w:r>
          </w:p>
        </w:tc>
        <w:tc>
          <w:tcPr>
            <w:tcW w:type="dxa" w:w="1120"/>
          </w:tcPr>
          <w:p>
            <w:pPr>
              <w:pStyle w:val="TableCell"/>
              <w:keepNext/>
            </w:pPr>
            <w:r>
              <w:t xml:space="preserve">0.936 ± 0.010</w:t>
            </w:r>
          </w:p>
        </w:tc>
        <w:tc>
          <w:tcPr>
            <w:tcW w:type="dxa" w:w="1120"/>
          </w:tcPr>
          <w:p>
            <w:pPr>
              <w:pStyle w:val="TableCell"/>
              <w:keepNext/>
            </w:pPr>
            <w:r>
              <w:t xml:space="preserve">0.991 ± 0.007</w:t>
            </w:r>
          </w:p>
        </w:tc>
        <w:tc>
          <w:tcPr>
            <w:tcW w:type="dxa" w:w="1245"/>
          </w:tcPr>
          <w:p>
            <w:pPr>
              <w:pStyle w:val="TableCell"/>
              <w:keepNext/>
            </w:pPr>
            <w:r>
              <w:t xml:space="preserve">0.636 ± 0.016</w:t>
            </w:r>
          </w:p>
        </w:tc>
        <w:tc>
          <w:tcPr>
            <w:tcW w:type="dxa" w:w="1245"/>
          </w:tcPr>
          <w:p>
            <w:pPr>
              <w:pStyle w:val="TableCell"/>
              <w:keepNext/>
            </w:pPr>
            <w:r>
              <w:t xml:space="preserve">0.881 ± 0.016</w:t>
            </w:r>
          </w:p>
        </w:tc>
        <w:tc>
          <w:tcPr>
            <w:tcW w:type="dxa" w:w="2170"/>
          </w:tcPr>
          <w:p>
            <w:pPr>
              <w:pStyle w:val="TableCell"/>
              <w:keepNext/>
            </w:pPr>
            <w:r>
              <w:t xml:space="preserve">0.711 ± 0.016</w:t>
            </w:r>
          </w:p>
        </w:tc>
      </w:tr>
      <w:tr>
        <w:tc>
          <w:tcPr>
            <w:tcW w:type="dxa" w:w="1500"/>
          </w:tcPr>
          <w:p>
            <w:pPr>
              <w:pStyle w:val="TableCell"/>
              <w:keepNext/>
            </w:pPr>
            <w:r>
              <w:t xml:space="preserve">VICReg (expander wiring, v/i/c = 20/10/20)</w:t>
            </w:r>
          </w:p>
        </w:tc>
        <w:tc>
          <w:tcPr>
            <w:tcW w:type="dxa" w:w="1120"/>
          </w:tcPr>
          <w:p>
            <w:pPr>
              <w:pStyle w:val="TableCell"/>
              <w:keepNext/>
            </w:pPr>
            <w:r>
              <w:t xml:space="preserve">0.823 ± 0.010</w:t>
            </w:r>
          </w:p>
        </w:tc>
        <w:tc>
          <w:tcPr>
            <w:tcW w:type="dxa" w:w="1120"/>
          </w:tcPr>
          <w:p>
            <w:pPr>
              <w:pStyle w:val="TableCell"/>
              <w:keepNext/>
            </w:pPr>
            <w:r>
              <w:t xml:space="preserve">0.960 ± 0.016</w:t>
            </w:r>
          </w:p>
        </w:tc>
        <w:tc>
          <w:tcPr>
            <w:tcW w:type="dxa" w:w="1245"/>
          </w:tcPr>
          <w:p>
            <w:pPr>
              <w:pStyle w:val="TableCell"/>
              <w:keepNext/>
            </w:pPr>
            <w:r>
              <w:t xml:space="preserve">0.451 ± 0.017</w:t>
            </w:r>
          </w:p>
        </w:tc>
        <w:tc>
          <w:tcPr>
            <w:tcW w:type="dxa" w:w="1245"/>
          </w:tcPr>
          <w:p>
            <w:pPr>
              <w:pStyle w:val="TableCell"/>
              <w:keepNext/>
            </w:pPr>
            <w:r>
              <w:t xml:space="preserve">0.729 ± 0.033</w:t>
            </w:r>
          </w:p>
        </w:tc>
        <w:tc>
          <w:tcPr>
            <w:tcW w:type="dxa" w:w="2170"/>
          </w:tcPr>
          <w:p>
            <w:pPr>
              <w:pStyle w:val="TableCell"/>
              <w:keepNext/>
            </w:pPr>
            <w:r>
              <w:t xml:space="preserve">0.708 ± 0.022</w:t>
            </w:r>
          </w:p>
        </w:tc>
      </w:tr>
      <w:tr>
        <w:tc>
          <w:tcPr>
            <w:tcW w:type="dxa" w:w="1500"/>
          </w:tcPr>
          <w:p>
            <w:pPr>
              <w:pStyle w:val="TableCell"/>
              <w:keepNext/>
            </w:pPr>
            <w:r>
              <w:t xml:space="preserve">BYOL</w:t>
            </w:r>
          </w:p>
        </w:tc>
        <w:tc>
          <w:tcPr>
            <w:tcW w:type="dxa" w:w="1120"/>
          </w:tcPr>
          <w:p>
            <w:pPr>
              <w:pStyle w:val="TableCell"/>
              <w:keepNext/>
            </w:pPr>
            <w:r>
              <w:t xml:space="preserve">0.441 ± 0.033</w:t>
            </w:r>
          </w:p>
        </w:tc>
        <w:tc>
          <w:tcPr>
            <w:tcW w:type="dxa" w:w="1120"/>
          </w:tcPr>
          <w:p>
            <w:pPr>
              <w:pStyle w:val="TableCell"/>
              <w:keepNext/>
            </w:pPr>
            <w:r>
              <w:t xml:space="preserve">0.737 ± 0.026</w:t>
            </w:r>
          </w:p>
        </w:tc>
        <w:tc>
          <w:tcPr>
            <w:tcW w:type="dxa" w:w="1245"/>
          </w:tcPr>
          <w:p>
            <w:pPr>
              <w:pStyle w:val="TableCell"/>
              <w:keepNext/>
            </w:pPr>
            <w:r>
              <w:t xml:space="preserve">0.284 ± 0.017</w:t>
            </w:r>
          </w:p>
        </w:tc>
        <w:tc>
          <w:tcPr>
            <w:tcW w:type="dxa" w:w="1245"/>
          </w:tcPr>
          <w:p>
            <w:pPr>
              <w:pStyle w:val="TableCell"/>
              <w:keepNext/>
            </w:pPr>
            <w:r>
              <w:t xml:space="preserve">0.553 ± 0.043</w:t>
            </w:r>
          </w:p>
        </w:tc>
        <w:tc>
          <w:tcPr>
            <w:tcW w:type="dxa" w:w="2170"/>
          </w:tcPr>
          <w:p>
            <w:pPr>
              <w:pStyle w:val="TableCell"/>
              <w:keepNext/>
            </w:pPr>
            <w:r>
              <w:t xml:space="preserve">0.712 ± 0.017</w:t>
            </w:r>
          </w:p>
        </w:tc>
      </w:tr>
      <w:tr>
        <w:tc>
          <w:tcPr>
            <w:tcW w:type="dxa" w:w="1500"/>
          </w:tcPr>
          <w:p>
            <w:pPr>
              <w:pStyle w:val="TableCell"/>
            </w:pPr>
            <w:r>
              <w:t xml:space="preserve">Frozen embedder (mean pool)</w:t>
            </w:r>
          </w:p>
        </w:tc>
        <w:tc>
          <w:tcPr>
            <w:tcW w:type="dxa" w:w="1120"/>
          </w:tcPr>
          <w:p>
            <w:pPr>
              <w:pStyle w:val="TableCell"/>
            </w:pPr>
            <w:r>
              <w:t xml:space="preserve">0.425 ± 0.033</w:t>
            </w:r>
          </w:p>
        </w:tc>
        <w:tc>
          <w:tcPr>
            <w:tcW w:type="dxa" w:w="1120"/>
          </w:tcPr>
          <w:p>
            <w:pPr>
              <w:pStyle w:val="TableCell"/>
            </w:pPr>
            <w:r>
              <w:t xml:space="preserve">0.626 ± 0.014</w:t>
            </w:r>
          </w:p>
        </w:tc>
        <w:tc>
          <w:tcPr>
            <w:tcW w:type="dxa" w:w="1245"/>
          </w:tcPr>
          <w:p>
            <w:pPr>
              <w:pStyle w:val="TableCell"/>
            </w:pPr>
            <w:r>
              <w:t xml:space="preserve">0.209 ± 0.020</w:t>
            </w:r>
          </w:p>
        </w:tc>
        <w:tc>
          <w:tcPr>
            <w:tcW w:type="dxa" w:w="1245"/>
          </w:tcPr>
          <w:p>
            <w:pPr>
              <w:pStyle w:val="TableCell"/>
            </w:pPr>
            <w:r>
              <w:t xml:space="preserve">0.380 ± 0.031</w:t>
            </w:r>
          </w:p>
        </w:tc>
        <w:tc>
          <w:tcPr>
            <w:tcW w:type="dxa" w:w="2170"/>
          </w:tcPr>
          <w:p>
            <w:pPr>
              <w:pStyle w:val="TableCell"/>
            </w:pPr>
            <w:r>
              <w:t xml:space="preserve">0.588 ± 0.009</w:t>
            </w:r>
          </w:p>
        </w:tc>
      </w:tr>
    </w:tbl>
    <w:p>
      <w:pPr>
        <w:pStyle w:val="TableCaption"/>
      </w:pPr>
      <w:r>
        <w:t xml:space="preserve">Table S3: The merged-index reading: the ten anchor encodings are averaged into one index vector per game before scoring (same towers, folds and test-set queries (ts) as Table S2). Pooling adds at most 0.008 Stripped hit@1, computed before rounding; the only rank swaps are between towers separated by less than the fold spread.</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2170"/>
      </w:tblGrid>
      <w:tr>
        <w:tc>
          <w:tcPr>
            <w:tcW w:type="dxa" w:w="1500"/>
          </w:tcPr>
          <w:p>
            <w:pPr>
              <w:pStyle w:val="TableCell"/>
              <w:keepNext/>
            </w:pPr>
            <w:r>
              <w:rPr>
                <w:b/>
              </w:rPr>
              <w:t xml:space="preserve">Objective</w:t>
            </w:r>
          </w:p>
        </w:tc>
        <w:tc>
          <w:tcPr>
            <w:tcW w:type="dxa" w:w="1120"/>
          </w:tcPr>
          <w:p>
            <w:pPr>
              <w:pStyle w:val="TableCell"/>
              <w:keepNext/>
            </w:pPr>
            <w:r>
              <w:rPr>
                <w:b/>
              </w:rPr>
              <w:t xml:space="preserve">Name hit@1</w:t>
            </w:r>
          </w:p>
        </w:tc>
        <w:tc>
          <w:tcPr>
            <w:tcW w:type="dxa" w:w="1120"/>
          </w:tcPr>
          <w:p>
            <w:pPr>
              <w:pStyle w:val="TableCell"/>
              <w:keepNext/>
            </w:pPr>
            <w:r>
              <w:rPr>
                <w:b/>
              </w:rPr>
              <w:t xml:space="preserve">Name hit@5</w:t>
            </w:r>
          </w:p>
        </w:tc>
        <w:tc>
          <w:tcPr>
            <w:tcW w:type="dxa" w:w="1245"/>
          </w:tcPr>
          <w:p>
            <w:pPr>
              <w:pStyle w:val="TableCell"/>
              <w:keepNext/>
            </w:pPr>
            <w:r>
              <w:rPr>
                <w:b/>
              </w:rPr>
              <w:t xml:space="preserve">Stripped hit@1</w:t>
            </w:r>
          </w:p>
        </w:tc>
        <w:tc>
          <w:tcPr>
            <w:tcW w:type="dxa" w:w="1245"/>
          </w:tcPr>
          <w:p>
            <w:pPr>
              <w:pStyle w:val="TableCell"/>
              <w:keepNext/>
            </w:pPr>
            <w:r>
              <w:rPr>
                <w:b/>
              </w:rPr>
              <w:t xml:space="preserve">Stripped hit@5</w:t>
            </w:r>
          </w:p>
        </w:tc>
        <w:tc>
          <w:tcPr>
            <w:tcW w:type="dxa" w:w="2170"/>
          </w:tcPr>
          <w:p>
            <w:pPr>
              <w:pStyle w:val="TableCell"/>
              <w:keepNext/>
            </w:pPr>
            <w:r>
              <w:rPr>
                <w:b/>
              </w:rPr>
              <w:t xml:space="preserve">Test-set tag F1</w:t>
            </w:r>
          </w:p>
        </w:tc>
      </w:tr>
      <w:tr>
        <w:tc>
          <w:tcPr>
            <w:tcW w:type="dxa" w:w="1500"/>
          </w:tcPr>
          <w:p>
            <w:pPr>
              <w:pStyle w:val="TableCell"/>
              <w:keepNext/>
            </w:pPr>
            <w:r>
              <w:t xml:space="preserve">I-CE (ours)</w:t>
            </w:r>
          </w:p>
        </w:tc>
        <w:tc>
          <w:tcPr>
            <w:tcW w:type="dxa" w:w="1120"/>
          </w:tcPr>
          <w:p>
            <w:pPr>
              <w:pStyle w:val="TableCell"/>
              <w:keepNext/>
            </w:pPr>
            <w:r>
              <w:t xml:space="preserve">0.956 ± 0.019</w:t>
            </w:r>
          </w:p>
        </w:tc>
        <w:tc>
          <w:tcPr>
            <w:tcW w:type="dxa" w:w="1120"/>
          </w:tcPr>
          <w:p>
            <w:pPr>
              <w:pStyle w:val="TableCell"/>
              <w:keepNext/>
            </w:pPr>
            <w:r>
              <w:t xml:space="preserve">0.996 ± 0.005</w:t>
            </w:r>
          </w:p>
        </w:tc>
        <w:tc>
          <w:tcPr>
            <w:tcW w:type="dxa" w:w="1245"/>
          </w:tcPr>
          <w:p>
            <w:pPr>
              <w:pStyle w:val="TableCell"/>
              <w:keepNext/>
            </w:pPr>
            <w:r>
              <w:t xml:space="preserve">0.747 ± 0.021</w:t>
            </w:r>
          </w:p>
        </w:tc>
        <w:tc>
          <w:tcPr>
            <w:tcW w:type="dxa" w:w="1245"/>
          </w:tcPr>
          <w:p>
            <w:pPr>
              <w:pStyle w:val="TableCell"/>
              <w:keepNext/>
            </w:pPr>
            <w:r>
              <w:t xml:space="preserve">0.931 ± 0.020</w:t>
            </w:r>
          </w:p>
        </w:tc>
        <w:tc>
          <w:tcPr>
            <w:tcW w:type="dxa" w:w="2170"/>
          </w:tcPr>
          <w:p>
            <w:pPr>
              <w:pStyle w:val="TableCell"/>
              <w:keepNext/>
            </w:pPr>
            <w:r>
              <w:t xml:space="preserve">0.684 ± 0.026</w:t>
            </w:r>
          </w:p>
        </w:tc>
      </w:tr>
      <w:tr>
        <w:tc>
          <w:tcPr>
            <w:tcW w:type="dxa" w:w="1500"/>
          </w:tcPr>
          <w:p>
            <w:pPr>
              <w:pStyle w:val="TableCell"/>
              <w:keepNext/>
            </w:pPr>
            <w:r>
              <w:t xml:space="preserve">swin-I-CE (~26% gradient window)</w:t>
            </w:r>
          </w:p>
        </w:tc>
        <w:tc>
          <w:tcPr>
            <w:tcW w:type="dxa" w:w="1120"/>
          </w:tcPr>
          <w:p>
            <w:pPr>
              <w:pStyle w:val="TableCell"/>
              <w:keepNext/>
            </w:pPr>
            <w:r>
              <w:t xml:space="preserve">0.941 ± 0.018</w:t>
            </w:r>
          </w:p>
        </w:tc>
        <w:tc>
          <w:tcPr>
            <w:tcW w:type="dxa" w:w="1120"/>
          </w:tcPr>
          <w:p>
            <w:pPr>
              <w:pStyle w:val="TableCell"/>
              <w:keepNext/>
            </w:pPr>
            <w:r>
              <w:t xml:space="preserve">0.994 ± 0.004</w:t>
            </w:r>
          </w:p>
        </w:tc>
        <w:tc>
          <w:tcPr>
            <w:tcW w:type="dxa" w:w="1245"/>
          </w:tcPr>
          <w:p>
            <w:pPr>
              <w:pStyle w:val="TableCell"/>
              <w:keepNext/>
            </w:pPr>
            <w:r>
              <w:t xml:space="preserve">0.716 ± 0.026</w:t>
            </w:r>
          </w:p>
        </w:tc>
        <w:tc>
          <w:tcPr>
            <w:tcW w:type="dxa" w:w="1245"/>
          </w:tcPr>
          <w:p>
            <w:pPr>
              <w:pStyle w:val="TableCell"/>
              <w:keepNext/>
            </w:pPr>
            <w:r>
              <w:t xml:space="preserve">0.926 ± 0.011</w:t>
            </w:r>
          </w:p>
        </w:tc>
        <w:tc>
          <w:tcPr>
            <w:tcW w:type="dxa" w:w="2170"/>
          </w:tcPr>
          <w:p>
            <w:pPr>
              <w:pStyle w:val="TableCell"/>
              <w:keepNext/>
            </w:pPr>
            <w:r>
              <w:t xml:space="preserve">0.681 ± 0.019</w:t>
            </w:r>
          </w:p>
        </w:tc>
      </w:tr>
      <w:tr>
        <w:tc>
          <w:tcPr>
            <w:tcW w:type="dxa" w:w="1500"/>
          </w:tcPr>
          <w:p>
            <w:pPr>
              <w:pStyle w:val="TableCell"/>
              <w:keepNext/>
            </w:pPr>
            <w:r>
              <w:t xml:space="preserve">Two-stage: BYOL warm start → windowed, 600 ep</w:t>
            </w:r>
          </w:p>
        </w:tc>
        <w:tc>
          <w:tcPr>
            <w:tcW w:type="dxa" w:w="1120"/>
          </w:tcPr>
          <w:p>
            <w:pPr>
              <w:pStyle w:val="TableCell"/>
              <w:keepNext/>
            </w:pPr>
            <w:r>
              <w:t xml:space="preserve">0.932 ± 0.014</w:t>
            </w:r>
          </w:p>
        </w:tc>
        <w:tc>
          <w:tcPr>
            <w:tcW w:type="dxa" w:w="1120"/>
          </w:tcPr>
          <w:p>
            <w:pPr>
              <w:pStyle w:val="TableCell"/>
              <w:keepNext/>
            </w:pPr>
            <w:r>
              <w:t xml:space="preserve">0.991 ± 0.008</w:t>
            </w:r>
          </w:p>
        </w:tc>
        <w:tc>
          <w:tcPr>
            <w:tcW w:type="dxa" w:w="1245"/>
          </w:tcPr>
          <w:p>
            <w:pPr>
              <w:pStyle w:val="TableCell"/>
              <w:keepNext/>
            </w:pPr>
            <w:r>
              <w:t xml:space="preserve">0.716 ± 0.019</w:t>
            </w:r>
          </w:p>
        </w:tc>
        <w:tc>
          <w:tcPr>
            <w:tcW w:type="dxa" w:w="1245"/>
          </w:tcPr>
          <w:p>
            <w:pPr>
              <w:pStyle w:val="TableCell"/>
              <w:keepNext/>
            </w:pPr>
            <w:r>
              <w:t xml:space="preserve">0.920 ± 0.005</w:t>
            </w:r>
          </w:p>
        </w:tc>
        <w:tc>
          <w:tcPr>
            <w:tcW w:type="dxa" w:w="2170"/>
          </w:tcPr>
          <w:p>
            <w:pPr>
              <w:pStyle w:val="TableCell"/>
              <w:keepNext/>
            </w:pPr>
            <w:r>
              <w:t xml:space="preserve">0.706 ± 0.020</w:t>
            </w:r>
          </w:p>
        </w:tc>
      </w:tr>
      <w:tr>
        <w:tc>
          <w:tcPr>
            <w:tcW w:type="dxa" w:w="1500"/>
          </w:tcPr>
          <w:p>
            <w:pPr>
              <w:pStyle w:val="TableCell"/>
              <w:keepNext/>
            </w:pPr>
            <w:r>
              <w:t xml:space="preserve">CE (contrast only)</w:t>
            </w:r>
          </w:p>
        </w:tc>
        <w:tc>
          <w:tcPr>
            <w:tcW w:type="dxa" w:w="1120"/>
          </w:tcPr>
          <w:p>
            <w:pPr>
              <w:pStyle w:val="TableCell"/>
              <w:keepNext/>
            </w:pPr>
            <w:r>
              <w:t xml:space="preserve">0.950 ± 0.012</w:t>
            </w:r>
          </w:p>
        </w:tc>
        <w:tc>
          <w:tcPr>
            <w:tcW w:type="dxa" w:w="1120"/>
          </w:tcPr>
          <w:p>
            <w:pPr>
              <w:pStyle w:val="TableCell"/>
              <w:keepNext/>
            </w:pPr>
            <w:r>
              <w:t xml:space="preserve">0.989 ± 0.008</w:t>
            </w:r>
          </w:p>
        </w:tc>
        <w:tc>
          <w:tcPr>
            <w:tcW w:type="dxa" w:w="1245"/>
          </w:tcPr>
          <w:p>
            <w:pPr>
              <w:pStyle w:val="TableCell"/>
              <w:keepNext/>
            </w:pPr>
            <w:r>
              <w:t xml:space="preserve">0.678 ± 0.019</w:t>
            </w:r>
          </w:p>
        </w:tc>
        <w:tc>
          <w:tcPr>
            <w:tcW w:type="dxa" w:w="1245"/>
          </w:tcPr>
          <w:p>
            <w:pPr>
              <w:pStyle w:val="TableCell"/>
              <w:keepNext/>
            </w:pPr>
            <w:r>
              <w:t xml:space="preserve">0.893 ± 0.013</w:t>
            </w:r>
          </w:p>
        </w:tc>
        <w:tc>
          <w:tcPr>
            <w:tcW w:type="dxa" w:w="2170"/>
          </w:tcPr>
          <w:p>
            <w:pPr>
              <w:pStyle w:val="TableCell"/>
              <w:keepNext/>
            </w:pPr>
            <w:r>
              <w:t xml:space="preserve">0.658 ± 0.020</w:t>
            </w:r>
          </w:p>
        </w:tc>
      </w:tr>
      <w:tr>
        <w:tc>
          <w:tcPr>
            <w:tcW w:type="dxa" w:w="1500"/>
          </w:tcPr>
          <w:p>
            <w:pPr>
              <w:pStyle w:val="TableCell"/>
              <w:keepNext/>
            </w:pPr>
            <w:r>
              <w:t xml:space="preserve">SimCLR-style (in-batch views)</w:t>
            </w:r>
          </w:p>
        </w:tc>
        <w:tc>
          <w:tcPr>
            <w:tcW w:type="dxa" w:w="1120"/>
          </w:tcPr>
          <w:p>
            <w:pPr>
              <w:pStyle w:val="TableCell"/>
              <w:keepNext/>
            </w:pPr>
            <w:r>
              <w:t xml:space="preserve">0.919 ± 0.027</w:t>
            </w:r>
          </w:p>
        </w:tc>
        <w:tc>
          <w:tcPr>
            <w:tcW w:type="dxa" w:w="1120"/>
          </w:tcPr>
          <w:p>
            <w:pPr>
              <w:pStyle w:val="TableCell"/>
              <w:keepNext/>
            </w:pPr>
            <w:r>
              <w:t xml:space="preserve">0.990 ± 0.006</w:t>
            </w:r>
          </w:p>
        </w:tc>
        <w:tc>
          <w:tcPr>
            <w:tcW w:type="dxa" w:w="1245"/>
          </w:tcPr>
          <w:p>
            <w:pPr>
              <w:pStyle w:val="TableCell"/>
              <w:keepNext/>
            </w:pPr>
            <w:r>
              <w:t xml:space="preserve">0.634 ± 0.027</w:t>
            </w:r>
          </w:p>
        </w:tc>
        <w:tc>
          <w:tcPr>
            <w:tcW w:type="dxa" w:w="1245"/>
          </w:tcPr>
          <w:p>
            <w:pPr>
              <w:pStyle w:val="TableCell"/>
              <w:keepNext/>
            </w:pPr>
            <w:r>
              <w:t xml:space="preserve">0.886 ± 0.021</w:t>
            </w:r>
          </w:p>
        </w:tc>
        <w:tc>
          <w:tcPr>
            <w:tcW w:type="dxa" w:w="2170"/>
          </w:tcPr>
          <w:p>
            <w:pPr>
              <w:pStyle w:val="TableCell"/>
              <w:keepNext/>
            </w:pPr>
            <w:r>
              <w:t xml:space="preserve">0.704 ± 0.021</w:t>
            </w:r>
          </w:p>
        </w:tc>
      </w:tr>
      <w:tr>
        <w:tc>
          <w:tcPr>
            <w:tcW w:type="dxa" w:w="1500"/>
          </w:tcPr>
          <w:p>
            <w:pPr>
              <w:pStyle w:val="TableCell"/>
              <w:keepNext/>
            </w:pPr>
            <w:r>
              <w:t xml:space="preserve">I-CE (EMA + memory bank)</w:t>
            </w:r>
          </w:p>
        </w:tc>
        <w:tc>
          <w:tcPr>
            <w:tcW w:type="dxa" w:w="1120"/>
          </w:tcPr>
          <w:p>
            <w:pPr>
              <w:pStyle w:val="TableCell"/>
              <w:keepNext/>
            </w:pPr>
            <w:r>
              <w:t xml:space="preserve">0.944 ± 0.013</w:t>
            </w:r>
          </w:p>
        </w:tc>
        <w:tc>
          <w:tcPr>
            <w:tcW w:type="dxa" w:w="1120"/>
          </w:tcPr>
          <w:p>
            <w:pPr>
              <w:pStyle w:val="TableCell"/>
              <w:keepNext/>
            </w:pPr>
            <w:r>
              <w:t xml:space="preserve">0.993 ± 0.006</w:t>
            </w:r>
          </w:p>
        </w:tc>
        <w:tc>
          <w:tcPr>
            <w:tcW w:type="dxa" w:w="1245"/>
          </w:tcPr>
          <w:p>
            <w:pPr>
              <w:pStyle w:val="TableCell"/>
              <w:keepNext/>
            </w:pPr>
            <w:r>
              <w:t xml:space="preserve">0.641 ± 0.012</w:t>
            </w:r>
          </w:p>
        </w:tc>
        <w:tc>
          <w:tcPr>
            <w:tcW w:type="dxa" w:w="1245"/>
          </w:tcPr>
          <w:p>
            <w:pPr>
              <w:pStyle w:val="TableCell"/>
              <w:keepNext/>
            </w:pPr>
            <w:r>
              <w:t xml:space="preserve">0.887 ± 0.013</w:t>
            </w:r>
          </w:p>
        </w:tc>
        <w:tc>
          <w:tcPr>
            <w:tcW w:type="dxa" w:w="2170"/>
          </w:tcPr>
          <w:p>
            <w:pPr>
              <w:pStyle w:val="TableCell"/>
              <w:keepNext/>
            </w:pPr>
            <w:r>
              <w:t xml:space="preserve">0.717 ± 0.014</w:t>
            </w:r>
          </w:p>
        </w:tc>
      </w:tr>
      <w:tr>
        <w:tc>
          <w:tcPr>
            <w:tcW w:type="dxa" w:w="1500"/>
          </w:tcPr>
          <w:p>
            <w:pPr>
              <w:pStyle w:val="TableCell"/>
              <w:keepNext/>
            </w:pPr>
            <w:r>
              <w:t xml:space="preserve">VICReg (expander wiring, v/i/c = 20/10/20)</w:t>
            </w:r>
          </w:p>
        </w:tc>
        <w:tc>
          <w:tcPr>
            <w:tcW w:type="dxa" w:w="1120"/>
          </w:tcPr>
          <w:p>
            <w:pPr>
              <w:pStyle w:val="TableCell"/>
              <w:keepNext/>
            </w:pPr>
            <w:r>
              <w:t xml:space="preserve">0.830 ± 0.012</w:t>
            </w:r>
          </w:p>
        </w:tc>
        <w:tc>
          <w:tcPr>
            <w:tcW w:type="dxa" w:w="1120"/>
          </w:tcPr>
          <w:p>
            <w:pPr>
              <w:pStyle w:val="TableCell"/>
              <w:keepNext/>
            </w:pPr>
            <w:r>
              <w:t xml:space="preserve">0.962 ± 0.020</w:t>
            </w:r>
          </w:p>
        </w:tc>
        <w:tc>
          <w:tcPr>
            <w:tcW w:type="dxa" w:w="1245"/>
          </w:tcPr>
          <w:p>
            <w:pPr>
              <w:pStyle w:val="TableCell"/>
              <w:keepNext/>
            </w:pPr>
            <w:r>
              <w:t xml:space="preserve">0.453 ± 0.014</w:t>
            </w:r>
          </w:p>
        </w:tc>
        <w:tc>
          <w:tcPr>
            <w:tcW w:type="dxa" w:w="1245"/>
          </w:tcPr>
          <w:p>
            <w:pPr>
              <w:pStyle w:val="TableCell"/>
              <w:keepNext/>
            </w:pPr>
            <w:r>
              <w:t xml:space="preserve">0.735 ± 0.037</w:t>
            </w:r>
          </w:p>
        </w:tc>
        <w:tc>
          <w:tcPr>
            <w:tcW w:type="dxa" w:w="2170"/>
          </w:tcPr>
          <w:p>
            <w:pPr>
              <w:pStyle w:val="TableCell"/>
              <w:keepNext/>
            </w:pPr>
            <w:r>
              <w:t xml:space="preserve">0.705 ± 0.025</w:t>
            </w:r>
          </w:p>
        </w:tc>
      </w:tr>
      <w:tr>
        <w:tc>
          <w:tcPr>
            <w:tcW w:type="dxa" w:w="1500"/>
          </w:tcPr>
          <w:p>
            <w:pPr>
              <w:pStyle w:val="TableCell"/>
              <w:keepNext/>
            </w:pPr>
            <w:r>
              <w:t xml:space="preserve">BYOL</w:t>
            </w:r>
          </w:p>
        </w:tc>
        <w:tc>
          <w:tcPr>
            <w:tcW w:type="dxa" w:w="1120"/>
          </w:tcPr>
          <w:p>
            <w:pPr>
              <w:pStyle w:val="TableCell"/>
              <w:keepNext/>
            </w:pPr>
            <w:r>
              <w:t xml:space="preserve">0.447 ± 0.034</w:t>
            </w:r>
          </w:p>
        </w:tc>
        <w:tc>
          <w:tcPr>
            <w:tcW w:type="dxa" w:w="1120"/>
          </w:tcPr>
          <w:p>
            <w:pPr>
              <w:pStyle w:val="TableCell"/>
              <w:keepNext/>
            </w:pPr>
            <w:r>
              <w:t xml:space="preserve">0.743 ± 0.022</w:t>
            </w:r>
          </w:p>
        </w:tc>
        <w:tc>
          <w:tcPr>
            <w:tcW w:type="dxa" w:w="1245"/>
          </w:tcPr>
          <w:p>
            <w:pPr>
              <w:pStyle w:val="TableCell"/>
              <w:keepNext/>
            </w:pPr>
            <w:r>
              <w:t xml:space="preserve">0.284 ± 0.014</w:t>
            </w:r>
          </w:p>
        </w:tc>
        <w:tc>
          <w:tcPr>
            <w:tcW w:type="dxa" w:w="1245"/>
          </w:tcPr>
          <w:p>
            <w:pPr>
              <w:pStyle w:val="TableCell"/>
              <w:keepNext/>
            </w:pPr>
            <w:r>
              <w:t xml:space="preserve">0.554 ± 0.046</w:t>
            </w:r>
          </w:p>
        </w:tc>
        <w:tc>
          <w:tcPr>
            <w:tcW w:type="dxa" w:w="2170"/>
          </w:tcPr>
          <w:p>
            <w:pPr>
              <w:pStyle w:val="TableCell"/>
              <w:keepNext/>
            </w:pPr>
            <w:r>
              <w:t xml:space="preserve">0.715 ± 0.020</w:t>
            </w:r>
          </w:p>
        </w:tc>
      </w:tr>
      <w:tr>
        <w:tc>
          <w:tcPr>
            <w:tcW w:type="dxa" w:w="1500"/>
          </w:tcPr>
          <w:p>
            <w:pPr>
              <w:pStyle w:val="TableCell"/>
            </w:pPr>
            <w:r>
              <w:t xml:space="preserve">Frozen embedder (mean pool)</w:t>
            </w:r>
          </w:p>
        </w:tc>
        <w:tc>
          <w:tcPr>
            <w:tcW w:type="dxa" w:w="1120"/>
          </w:tcPr>
          <w:p>
            <w:pPr>
              <w:pStyle w:val="TableCell"/>
            </w:pPr>
            <w:r>
              <w:t xml:space="preserve">0.450 ± 0.034</w:t>
            </w:r>
          </w:p>
        </w:tc>
        <w:tc>
          <w:tcPr>
            <w:tcW w:type="dxa" w:w="1120"/>
          </w:tcPr>
          <w:p>
            <w:pPr>
              <w:pStyle w:val="TableCell"/>
            </w:pPr>
            <w:r>
              <w:t xml:space="preserve">0.642 ± 0.015</w:t>
            </w:r>
          </w:p>
        </w:tc>
        <w:tc>
          <w:tcPr>
            <w:tcW w:type="dxa" w:w="1245"/>
          </w:tcPr>
          <w:p>
            <w:pPr>
              <w:pStyle w:val="TableCell"/>
            </w:pPr>
            <w:r>
              <w:t xml:space="preserve">0.215 ± 0.031</w:t>
            </w:r>
          </w:p>
        </w:tc>
        <w:tc>
          <w:tcPr>
            <w:tcW w:type="dxa" w:w="1245"/>
          </w:tcPr>
          <w:p>
            <w:pPr>
              <w:pStyle w:val="TableCell"/>
            </w:pPr>
            <w:r>
              <w:t xml:space="preserve">0.393 ± 0.035</w:t>
            </w:r>
          </w:p>
        </w:tc>
        <w:tc>
          <w:tcPr>
            <w:tcW w:type="dxa" w:w="2170"/>
          </w:tcPr>
          <w:p>
            <w:pPr>
              <w:pStyle w:val="TableCell"/>
            </w:pPr>
            <w:r>
              <w:t xml:space="preserve">0.578 ± 0.015</w:t>
            </w:r>
          </w:p>
        </w:tc>
      </w:tr>
    </w:tbl>
    <w:p>
      <w:pPr>
        <w:pStyle w:val="AppendixH1"/>
      </w:pPr>
      <w:r>
        <w:t xml:space="preserve">SUPPLEMENT C: TRAINING-SET VERSUS TEST-SET QUERIES</w:t>
      </w:r>
    </w:p>
    <w:p>
      <w:pPr>
        <w:pStyle w:val="PostHeadPara"/>
      </w:pPr>
      <w:r>
        <w:t xml:space="preserve">Every headline number in this paper is measured on test-set queries (ts), games held out of the fold the tower trained on. Because the 814-game evaluation universe also contains games inside the training set, the same measurement can be repeated on training-set queries (tr): about 488 per fold against 162 or 163 test-set queries, ranked against the same 2,020 candidates by the same finished tower. The difference is a generalization gap, and the frozen embedder anchors its interpretation: having trained on nothing, it scores the same on both populations at this resolution (0.425 / 0.425), so any gap a trained tower shows is what training memorized rather than what the queries happen to ask. Table S4 gives both populations for every headline tower.</w:t>
      </w:r>
    </w:p>
    <w:p>
      <w:pPr>
        <w:pStyle w:val="TableCaption"/>
      </w:pPr>
      <w:r>
        <w:t xml:space="preserve">Table S4: Retrieval on training-set queries (tr) versus test-set queries (ts), five-fold means at the 4,096-sentence anchor budget, single-source reading. </w:t>
      </w:r>
      <m:oMath>
        <m:r>
          <m:rPr>
            <m:sty m:val="p"/>
          </m:rPr>
          <w:rPr>
            <w:rFonts w:ascii="Cambria Math" w:hAnsi="Cambria Math"/>
          </w:rPr>
          <m:t xml:space="preserve">Gap</m:t>
        </m:r>
        <m:r>
          <w:rPr>
            <w:rFonts w:ascii="Cambria Math" w:hAnsi="Cambria Math"/>
          </w:rPr>
          <m:t xml:space="preserve"> = (</m:t>
        </m:r>
        <m:r>
          <m:rPr>
            <m:sty m:val="p"/>
          </m:rPr>
          <w:rPr>
            <w:rFonts w:ascii="Cambria Math" w:hAnsi="Cambria Math"/>
          </w:rPr>
          <m:t xml:space="preserve">tr</m:t>
        </m:r>
        <m:r>
          <w:rPr>
            <w:rFonts w:ascii="Cambria Math" w:hAnsi="Cambria Math"/>
          </w:rPr>
          <m:t xml:space="preserve">) − (</m:t>
        </m:r>
        <m:r>
          <m:rPr>
            <m:sty m:val="p"/>
          </m:rPr>
          <w:rPr>
            <w:rFonts w:ascii="Cambria Math" w:hAnsi="Cambria Math"/>
          </w:rPr>
          <m:t xml:space="preserve">ts</m:t>
        </m:r>
        <m:r>
          <w:rPr>
            <w:rFonts w:ascii="Cambria Math" w:hAnsi="Cambria Math"/>
          </w:rPr>
          <m:t xml:space="preserve">)</m:t>
        </m:r>
      </m:oMath>
      <w:r>
        <w:t xml:space="preserve">, computed before rounding. The frozen row is the control: no training, and no gap at this resolution.</w:t>
      </w:r>
    </w:p>
    <w:tbl>
      <w:tblPr>
        <w:tblStyle w:val="afffff8"/>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1500"/>
        <w:gridCol w:w="1120"/>
        <w:gridCol w:w="1120"/>
        <w:gridCol w:w="1245"/>
        <w:gridCol w:w="1245"/>
        <w:gridCol w:w="925"/>
        <w:gridCol w:w="1245"/>
      </w:tblGrid>
      <w:tr>
        <w:tc>
          <w:tcPr>
            <w:tcW w:type="dxa" w:w="1500"/>
          </w:tcPr>
          <w:p>
            <w:pPr>
              <w:pStyle w:val="TableCell"/>
              <w:keepNext/>
            </w:pPr>
            <w:r>
              <w:rPr>
                <w:b/>
              </w:rPr>
              <w:t xml:space="preserve">Objective</w:t>
            </w:r>
          </w:p>
        </w:tc>
        <w:tc>
          <w:tcPr>
            <w:tcW w:type="dxa" w:w="1120"/>
          </w:tcPr>
          <w:p>
            <w:pPr>
              <w:pStyle w:val="TableCell"/>
              <w:keepNext/>
            </w:pPr>
            <w:r>
              <w:rPr>
                <w:b/>
              </w:rPr>
              <w:t xml:space="preserve">Name hit@1 (tr)</w:t>
            </w:r>
          </w:p>
        </w:tc>
        <w:tc>
          <w:tcPr>
            <w:tcW w:type="dxa" w:w="1120"/>
          </w:tcPr>
          <w:p>
            <w:pPr>
              <w:pStyle w:val="TableCell"/>
              <w:keepNext/>
            </w:pPr>
            <w:r>
              <w:rPr>
                <w:b/>
              </w:rPr>
              <w:t xml:space="preserve">Name hit@1 (ts)</w:t>
            </w:r>
          </w:p>
        </w:tc>
        <w:tc>
          <w:tcPr>
            <w:tcW w:type="dxa" w:w="1245"/>
          </w:tcPr>
          <w:p>
            <w:pPr>
              <w:pStyle w:val="TableCell"/>
              <w:keepNext/>
            </w:pPr>
            <w:r>
              <w:rPr>
                <w:b/>
              </w:rPr>
              <w:t xml:space="preserve">Gap</w:t>
            </w:r>
          </w:p>
        </w:tc>
        <w:tc>
          <w:tcPr>
            <w:tcW w:type="dxa" w:w="1245"/>
          </w:tcPr>
          <w:p>
            <w:pPr>
              <w:pStyle w:val="TableCell"/>
              <w:keepNext/>
            </w:pPr>
            <w:r>
              <w:rPr>
                <w:b/>
              </w:rPr>
              <w:t xml:space="preserve">Stripped hit@1 (tr)</w:t>
            </w:r>
          </w:p>
        </w:tc>
        <w:tc>
          <w:tcPr>
            <w:tcW w:type="dxa" w:w="925"/>
          </w:tcPr>
          <w:p>
            <w:pPr>
              <w:pStyle w:val="TableCell"/>
              <w:keepNext/>
            </w:pPr>
            <w:r>
              <w:rPr>
                <w:b/>
              </w:rPr>
              <w:t xml:space="preserve">Stripped hit@1 (ts)</w:t>
            </w:r>
          </w:p>
        </w:tc>
        <w:tc>
          <w:tcPr>
            <w:tcW w:type="dxa" w:w="1245"/>
          </w:tcPr>
          <w:p>
            <w:pPr>
              <w:pStyle w:val="TableCell"/>
              <w:keepNext/>
            </w:pPr>
            <w:r>
              <w:rPr>
                <w:b/>
              </w:rPr>
              <w:t xml:space="preserve">Gap</w:t>
            </w:r>
          </w:p>
        </w:tc>
      </w:tr>
      <w:tr>
        <w:tc>
          <w:tcPr>
            <w:tcW w:type="dxa" w:w="1500"/>
          </w:tcPr>
          <w:p>
            <w:pPr>
              <w:pStyle w:val="TableCell"/>
              <w:keepNext/>
            </w:pPr>
            <w:r>
              <w:t xml:space="preserve">I-CE (ours)</w:t>
            </w:r>
          </w:p>
        </w:tc>
        <w:tc>
          <w:tcPr>
            <w:tcW w:type="dxa" w:w="1120"/>
          </w:tcPr>
          <w:p>
            <w:pPr>
              <w:pStyle w:val="TableCell"/>
              <w:keepNext/>
            </w:pPr>
            <w:r>
              <w:t xml:space="preserve">0.991</w:t>
            </w:r>
          </w:p>
        </w:tc>
        <w:tc>
          <w:tcPr>
            <w:tcW w:type="dxa" w:w="1120"/>
          </w:tcPr>
          <w:p>
            <w:pPr>
              <w:pStyle w:val="TableCell"/>
              <w:keepNext/>
            </w:pPr>
            <w:r>
              <w:t xml:space="preserve">0.954</w:t>
            </w:r>
          </w:p>
        </w:tc>
        <w:tc>
          <w:tcPr>
            <w:tcW w:type="dxa" w:w="1245"/>
          </w:tcPr>
          <w:p>
            <w:pPr>
              <w:pStyle w:val="TableCell"/>
              <w:keepNext/>
            </w:pPr>
            <w:r>
              <w:t xml:space="preserve">+0.037</w:t>
            </w:r>
          </w:p>
        </w:tc>
        <w:tc>
          <w:tcPr>
            <w:tcW w:type="dxa" w:w="1245"/>
          </w:tcPr>
          <w:p>
            <w:pPr>
              <w:pStyle w:val="TableCell"/>
              <w:keepNext/>
            </w:pPr>
            <w:r>
              <w:t xml:space="preserve">0.740</w:t>
            </w:r>
          </w:p>
        </w:tc>
        <w:tc>
          <w:tcPr>
            <w:tcW w:type="dxa" w:w="925"/>
          </w:tcPr>
          <w:p>
            <w:pPr>
              <w:pStyle w:val="TableCell"/>
              <w:keepNext/>
            </w:pPr>
            <w:r>
              <w:t xml:space="preserve">0.741</w:t>
            </w:r>
          </w:p>
        </w:tc>
        <w:tc>
          <w:tcPr>
            <w:tcW w:type="dxa" w:w="1245"/>
          </w:tcPr>
          <w:p>
            <w:pPr>
              <w:pStyle w:val="TableCell"/>
              <w:keepNext/>
            </w:pPr>
            <w:r>
              <w:t xml:space="preserve">−0.002</w:t>
            </w:r>
          </w:p>
        </w:tc>
      </w:tr>
      <w:tr>
        <w:tc>
          <w:tcPr>
            <w:tcW w:type="dxa" w:w="1500"/>
          </w:tcPr>
          <w:p>
            <w:pPr>
              <w:pStyle w:val="TableCell"/>
              <w:keepNext/>
            </w:pPr>
            <w:r>
              <w:t xml:space="preserve">swin-I-CE (~26% gradient window)</w:t>
            </w:r>
          </w:p>
        </w:tc>
        <w:tc>
          <w:tcPr>
            <w:tcW w:type="dxa" w:w="1120"/>
          </w:tcPr>
          <w:p>
            <w:pPr>
              <w:pStyle w:val="TableCell"/>
              <w:keepNext/>
            </w:pPr>
            <w:r>
              <w:t xml:space="preserve">0.983</w:t>
            </w:r>
          </w:p>
        </w:tc>
        <w:tc>
          <w:tcPr>
            <w:tcW w:type="dxa" w:w="1120"/>
          </w:tcPr>
          <w:p>
            <w:pPr>
              <w:pStyle w:val="TableCell"/>
              <w:keepNext/>
            </w:pPr>
            <w:r>
              <w:t xml:space="preserve">0.934</w:t>
            </w:r>
          </w:p>
        </w:tc>
        <w:tc>
          <w:tcPr>
            <w:tcW w:type="dxa" w:w="1245"/>
          </w:tcPr>
          <w:p>
            <w:pPr>
              <w:pStyle w:val="TableCell"/>
              <w:keepNext/>
            </w:pPr>
            <w:r>
              <w:t xml:space="preserve">+0.049</w:t>
            </w:r>
          </w:p>
        </w:tc>
        <w:tc>
          <w:tcPr>
            <w:tcW w:type="dxa" w:w="1245"/>
          </w:tcPr>
          <w:p>
            <w:pPr>
              <w:pStyle w:val="TableCell"/>
              <w:keepNext/>
            </w:pPr>
            <w:r>
              <w:t xml:space="preserve">0.716</w:t>
            </w:r>
          </w:p>
        </w:tc>
        <w:tc>
          <w:tcPr>
            <w:tcW w:type="dxa" w:w="925"/>
          </w:tcPr>
          <w:p>
            <w:pPr>
              <w:pStyle w:val="TableCell"/>
              <w:keepNext/>
            </w:pPr>
            <w:r>
              <w:t xml:space="preserve">0.709</w:t>
            </w:r>
          </w:p>
        </w:tc>
        <w:tc>
          <w:tcPr>
            <w:tcW w:type="dxa" w:w="1245"/>
          </w:tcPr>
          <w:p>
            <w:pPr>
              <w:pStyle w:val="TableCell"/>
              <w:keepNext/>
            </w:pPr>
            <w:r>
              <w:t xml:space="preserve">+0.007</w:t>
            </w:r>
          </w:p>
        </w:tc>
      </w:tr>
      <w:tr>
        <w:tc>
          <w:tcPr>
            <w:tcW w:type="dxa" w:w="1500"/>
          </w:tcPr>
          <w:p>
            <w:pPr>
              <w:pStyle w:val="TableCell"/>
              <w:keepNext/>
            </w:pPr>
            <w:r>
              <w:t xml:space="preserve">Two-stage: BYOL warm start → windowed, 600 ep</w:t>
            </w:r>
          </w:p>
        </w:tc>
        <w:tc>
          <w:tcPr>
            <w:tcW w:type="dxa" w:w="1120"/>
          </w:tcPr>
          <w:p>
            <w:pPr>
              <w:pStyle w:val="TableCell"/>
              <w:keepNext/>
            </w:pPr>
            <w:r>
              <w:t xml:space="preserve">0.979</w:t>
            </w:r>
          </w:p>
        </w:tc>
        <w:tc>
          <w:tcPr>
            <w:tcW w:type="dxa" w:w="1120"/>
          </w:tcPr>
          <w:p>
            <w:pPr>
              <w:pStyle w:val="TableCell"/>
              <w:keepNext/>
            </w:pPr>
            <w:r>
              <w:t xml:space="preserve">0.930</w:t>
            </w:r>
          </w:p>
        </w:tc>
        <w:tc>
          <w:tcPr>
            <w:tcW w:type="dxa" w:w="1245"/>
          </w:tcPr>
          <w:p>
            <w:pPr>
              <w:pStyle w:val="TableCell"/>
              <w:keepNext/>
            </w:pPr>
            <w:r>
              <w:t xml:space="preserve">+0.049</w:t>
            </w:r>
          </w:p>
        </w:tc>
        <w:tc>
          <w:tcPr>
            <w:tcW w:type="dxa" w:w="1245"/>
          </w:tcPr>
          <w:p>
            <w:pPr>
              <w:pStyle w:val="TableCell"/>
              <w:keepNext/>
            </w:pPr>
            <w:r>
              <w:t xml:space="preserve">0.708</w:t>
            </w:r>
          </w:p>
        </w:tc>
        <w:tc>
          <w:tcPr>
            <w:tcW w:type="dxa" w:w="925"/>
          </w:tcPr>
          <w:p>
            <w:pPr>
              <w:pStyle w:val="TableCell"/>
              <w:keepNext/>
            </w:pPr>
            <w:r>
              <w:t xml:space="preserve">0.709</w:t>
            </w:r>
          </w:p>
        </w:tc>
        <w:tc>
          <w:tcPr>
            <w:tcW w:type="dxa" w:w="1245"/>
          </w:tcPr>
          <w:p>
            <w:pPr>
              <w:pStyle w:val="TableCell"/>
              <w:keepNext/>
            </w:pPr>
            <w:r>
              <w:t xml:space="preserve">−0.000</w:t>
            </w:r>
          </w:p>
        </w:tc>
      </w:tr>
      <w:tr>
        <w:tc>
          <w:tcPr>
            <w:tcW w:type="dxa" w:w="1500"/>
          </w:tcPr>
          <w:p>
            <w:pPr>
              <w:pStyle w:val="TableCell"/>
              <w:keepNext/>
            </w:pPr>
            <w:r>
              <w:t xml:space="preserve">CE (contrast only)</w:t>
            </w:r>
          </w:p>
        </w:tc>
        <w:tc>
          <w:tcPr>
            <w:tcW w:type="dxa" w:w="1120"/>
          </w:tcPr>
          <w:p>
            <w:pPr>
              <w:pStyle w:val="TableCell"/>
              <w:keepNext/>
            </w:pPr>
            <w:r>
              <w:t xml:space="preserve">0.986</w:t>
            </w:r>
          </w:p>
        </w:tc>
        <w:tc>
          <w:tcPr>
            <w:tcW w:type="dxa" w:w="1120"/>
          </w:tcPr>
          <w:p>
            <w:pPr>
              <w:pStyle w:val="TableCell"/>
              <w:keepNext/>
            </w:pPr>
            <w:r>
              <w:t xml:space="preserve">0.938</w:t>
            </w:r>
          </w:p>
        </w:tc>
        <w:tc>
          <w:tcPr>
            <w:tcW w:type="dxa" w:w="1245"/>
          </w:tcPr>
          <w:p>
            <w:pPr>
              <w:pStyle w:val="TableCell"/>
              <w:keepNext/>
            </w:pPr>
            <w:r>
              <w:t xml:space="preserve">+0.048</w:t>
            </w:r>
          </w:p>
        </w:tc>
        <w:tc>
          <w:tcPr>
            <w:tcW w:type="dxa" w:w="1245"/>
          </w:tcPr>
          <w:p>
            <w:pPr>
              <w:pStyle w:val="TableCell"/>
              <w:keepNext/>
            </w:pPr>
            <w:r>
              <w:t xml:space="preserve">0.735</w:t>
            </w:r>
          </w:p>
        </w:tc>
        <w:tc>
          <w:tcPr>
            <w:tcW w:type="dxa" w:w="925"/>
          </w:tcPr>
          <w:p>
            <w:pPr>
              <w:pStyle w:val="TableCell"/>
              <w:keepNext/>
            </w:pPr>
            <w:r>
              <w:t xml:space="preserve">0.673</w:t>
            </w:r>
          </w:p>
        </w:tc>
        <w:tc>
          <w:tcPr>
            <w:tcW w:type="dxa" w:w="1245"/>
          </w:tcPr>
          <w:p>
            <w:pPr>
              <w:pStyle w:val="TableCell"/>
              <w:keepNext/>
            </w:pPr>
            <w:r>
              <w:t xml:space="preserve">+0.062</w:t>
            </w:r>
          </w:p>
        </w:tc>
      </w:tr>
      <w:tr>
        <w:tc>
          <w:tcPr>
            <w:tcW w:type="dxa" w:w="1500"/>
          </w:tcPr>
          <w:p>
            <w:pPr>
              <w:pStyle w:val="TableCell"/>
              <w:keepNext/>
            </w:pPr>
            <w:r>
              <w:t xml:space="preserve">SimCLR-style (in-batch views)</w:t>
            </w:r>
          </w:p>
        </w:tc>
        <w:tc>
          <w:tcPr>
            <w:tcW w:type="dxa" w:w="1120"/>
          </w:tcPr>
          <w:p>
            <w:pPr>
              <w:pStyle w:val="TableCell"/>
              <w:keepNext/>
            </w:pPr>
            <w:r>
              <w:t xml:space="preserve">0.987</w:t>
            </w:r>
          </w:p>
        </w:tc>
        <w:tc>
          <w:tcPr>
            <w:tcW w:type="dxa" w:w="1120"/>
          </w:tcPr>
          <w:p>
            <w:pPr>
              <w:pStyle w:val="TableCell"/>
              <w:keepNext/>
            </w:pPr>
            <w:r>
              <w:t xml:space="preserve">0.918</w:t>
            </w:r>
          </w:p>
        </w:tc>
        <w:tc>
          <w:tcPr>
            <w:tcW w:type="dxa" w:w="1245"/>
          </w:tcPr>
          <w:p>
            <w:pPr>
              <w:pStyle w:val="TableCell"/>
              <w:keepNext/>
            </w:pPr>
            <w:r>
              <w:t xml:space="preserve">+0.069</w:t>
            </w:r>
          </w:p>
        </w:tc>
        <w:tc>
          <w:tcPr>
            <w:tcW w:type="dxa" w:w="1245"/>
          </w:tcPr>
          <w:p>
            <w:pPr>
              <w:pStyle w:val="TableCell"/>
              <w:keepNext/>
            </w:pPr>
            <w:r>
              <w:t xml:space="preserve">0.655</w:t>
            </w:r>
          </w:p>
        </w:tc>
        <w:tc>
          <w:tcPr>
            <w:tcW w:type="dxa" w:w="925"/>
          </w:tcPr>
          <w:p>
            <w:pPr>
              <w:pStyle w:val="TableCell"/>
              <w:keepNext/>
            </w:pPr>
            <w:r>
              <w:t xml:space="preserve">0.632</w:t>
            </w:r>
          </w:p>
        </w:tc>
        <w:tc>
          <w:tcPr>
            <w:tcW w:type="dxa" w:w="1245"/>
          </w:tcPr>
          <w:p>
            <w:pPr>
              <w:pStyle w:val="TableCell"/>
              <w:keepNext/>
            </w:pPr>
            <w:r>
              <w:t xml:space="preserve">+0.023</w:t>
            </w:r>
          </w:p>
        </w:tc>
      </w:tr>
      <w:tr>
        <w:tc>
          <w:tcPr>
            <w:tcW w:type="dxa" w:w="1500"/>
          </w:tcPr>
          <w:p>
            <w:pPr>
              <w:pStyle w:val="TableCell"/>
              <w:keepNext/>
            </w:pPr>
            <w:r>
              <w:t xml:space="preserve">I-CE (EMA + memory bank)</w:t>
            </w:r>
          </w:p>
        </w:tc>
        <w:tc>
          <w:tcPr>
            <w:tcW w:type="dxa" w:w="1120"/>
          </w:tcPr>
          <w:p>
            <w:pPr>
              <w:pStyle w:val="TableCell"/>
              <w:keepNext/>
            </w:pPr>
            <w:r>
              <w:t xml:space="preserve">0.978</w:t>
            </w:r>
          </w:p>
        </w:tc>
        <w:tc>
          <w:tcPr>
            <w:tcW w:type="dxa" w:w="1120"/>
          </w:tcPr>
          <w:p>
            <w:pPr>
              <w:pStyle w:val="TableCell"/>
              <w:keepNext/>
            </w:pPr>
            <w:r>
              <w:t xml:space="preserve">0.936</w:t>
            </w:r>
          </w:p>
        </w:tc>
        <w:tc>
          <w:tcPr>
            <w:tcW w:type="dxa" w:w="1245"/>
          </w:tcPr>
          <w:p>
            <w:pPr>
              <w:pStyle w:val="TableCell"/>
              <w:keepNext/>
            </w:pPr>
            <w:r>
              <w:t xml:space="preserve">+0.042</w:t>
            </w:r>
          </w:p>
        </w:tc>
        <w:tc>
          <w:tcPr>
            <w:tcW w:type="dxa" w:w="1245"/>
          </w:tcPr>
          <w:p>
            <w:pPr>
              <w:pStyle w:val="TableCell"/>
              <w:keepNext/>
            </w:pPr>
            <w:r>
              <w:t xml:space="preserve">0.613</w:t>
            </w:r>
          </w:p>
        </w:tc>
        <w:tc>
          <w:tcPr>
            <w:tcW w:type="dxa" w:w="925"/>
          </w:tcPr>
          <w:p>
            <w:pPr>
              <w:pStyle w:val="TableCell"/>
              <w:keepNext/>
            </w:pPr>
            <w:r>
              <w:t xml:space="preserve">0.636</w:t>
            </w:r>
          </w:p>
        </w:tc>
        <w:tc>
          <w:tcPr>
            <w:tcW w:type="dxa" w:w="1245"/>
          </w:tcPr>
          <w:p>
            <w:pPr>
              <w:pStyle w:val="TableCell"/>
              <w:keepNext/>
            </w:pPr>
            <w:r>
              <w:t xml:space="preserve">−0.024</w:t>
            </w:r>
          </w:p>
        </w:tc>
      </w:tr>
      <w:tr>
        <w:tc>
          <w:tcPr>
            <w:tcW w:type="dxa" w:w="1500"/>
          </w:tcPr>
          <w:p>
            <w:pPr>
              <w:pStyle w:val="TableCell"/>
              <w:keepNext/>
            </w:pPr>
            <w:r>
              <w:t xml:space="preserve">VICReg (expander wiring, v/i/c = 20/10/20)</w:t>
            </w:r>
          </w:p>
        </w:tc>
        <w:tc>
          <w:tcPr>
            <w:tcW w:type="dxa" w:w="1120"/>
          </w:tcPr>
          <w:p>
            <w:pPr>
              <w:pStyle w:val="TableCell"/>
              <w:keepNext/>
            </w:pPr>
            <w:r>
              <w:t xml:space="preserve">0.902</w:t>
            </w:r>
          </w:p>
        </w:tc>
        <w:tc>
          <w:tcPr>
            <w:tcW w:type="dxa" w:w="1120"/>
          </w:tcPr>
          <w:p>
            <w:pPr>
              <w:pStyle w:val="TableCell"/>
              <w:keepNext/>
            </w:pPr>
            <w:r>
              <w:t xml:space="preserve">0.823</w:t>
            </w:r>
          </w:p>
        </w:tc>
        <w:tc>
          <w:tcPr>
            <w:tcW w:type="dxa" w:w="1245"/>
          </w:tcPr>
          <w:p>
            <w:pPr>
              <w:pStyle w:val="TableCell"/>
              <w:keepNext/>
            </w:pPr>
            <w:r>
              <w:t xml:space="preserve">+0.079</w:t>
            </w:r>
          </w:p>
        </w:tc>
        <w:tc>
          <w:tcPr>
            <w:tcW w:type="dxa" w:w="1245"/>
          </w:tcPr>
          <w:p>
            <w:pPr>
              <w:pStyle w:val="TableCell"/>
              <w:keepNext/>
            </w:pPr>
            <w:r>
              <w:t xml:space="preserve">0.480</w:t>
            </w:r>
          </w:p>
        </w:tc>
        <w:tc>
          <w:tcPr>
            <w:tcW w:type="dxa" w:w="925"/>
          </w:tcPr>
          <w:p>
            <w:pPr>
              <w:pStyle w:val="TableCell"/>
              <w:keepNext/>
            </w:pPr>
            <w:r>
              <w:t xml:space="preserve">0.451</w:t>
            </w:r>
          </w:p>
        </w:tc>
        <w:tc>
          <w:tcPr>
            <w:tcW w:type="dxa" w:w="1245"/>
          </w:tcPr>
          <w:p>
            <w:pPr>
              <w:pStyle w:val="TableCell"/>
              <w:keepNext/>
            </w:pPr>
            <w:r>
              <w:t xml:space="preserve">+0.029</w:t>
            </w:r>
          </w:p>
        </w:tc>
      </w:tr>
      <w:tr>
        <w:tc>
          <w:tcPr>
            <w:tcW w:type="dxa" w:w="1500"/>
          </w:tcPr>
          <w:p>
            <w:pPr>
              <w:pStyle w:val="TableCell"/>
              <w:keepNext/>
            </w:pPr>
            <w:r>
              <w:t xml:space="preserve">BYOL</w:t>
            </w:r>
          </w:p>
        </w:tc>
        <w:tc>
          <w:tcPr>
            <w:tcW w:type="dxa" w:w="1120"/>
          </w:tcPr>
          <w:p>
            <w:pPr>
              <w:pStyle w:val="TableCell"/>
              <w:keepNext/>
            </w:pPr>
            <w:r>
              <w:t xml:space="preserve">0.732</w:t>
            </w:r>
          </w:p>
        </w:tc>
        <w:tc>
          <w:tcPr>
            <w:tcW w:type="dxa" w:w="1120"/>
          </w:tcPr>
          <w:p>
            <w:pPr>
              <w:pStyle w:val="TableCell"/>
              <w:keepNext/>
            </w:pPr>
            <w:r>
              <w:t xml:space="preserve">0.441</w:t>
            </w:r>
          </w:p>
        </w:tc>
        <w:tc>
          <w:tcPr>
            <w:tcW w:type="dxa" w:w="1245"/>
          </w:tcPr>
          <w:p>
            <w:pPr>
              <w:pStyle w:val="TableCell"/>
              <w:keepNext/>
            </w:pPr>
            <w:r>
              <w:t xml:space="preserve">+0.291</w:t>
            </w:r>
          </w:p>
        </w:tc>
        <w:tc>
          <w:tcPr>
            <w:tcW w:type="dxa" w:w="1245"/>
          </w:tcPr>
          <w:p>
            <w:pPr>
              <w:pStyle w:val="TableCell"/>
              <w:keepNext/>
            </w:pPr>
            <w:r>
              <w:t xml:space="preserve">0.355</w:t>
            </w:r>
          </w:p>
        </w:tc>
        <w:tc>
          <w:tcPr>
            <w:tcW w:type="dxa" w:w="925"/>
          </w:tcPr>
          <w:p>
            <w:pPr>
              <w:pStyle w:val="TableCell"/>
              <w:keepNext/>
            </w:pPr>
            <w:r>
              <w:t xml:space="preserve">0.284</w:t>
            </w:r>
          </w:p>
        </w:tc>
        <w:tc>
          <w:tcPr>
            <w:tcW w:type="dxa" w:w="1245"/>
          </w:tcPr>
          <w:p>
            <w:pPr>
              <w:pStyle w:val="TableCell"/>
              <w:keepNext/>
            </w:pPr>
            <w:r>
              <w:t xml:space="preserve">+0.072</w:t>
            </w:r>
          </w:p>
        </w:tc>
      </w:tr>
      <w:tr>
        <w:tc>
          <w:tcPr>
            <w:tcW w:type="dxa" w:w="1500"/>
          </w:tcPr>
          <w:p>
            <w:pPr>
              <w:pStyle w:val="TableCell"/>
            </w:pPr>
            <w:r>
              <w:t xml:space="preserve">Frozen embedder (mean pool)</w:t>
            </w:r>
          </w:p>
        </w:tc>
        <w:tc>
          <w:tcPr>
            <w:tcW w:type="dxa" w:w="1120"/>
          </w:tcPr>
          <w:p>
            <w:pPr>
              <w:pStyle w:val="TableCell"/>
            </w:pPr>
            <w:r>
              <w:t xml:space="preserve">0.425</w:t>
            </w:r>
          </w:p>
        </w:tc>
        <w:tc>
          <w:tcPr>
            <w:tcW w:type="dxa" w:w="1120"/>
          </w:tcPr>
          <w:p>
            <w:pPr>
              <w:pStyle w:val="TableCell"/>
            </w:pPr>
            <w:r>
              <w:t xml:space="preserve">0.425</w:t>
            </w:r>
          </w:p>
        </w:tc>
        <w:tc>
          <w:tcPr>
            <w:tcW w:type="dxa" w:w="1245"/>
          </w:tcPr>
          <w:p>
            <w:pPr>
              <w:pStyle w:val="TableCell"/>
            </w:pPr>
            <w:r>
              <w:t xml:space="preserve">+0.000</w:t>
            </w:r>
          </w:p>
        </w:tc>
        <w:tc>
          <w:tcPr>
            <w:tcW w:type="dxa" w:w="1245"/>
          </w:tcPr>
          <w:p>
            <w:pPr>
              <w:pStyle w:val="TableCell"/>
            </w:pPr>
            <w:r>
              <w:t xml:space="preserve">0.209</w:t>
            </w:r>
          </w:p>
        </w:tc>
        <w:tc>
          <w:tcPr>
            <w:tcW w:type="dxa" w:w="925"/>
          </w:tcPr>
          <w:p>
            <w:pPr>
              <w:pStyle w:val="TableCell"/>
            </w:pPr>
            <w:r>
              <w:t xml:space="preserve">0.209</w:t>
            </w:r>
          </w:p>
        </w:tc>
        <w:tc>
          <w:tcPr>
            <w:tcW w:type="dxa" w:w="1245"/>
          </w:tcPr>
          <w:p>
            <w:pPr>
              <w:pStyle w:val="TableCell"/>
            </w:pPr>
            <w:r>
              <w:t xml:space="preserve">−0.000</w:t>
            </w:r>
          </w:p>
        </w:tc>
      </w:tr>
    </w:tbl>
    <w:p>
      <w:pPr>
        <w:pStyle w:val="Para"/>
      </w:pPr>
      <w:r>
        <w:t xml:space="preserve">Two readings stand out. On name-intact queries every trained tower gives something back when the game is new, from 0.037 for I-CE to 0.291 for BYOL, and the ordering of that gap tracks how much of a tower’s identity resolution is anchored rather than remembered. On name-stripped queries the contrast is sharper still: plain CE scores 0.735 on games it trained on but only 0.673 on held-out ones, a 0.062 gap, while I-CE reads 0.740 and 0.741, a gap of −0.002 that runs the other way. The invariance term raises the name-stripped score and simultaneously removes the memorization component from it.</w:t>
      </w:r>
    </w:p>
    <w:sectPr w:rsidR="001E46A4" w:rsidRPr="001E46A4" w:rsidSect="000C6221">
      <w:footerReference w:type="defaul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6F531" w14:textId="77777777" w:rsidR="00914E45" w:rsidRDefault="00914E45" w:rsidP="0008602E">
      <w:r>
        <w:separator/>
      </w:r>
    </w:p>
  </w:endnote>
  <w:endnote w:type="continuationSeparator" w:id="0">
    <w:p w14:paraId="48211A0F" w14:textId="77777777" w:rsidR="00914E45" w:rsidRDefault="00914E45"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11DE" w14:textId="031539C3" w:rsidR="00894B43" w:rsidRDefault="00894B43" w:rsidP="00894B43">
    <w:pPr>
      <w:pStyle w:val="af"/>
      <w:jc w:val="center"/>
    </w:pPr>
    <w:r>
      <w:fldChar w:fldCharType="begin"/>
    </w:r>
    <w:r>
      <w:instrText xml:space="preserve"> PAGE   \* MERGEFORMAT </w:instrText>
    </w:r>
    <w:r>
      <w:fldChar w:fldCharType="separate"/>
    </w:r>
    <w:r w:rsidR="00D646AF">
      <w:rPr>
        <w:noProof/>
      </w:rPr>
      <w:t>12</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00A9D" w14:textId="77777777" w:rsidR="000C6221" w:rsidRDefault="000C6221">
    <w:pPr>
      <w:pStyle w:val="af"/>
    </w:pPr>
  </w:p>
  <w:p w14:paraId="7A29722F" w14:textId="77777777" w:rsidR="000C6221" w:rsidRDefault="000C6221">
    <w:pPr>
      <w:pStyle w:val="af"/>
    </w:pPr>
  </w:p>
  <w:p w14:paraId="79DEB755" w14:textId="77777777" w:rsidR="000C6221" w:rsidRDefault="000C6221">
    <w:pPr>
      <w:pStyle w:val="af"/>
    </w:pPr>
  </w:p>
  <w:p w14:paraId="68BB8E9E" w14:textId="77777777" w:rsidR="000C6221" w:rsidRDefault="000C6221">
    <w:pPr>
      <w:pStyle w:val="af"/>
    </w:pPr>
  </w:p>
  <w:p w14:paraId="09E1EECD" w14:textId="77777777" w:rsidR="000C6221" w:rsidRDefault="000C6221">
    <w:pPr>
      <w:pStyle w:val="af"/>
    </w:pPr>
  </w:p>
  <w:p w14:paraId="0B100EAE" w14:textId="77777777" w:rsidR="000C6221" w:rsidRDefault="000C6221">
    <w:pPr>
      <w:pStyle w:val="af"/>
    </w:pPr>
  </w:p>
  <w:p w14:paraId="35C5DB48" w14:textId="77777777" w:rsidR="000C6221" w:rsidRDefault="000C6221">
    <w:pPr>
      <w:pStyle w:val="af"/>
    </w:pPr>
  </w:p>
  <w:p w14:paraId="2553C5B1" w14:textId="77777777" w:rsidR="000C6221" w:rsidRDefault="000C6221">
    <w:pPr>
      <w:pStyle w:val="af"/>
    </w:pPr>
  </w:p>
  <w:p w14:paraId="715E4BB1" w14:textId="77777777" w:rsidR="000C6221" w:rsidRDefault="000C6221">
    <w:pPr>
      <w:pStyle w:val="af"/>
    </w:pPr>
  </w:p>
  <w:p w14:paraId="6AC5033F" w14:textId="77777777" w:rsidR="000C6221" w:rsidRDefault="000C6221">
    <w:pPr>
      <w:pStyle w:val="af"/>
    </w:pPr>
  </w:p>
  <w:p w14:paraId="4AF516C3" w14:textId="77777777" w:rsidR="000C6221" w:rsidRDefault="000C6221">
    <w:pPr>
      <w:pStyle w:val="af"/>
    </w:pPr>
  </w:p>
  <w:p w14:paraId="6D3ADB38" w14:textId="77777777" w:rsidR="000C6221" w:rsidRDefault="000C6221">
    <w:pPr>
      <w:pStyle w:val="af"/>
    </w:pPr>
  </w:p>
  <w:p w14:paraId="36572510" w14:textId="77777777" w:rsidR="000C6221" w:rsidRDefault="000C6221">
    <w:pPr>
      <w:pStyle w:val="af"/>
    </w:pPr>
  </w:p>
  <w:p w14:paraId="4F875FAD" w14:textId="77777777" w:rsidR="000C6221" w:rsidRDefault="000C6221">
    <w:pPr>
      <w:pStyle w:val="af"/>
    </w:pPr>
  </w:p>
  <w:p w14:paraId="7BDA2472" w14:textId="77777777" w:rsidR="000C6221" w:rsidRDefault="000C6221">
    <w:pPr>
      <w:pStyle w:val="af"/>
    </w:pPr>
  </w:p>
  <w:p w14:paraId="1010A67F" w14:textId="77777777" w:rsidR="000C6221" w:rsidRDefault="000C6221">
    <w:pPr>
      <w:pStyle w:val="af"/>
    </w:pPr>
  </w:p>
  <w:p w14:paraId="16AD449E" w14:textId="7AB515C2" w:rsidR="001E2D05" w:rsidRDefault="001E2D0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FC9F8" w14:textId="77777777" w:rsidR="00914E45" w:rsidRDefault="00914E45" w:rsidP="0008602E">
      <w:r>
        <w:separator/>
      </w:r>
    </w:p>
  </w:footnote>
  <w:footnote w:type="continuationSeparator" w:id="0">
    <w:p w14:paraId="5086B8FF" w14:textId="77777777" w:rsidR="00914E45" w:rsidRDefault="00914E45" w:rsidP="0008602E">
      <w:r>
        <w:continuationSeparator/>
      </w:r>
    </w:p>
  </w:footnote>
  <w:footnote w:id="1">
    <w:p w14:paraId="3B1217BF" w14:textId="77777777" w:rsidR="00B1638F" w:rsidRDefault="00B1638F" w:rsidP="00B1638F">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C644BE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27EF8AC"/>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017F0B4D"/>
    <w:multiLevelType w:val="multilevel"/>
    <w:tmpl w:val="4D6825E8"/>
    <w:numStyleLink w:val="111111"/>
  </w:abstractNum>
  <w:abstractNum w:abstractNumId="12" w15:restartNumberingAfterBreak="0">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15:restartNumberingAfterBreak="0">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15:restartNumberingAfterBreak="0">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0B90ECF"/>
    <w:multiLevelType w:val="multilevel"/>
    <w:tmpl w:val="4D6825E8"/>
    <w:numStyleLink w:val="111111"/>
  </w:abstractNum>
  <w:abstractNum w:abstractNumId="19"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20" w15:restartNumberingAfterBreak="0">
    <w:nsid w:val="36662F61"/>
    <w:multiLevelType w:val="singleLevel"/>
    <w:tmpl w:val="40090019"/>
    <w:lvl w:ilvl="0">
      <w:start w:val="1"/>
      <w:numFmt w:val="decimal"/>
      <w:pStyle w:val="a1"/>
      <w:lvlText w:val="%1."/>
      <w:lvlJc w:val="left"/>
      <w:pPr>
        <w:ind w:left="480" w:hanging="240"/>
      </w:pPr>
      <w:rPr>
        <w:rFonts w:hint="default"/>
      </w:rPr>
    </w:lvl>
  </w:abstractNum>
  <w:abstractNum w:abstractNumId="21" w15:restartNumberingAfterBreak="0">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23" w15:restartNumberingAfterBreak="0">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15:restartNumberingAfterBreak="0">
    <w:nsid w:val="47B82382"/>
    <w:multiLevelType w:val="multilevel"/>
    <w:tmpl w:val="0409001D"/>
    <w:styleLink w:val="1111110"/>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26" w15:restartNumberingAfterBreak="0">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30"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15:restartNumberingAfterBreak="0">
    <w:nsid w:val="7E544166"/>
    <w:multiLevelType w:val="multilevel"/>
    <w:tmpl w:val="4D6825E8"/>
    <w:numStyleLink w:val="111111"/>
  </w:abstractNum>
  <w:num w:numId="1" w16cid:durableId="10144583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322365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0150404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75176063">
    <w:abstractNumId w:val="16"/>
  </w:num>
  <w:num w:numId="5" w16cid:durableId="397478589">
    <w:abstractNumId w:val="10"/>
  </w:num>
  <w:num w:numId="6" w16cid:durableId="251740450">
    <w:abstractNumId w:val="0"/>
  </w:num>
  <w:num w:numId="7" w16cid:durableId="688722827">
    <w:abstractNumId w:val="1"/>
  </w:num>
  <w:num w:numId="8" w16cid:durableId="1800297441">
    <w:abstractNumId w:val="2"/>
  </w:num>
  <w:num w:numId="9" w16cid:durableId="395930497">
    <w:abstractNumId w:val="3"/>
  </w:num>
  <w:num w:numId="10" w16cid:durableId="1288243071">
    <w:abstractNumId w:val="8"/>
  </w:num>
  <w:num w:numId="11" w16cid:durableId="487937070">
    <w:abstractNumId w:val="4"/>
  </w:num>
  <w:num w:numId="12" w16cid:durableId="1643388039">
    <w:abstractNumId w:val="5"/>
  </w:num>
  <w:num w:numId="13" w16cid:durableId="905191474">
    <w:abstractNumId w:val="6"/>
  </w:num>
  <w:num w:numId="14" w16cid:durableId="272369836">
    <w:abstractNumId w:val="7"/>
  </w:num>
  <w:num w:numId="15" w16cid:durableId="1960990631">
    <w:abstractNumId w:val="9"/>
  </w:num>
  <w:num w:numId="16" w16cid:durableId="1228805823">
    <w:abstractNumId w:val="30"/>
  </w:num>
  <w:num w:numId="17" w16cid:durableId="376590714">
    <w:abstractNumId w:val="24"/>
  </w:num>
  <w:num w:numId="18" w16cid:durableId="1052271427">
    <w:abstractNumId w:val="28"/>
  </w:num>
  <w:num w:numId="19" w16cid:durableId="1931504280">
    <w:abstractNumId w:val="10"/>
  </w:num>
  <w:num w:numId="20" w16cid:durableId="154229297">
    <w:abstractNumId w:val="27"/>
  </w:num>
  <w:num w:numId="21" w16cid:durableId="918170979">
    <w:abstractNumId w:val="16"/>
    <w:lvlOverride w:ilvl="0">
      <w:startOverride w:val="1"/>
    </w:lvlOverride>
  </w:num>
  <w:num w:numId="22" w16cid:durableId="864632546">
    <w:abstractNumId w:val="16"/>
    <w:lvlOverride w:ilvl="0">
      <w:startOverride w:val="1"/>
    </w:lvlOverride>
  </w:num>
  <w:num w:numId="23" w16cid:durableId="1614629629">
    <w:abstractNumId w:val="23"/>
  </w:num>
  <w:num w:numId="24" w16cid:durableId="1158152654">
    <w:abstractNumId w:val="26"/>
  </w:num>
  <w:num w:numId="25" w16cid:durableId="145167183">
    <w:abstractNumId w:val="11"/>
  </w:num>
  <w:num w:numId="26" w16cid:durableId="1739479448">
    <w:abstractNumId w:val="23"/>
  </w:num>
  <w:num w:numId="27" w16cid:durableId="1714576191">
    <w:abstractNumId w:val="14"/>
  </w:num>
  <w:num w:numId="28" w16cid:durableId="699279860">
    <w:abstractNumId w:val="11"/>
    <w:lvlOverride w:ilvl="0">
      <w:startOverride w:val="1"/>
    </w:lvlOverride>
  </w:num>
  <w:num w:numId="29" w16cid:durableId="583339816">
    <w:abstractNumId w:val="15"/>
  </w:num>
  <w:num w:numId="30" w16cid:durableId="1896892550">
    <w:abstractNumId w:val="11"/>
    <w:lvlOverride w:ilvl="0">
      <w:startOverride w:val="1"/>
    </w:lvlOverride>
  </w:num>
  <w:num w:numId="31" w16cid:durableId="2002343236">
    <w:abstractNumId w:val="11"/>
  </w:num>
  <w:num w:numId="32" w16cid:durableId="1016150049">
    <w:abstractNumId w:val="12"/>
  </w:num>
  <w:num w:numId="33" w16cid:durableId="287394588">
    <w:abstractNumId w:val="11"/>
    <w:lvlOverride w:ilvl="0">
      <w:startOverride w:val="1"/>
    </w:lvlOverride>
  </w:num>
  <w:num w:numId="34" w16cid:durableId="901794877">
    <w:abstractNumId w:val="17"/>
  </w:num>
  <w:num w:numId="35" w16cid:durableId="1164247843">
    <w:abstractNumId w:val="32"/>
  </w:num>
  <w:num w:numId="36" w16cid:durableId="1177423646">
    <w:abstractNumId w:val="18"/>
  </w:num>
  <w:num w:numId="37" w16cid:durableId="941376156">
    <w:abstractNumId w:val="21"/>
  </w:num>
  <w:num w:numId="38" w16cid:durableId="18455969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9358132">
    <w:abstractNumId w:val="20"/>
  </w:num>
  <w:num w:numId="40" w16cid:durableId="1741171739">
    <w:abstractNumId w:val="22"/>
  </w:num>
  <w:num w:numId="41" w16cid:durableId="999112159">
    <w:abstractNumId w:val="29"/>
  </w:num>
  <w:num w:numId="42" w16cid:durableId="379675583">
    <w:abstractNumId w:val="19"/>
  </w:num>
  <w:num w:numId="43" w16cid:durableId="754280002">
    <w:abstractNumId w:val="13"/>
  </w:num>
  <w:num w:numId="44" w16cid:durableId="2121341422">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12038"/>
    <w:rsid w:val="00016A42"/>
    <w:rsid w:val="00026F05"/>
    <w:rsid w:val="00030078"/>
    <w:rsid w:val="0004530F"/>
    <w:rsid w:val="00056759"/>
    <w:rsid w:val="00071858"/>
    <w:rsid w:val="000723E6"/>
    <w:rsid w:val="0007457F"/>
    <w:rsid w:val="000852CB"/>
    <w:rsid w:val="0008602E"/>
    <w:rsid w:val="00094CDC"/>
    <w:rsid w:val="00095C5D"/>
    <w:rsid w:val="00097023"/>
    <w:rsid w:val="00097C6B"/>
    <w:rsid w:val="000B263B"/>
    <w:rsid w:val="000B40B0"/>
    <w:rsid w:val="000B66C4"/>
    <w:rsid w:val="000B69BC"/>
    <w:rsid w:val="000C43BD"/>
    <w:rsid w:val="000C6221"/>
    <w:rsid w:val="000E65D7"/>
    <w:rsid w:val="000E7A86"/>
    <w:rsid w:val="000F27EC"/>
    <w:rsid w:val="00133DB7"/>
    <w:rsid w:val="001419C7"/>
    <w:rsid w:val="00143408"/>
    <w:rsid w:val="001464FF"/>
    <w:rsid w:val="001609FD"/>
    <w:rsid w:val="00165CFE"/>
    <w:rsid w:val="00171F58"/>
    <w:rsid w:val="00175D35"/>
    <w:rsid w:val="00184F3C"/>
    <w:rsid w:val="00187EEE"/>
    <w:rsid w:val="001A2505"/>
    <w:rsid w:val="001B0568"/>
    <w:rsid w:val="001B1C82"/>
    <w:rsid w:val="001B690F"/>
    <w:rsid w:val="001D2DB8"/>
    <w:rsid w:val="001E2551"/>
    <w:rsid w:val="001E2D05"/>
    <w:rsid w:val="001E46A4"/>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B7BDE"/>
    <w:rsid w:val="002C4ACC"/>
    <w:rsid w:val="002D27B4"/>
    <w:rsid w:val="002E3C76"/>
    <w:rsid w:val="002E4BBC"/>
    <w:rsid w:val="002E613F"/>
    <w:rsid w:val="0030123F"/>
    <w:rsid w:val="00307806"/>
    <w:rsid w:val="00325075"/>
    <w:rsid w:val="0034440B"/>
    <w:rsid w:val="00345FD1"/>
    <w:rsid w:val="00346032"/>
    <w:rsid w:val="00347097"/>
    <w:rsid w:val="0035027B"/>
    <w:rsid w:val="00355041"/>
    <w:rsid w:val="00357AFE"/>
    <w:rsid w:val="00360455"/>
    <w:rsid w:val="00382673"/>
    <w:rsid w:val="003970AA"/>
    <w:rsid w:val="003A2157"/>
    <w:rsid w:val="003A5268"/>
    <w:rsid w:val="003A540F"/>
    <w:rsid w:val="003B13D2"/>
    <w:rsid w:val="003B418C"/>
    <w:rsid w:val="003B75C2"/>
    <w:rsid w:val="003C3AB4"/>
    <w:rsid w:val="003C532D"/>
    <w:rsid w:val="003D6F43"/>
    <w:rsid w:val="003E025A"/>
    <w:rsid w:val="003E2301"/>
    <w:rsid w:val="003F3514"/>
    <w:rsid w:val="003F6914"/>
    <w:rsid w:val="0040379A"/>
    <w:rsid w:val="00411515"/>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E7CE0"/>
    <w:rsid w:val="004F1F77"/>
    <w:rsid w:val="004F297F"/>
    <w:rsid w:val="00501023"/>
    <w:rsid w:val="00523880"/>
    <w:rsid w:val="00530374"/>
    <w:rsid w:val="0054003C"/>
    <w:rsid w:val="005447E5"/>
    <w:rsid w:val="00544B8C"/>
    <w:rsid w:val="0054701D"/>
    <w:rsid w:val="00551592"/>
    <w:rsid w:val="00560F83"/>
    <w:rsid w:val="00565836"/>
    <w:rsid w:val="005670C2"/>
    <w:rsid w:val="005722C7"/>
    <w:rsid w:val="005804EB"/>
    <w:rsid w:val="0058050A"/>
    <w:rsid w:val="0058251A"/>
    <w:rsid w:val="0059056E"/>
    <w:rsid w:val="00593E4E"/>
    <w:rsid w:val="005B128B"/>
    <w:rsid w:val="005C5AC4"/>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70B8"/>
    <w:rsid w:val="008A7B2D"/>
    <w:rsid w:val="008C40F0"/>
    <w:rsid w:val="008D3252"/>
    <w:rsid w:val="008D5155"/>
    <w:rsid w:val="008E02DD"/>
    <w:rsid w:val="008F5A4A"/>
    <w:rsid w:val="00906FA6"/>
    <w:rsid w:val="009132D2"/>
    <w:rsid w:val="00914E45"/>
    <w:rsid w:val="00923F1F"/>
    <w:rsid w:val="00925CE4"/>
    <w:rsid w:val="00954449"/>
    <w:rsid w:val="0096469A"/>
    <w:rsid w:val="009666F6"/>
    <w:rsid w:val="00976834"/>
    <w:rsid w:val="0098316C"/>
    <w:rsid w:val="00983E7F"/>
    <w:rsid w:val="00984078"/>
    <w:rsid w:val="009907FC"/>
    <w:rsid w:val="00991E32"/>
    <w:rsid w:val="00996EF9"/>
    <w:rsid w:val="009A05BE"/>
    <w:rsid w:val="009B5CDC"/>
    <w:rsid w:val="009D1F50"/>
    <w:rsid w:val="009D632E"/>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7EFD"/>
    <w:rsid w:val="00A91516"/>
    <w:rsid w:val="00A96468"/>
    <w:rsid w:val="00AA345B"/>
    <w:rsid w:val="00AA6E11"/>
    <w:rsid w:val="00AB385B"/>
    <w:rsid w:val="00AB49A2"/>
    <w:rsid w:val="00AB6464"/>
    <w:rsid w:val="00AD2B71"/>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A1E28"/>
    <w:rsid w:val="00CB3E5C"/>
    <w:rsid w:val="00CC1C8C"/>
    <w:rsid w:val="00CC1ECE"/>
    <w:rsid w:val="00CD6BEE"/>
    <w:rsid w:val="00CE09D7"/>
    <w:rsid w:val="00CE5EA4"/>
    <w:rsid w:val="00CE687A"/>
    <w:rsid w:val="00CE6F4E"/>
    <w:rsid w:val="00CF5162"/>
    <w:rsid w:val="00D02F71"/>
    <w:rsid w:val="00D04CEC"/>
    <w:rsid w:val="00D05B86"/>
    <w:rsid w:val="00D05B93"/>
    <w:rsid w:val="00D1477A"/>
    <w:rsid w:val="00D25BDB"/>
    <w:rsid w:val="00D26753"/>
    <w:rsid w:val="00D26E14"/>
    <w:rsid w:val="00D315A5"/>
    <w:rsid w:val="00D32C9E"/>
    <w:rsid w:val="00D4116C"/>
    <w:rsid w:val="00D41A16"/>
    <w:rsid w:val="00D458D0"/>
    <w:rsid w:val="00D646AF"/>
    <w:rsid w:val="00D75782"/>
    <w:rsid w:val="00D81AE6"/>
    <w:rsid w:val="00D92A3B"/>
    <w:rsid w:val="00DA5AB4"/>
    <w:rsid w:val="00DB1127"/>
    <w:rsid w:val="00DB176D"/>
    <w:rsid w:val="00DC6044"/>
    <w:rsid w:val="00DD4AD3"/>
    <w:rsid w:val="00DD4D76"/>
    <w:rsid w:val="00DD5CB7"/>
    <w:rsid w:val="00DF0BA4"/>
    <w:rsid w:val="00E00E3A"/>
    <w:rsid w:val="00E02C38"/>
    <w:rsid w:val="00E03AF6"/>
    <w:rsid w:val="00E31A15"/>
    <w:rsid w:val="00E51565"/>
    <w:rsid w:val="00E62682"/>
    <w:rsid w:val="00EA155B"/>
    <w:rsid w:val="00EA39C9"/>
    <w:rsid w:val="00EA5ED5"/>
    <w:rsid w:val="00EB17F1"/>
    <w:rsid w:val="00EC59D4"/>
    <w:rsid w:val="00ED01B9"/>
    <w:rsid w:val="00ED07F9"/>
    <w:rsid w:val="00ED2C80"/>
    <w:rsid w:val="00EE2E4F"/>
    <w:rsid w:val="00EE4FEB"/>
    <w:rsid w:val="00EF18AD"/>
    <w:rsid w:val="00EF2F35"/>
    <w:rsid w:val="00EF634C"/>
    <w:rsid w:val="00F040F5"/>
    <w:rsid w:val="00F05498"/>
    <w:rsid w:val="00F06DDF"/>
    <w:rsid w:val="00F50A91"/>
    <w:rsid w:val="00F542FA"/>
    <w:rsid w:val="00F64D59"/>
    <w:rsid w:val="00FA3C9C"/>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76E1420B"/>
  <w15:docId w15:val="{8DFD3AE9-43A3-4C65-9F9C-3B18ED2D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0"/>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2"/>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2"/>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2"/>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2"/>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0"/>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0"/>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0"/>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0"/>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a9"/>
    <w:rsid w:val="00EF2F35"/>
    <w:pPr>
      <w:spacing w:after="200"/>
    </w:pPr>
    <w:rPr>
      <w:rFonts w:ascii="Linux Libertine O" w:eastAsia="Cambria" w:hAnsi="Linux Libertine O" w:cs="Linux Libertine O"/>
      <w:sz w:val="14"/>
      <w:lang w:val="en-US" w:eastAsia="en-US"/>
    </w:rPr>
  </w:style>
  <w:style w:type="character" w:customStyle="1" w:styleId="a9">
    <w:name w:val="脚注文本 字符"/>
    <w:link w:val="a8"/>
    <w:rsid w:val="00EF2F35"/>
    <w:rPr>
      <w:rFonts w:ascii="Linux Libertine O" w:eastAsia="Cambria" w:hAnsi="Linux Libertine O" w:cs="Linux Libertine O"/>
      <w:sz w:val="14"/>
      <w:szCs w:val="24"/>
    </w:rPr>
  </w:style>
  <w:style w:type="paragraph" w:styleId="aa">
    <w:name w:val="Subtitle"/>
    <w:basedOn w:val="a3"/>
    <w:next w:val="a3"/>
    <w:link w:val="ab"/>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ab">
    <w:name w:val="副标题 字符"/>
    <w:link w:val="aa"/>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c">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d">
    <w:name w:val="Balloon Text"/>
    <w:basedOn w:val="a3"/>
    <w:link w:val="ae"/>
    <w:uiPriority w:val="99"/>
    <w:semiHidden/>
    <w:unhideWhenUsed/>
    <w:rsid w:val="00EF2F35"/>
    <w:rPr>
      <w:rFonts w:ascii="Linux Biolinum O" w:eastAsia="MS Mincho" w:hAnsi="Linux Biolinum O" w:cs="Linux Biolinum O"/>
      <w:sz w:val="18"/>
      <w:szCs w:val="18"/>
      <w:lang w:val="en-US" w:eastAsia="ja-JP"/>
    </w:rPr>
  </w:style>
  <w:style w:type="character" w:customStyle="1" w:styleId="ae">
    <w:name w:val="批注框文本 字符"/>
    <w:basedOn w:val="a4"/>
    <w:link w:val="ad"/>
    <w:uiPriority w:val="99"/>
    <w:semiHidden/>
    <w:rsid w:val="00EF2F35"/>
    <w:rPr>
      <w:rFonts w:ascii="Linux Biolinum O" w:hAnsi="Linux Biolinum O" w:cs="Linux Biolinum O"/>
      <w:sz w:val="18"/>
      <w:szCs w:val="18"/>
      <w:lang w:eastAsia="ja-JP"/>
    </w:rPr>
  </w:style>
  <w:style w:type="paragraph" w:styleId="af">
    <w:name w:val="footer"/>
    <w:basedOn w:val="a3"/>
    <w:link w:val="af0"/>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af0">
    <w:name w:val="页脚 字符"/>
    <w:basedOn w:val="a4"/>
    <w:link w:val="af"/>
    <w:uiPriority w:val="99"/>
    <w:rsid w:val="00EF2F35"/>
    <w:rPr>
      <w:rFonts w:ascii="Linux Libertine O" w:hAnsi="Linux Libertine O" w:cs="Linux Libertine O"/>
      <w:sz w:val="18"/>
      <w:szCs w:val="24"/>
      <w:lang w:eastAsia="ja-JP"/>
    </w:rPr>
  </w:style>
  <w:style w:type="character" w:styleId="af1">
    <w:name w:val="page number"/>
    <w:basedOn w:val="a4"/>
    <w:uiPriority w:val="99"/>
    <w:semiHidden/>
    <w:unhideWhenUsed/>
    <w:rsid w:val="00EF2F35"/>
    <w:rPr>
      <w:rFonts w:ascii="Linux Libertine O" w:hAnsi="Linux Libertine O" w:cs="Linux Libertine O"/>
    </w:rPr>
  </w:style>
  <w:style w:type="character" w:customStyle="1" w:styleId="10">
    <w:name w:val="标题 1 字符"/>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2">
    <w:name w:val="标题 2 字符"/>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2">
    <w:name w:val="标题 3 字符"/>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2">
    <w:name w:val="标题 4 字符"/>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2">
    <w:name w:val="标题 5 字符"/>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0">
    <w:name w:val="标题 6 字符"/>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0">
    <w:name w:val="标题 7 字符"/>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0">
    <w:name w:val="标题 8 字符"/>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0">
    <w:name w:val="标题 9 字符"/>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f2">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3">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4">
    <w:name w:val="Body Text"/>
    <w:basedOn w:val="a3"/>
    <w:link w:val="af5"/>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af5">
    <w:name w:val="正文文本 字符"/>
    <w:basedOn w:val="a4"/>
    <w:link w:val="af4"/>
    <w:uiPriority w:val="99"/>
    <w:semiHidden/>
    <w:rsid w:val="00EA5ED5"/>
    <w:rPr>
      <w:rFonts w:ascii="Linux Libertine O" w:hAnsi="Linux Libertine O" w:cs="Linux Libertine O"/>
      <w:sz w:val="18"/>
      <w:szCs w:val="24"/>
      <w:lang w:eastAsia="ja-JP"/>
    </w:rPr>
  </w:style>
  <w:style w:type="paragraph" w:styleId="23">
    <w:name w:val="Body Text 2"/>
    <w:basedOn w:val="a3"/>
    <w:link w:val="24"/>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4">
    <w:name w:val="正文文本 2 字符"/>
    <w:basedOn w:val="a4"/>
    <w:link w:val="23"/>
    <w:uiPriority w:val="99"/>
    <w:semiHidden/>
    <w:rsid w:val="00EA5ED5"/>
    <w:rPr>
      <w:rFonts w:ascii="Linux Libertine O" w:hAnsi="Linux Libertine O" w:cs="Linux Libertine O"/>
      <w:sz w:val="18"/>
      <w:szCs w:val="24"/>
      <w:lang w:eastAsia="ja-JP"/>
    </w:rPr>
  </w:style>
  <w:style w:type="paragraph" w:styleId="33">
    <w:name w:val="Body Text 3"/>
    <w:basedOn w:val="a3"/>
    <w:link w:val="34"/>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4">
    <w:name w:val="正文文本 3 字符"/>
    <w:basedOn w:val="a4"/>
    <w:link w:val="33"/>
    <w:uiPriority w:val="99"/>
    <w:semiHidden/>
    <w:rsid w:val="00EA5ED5"/>
    <w:rPr>
      <w:rFonts w:ascii="Linux Libertine O" w:hAnsi="Linux Libertine O" w:cs="Linux Libertine O"/>
      <w:sz w:val="16"/>
      <w:szCs w:val="16"/>
      <w:lang w:eastAsia="ja-JP"/>
    </w:rPr>
  </w:style>
  <w:style w:type="paragraph" w:styleId="af6">
    <w:name w:val="Body Text First Indent"/>
    <w:basedOn w:val="af4"/>
    <w:link w:val="af7"/>
    <w:uiPriority w:val="99"/>
    <w:semiHidden/>
    <w:unhideWhenUsed/>
    <w:rsid w:val="00EA5ED5"/>
    <w:pPr>
      <w:spacing w:after="200"/>
      <w:ind w:firstLine="360"/>
    </w:pPr>
  </w:style>
  <w:style w:type="character" w:customStyle="1" w:styleId="af7">
    <w:name w:val="正文文本首行缩进 字符"/>
    <w:basedOn w:val="af5"/>
    <w:link w:val="af6"/>
    <w:uiPriority w:val="99"/>
    <w:semiHidden/>
    <w:rsid w:val="00EA5ED5"/>
    <w:rPr>
      <w:rFonts w:ascii="Linux Libertine O" w:hAnsi="Linux Libertine O" w:cs="Linux Libertine O"/>
      <w:sz w:val="18"/>
      <w:szCs w:val="24"/>
      <w:lang w:eastAsia="ja-JP"/>
    </w:rPr>
  </w:style>
  <w:style w:type="paragraph" w:styleId="af8">
    <w:name w:val="Body Text Indent"/>
    <w:basedOn w:val="a3"/>
    <w:link w:val="af9"/>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af9">
    <w:name w:val="正文文本缩进 字符"/>
    <w:basedOn w:val="a4"/>
    <w:link w:val="af8"/>
    <w:uiPriority w:val="99"/>
    <w:semiHidden/>
    <w:rsid w:val="00EA5ED5"/>
    <w:rPr>
      <w:rFonts w:ascii="Linux Libertine O" w:hAnsi="Linux Libertine O" w:cs="Linux Libertine O"/>
      <w:sz w:val="18"/>
      <w:szCs w:val="24"/>
      <w:lang w:eastAsia="ja-JP"/>
    </w:rPr>
  </w:style>
  <w:style w:type="paragraph" w:styleId="25">
    <w:name w:val="Body Text First Indent 2"/>
    <w:basedOn w:val="af8"/>
    <w:link w:val="26"/>
    <w:uiPriority w:val="99"/>
    <w:semiHidden/>
    <w:unhideWhenUsed/>
    <w:rsid w:val="00EA5ED5"/>
    <w:pPr>
      <w:spacing w:after="200"/>
      <w:ind w:firstLine="360"/>
    </w:pPr>
  </w:style>
  <w:style w:type="character" w:customStyle="1" w:styleId="26">
    <w:name w:val="正文文本首行缩进 2 字符"/>
    <w:basedOn w:val="af9"/>
    <w:link w:val="25"/>
    <w:uiPriority w:val="99"/>
    <w:semiHidden/>
    <w:rsid w:val="00EA5ED5"/>
    <w:rPr>
      <w:rFonts w:ascii="Linux Libertine O" w:hAnsi="Linux Libertine O" w:cs="Linux Libertine O"/>
      <w:sz w:val="18"/>
      <w:szCs w:val="24"/>
      <w:lang w:eastAsia="ja-JP"/>
    </w:rPr>
  </w:style>
  <w:style w:type="paragraph" w:styleId="27">
    <w:name w:val="Body Text Indent 2"/>
    <w:basedOn w:val="a3"/>
    <w:link w:val="28"/>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8">
    <w:name w:val="正文文本缩进 2 字符"/>
    <w:basedOn w:val="a4"/>
    <w:link w:val="27"/>
    <w:uiPriority w:val="99"/>
    <w:semiHidden/>
    <w:rsid w:val="00EA5ED5"/>
    <w:rPr>
      <w:rFonts w:ascii="Linux Libertine O" w:hAnsi="Linux Libertine O" w:cs="Linux Libertine O"/>
      <w:sz w:val="18"/>
      <w:szCs w:val="24"/>
      <w:lang w:eastAsia="ja-JP"/>
    </w:rPr>
  </w:style>
  <w:style w:type="paragraph" w:styleId="35">
    <w:name w:val="Body Text Indent 3"/>
    <w:basedOn w:val="a3"/>
    <w:link w:val="36"/>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6">
    <w:name w:val="正文文本缩进 3 字符"/>
    <w:basedOn w:val="a4"/>
    <w:link w:val="35"/>
    <w:uiPriority w:val="99"/>
    <w:semiHidden/>
    <w:rsid w:val="00EA5ED5"/>
    <w:rPr>
      <w:rFonts w:ascii="Linux Libertine O" w:hAnsi="Linux Libertine O" w:cs="Linux Libertine O"/>
      <w:sz w:val="16"/>
      <w:szCs w:val="16"/>
      <w:lang w:eastAsia="ja-JP"/>
    </w:rPr>
  </w:style>
  <w:style w:type="character" w:styleId="afa">
    <w:name w:val="Book Title"/>
    <w:basedOn w:val="a4"/>
    <w:uiPriority w:val="33"/>
    <w:qFormat/>
    <w:rsid w:val="00EA5ED5"/>
    <w:rPr>
      <w:rFonts w:ascii="Linux Biolinum O" w:hAnsi="Linux Biolinum O" w:cs="Linux Biolinum O"/>
      <w:b/>
      <w:bCs/>
      <w:i/>
      <w:iCs/>
      <w:spacing w:val="5"/>
    </w:rPr>
  </w:style>
  <w:style w:type="paragraph" w:styleId="afb">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c">
    <w:name w:val="Closing"/>
    <w:basedOn w:val="a3"/>
    <w:link w:val="afd"/>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d">
    <w:name w:val="结束语 字符"/>
    <w:basedOn w:val="a4"/>
    <w:link w:val="afc"/>
    <w:uiPriority w:val="99"/>
    <w:semiHidden/>
    <w:rsid w:val="00EA5ED5"/>
    <w:rPr>
      <w:rFonts w:ascii="Linux Libertine O" w:hAnsi="Linux Libertine O" w:cs="Linux Libertine O"/>
      <w:sz w:val="18"/>
      <w:szCs w:val="24"/>
      <w:lang w:eastAsia="ja-JP"/>
    </w:rPr>
  </w:style>
  <w:style w:type="table" w:styleId="afe">
    <w:name w:val="Colorful Grid"/>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f">
    <w:name w:val="Colorful List"/>
    <w:basedOn w:val="a5"/>
    <w:uiPriority w:val="72"/>
    <w:semiHidden/>
    <w:unhideWhenUsed/>
    <w:rsid w:val="00EA5ED5"/>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Shading"/>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f1">
    <w:name w:val="annotation reference"/>
    <w:basedOn w:val="a4"/>
    <w:uiPriority w:val="99"/>
    <w:semiHidden/>
    <w:unhideWhenUsed/>
    <w:rsid w:val="00EA5ED5"/>
    <w:rPr>
      <w:rFonts w:ascii="Linux Biolinum O" w:hAnsi="Linux Biolinum O" w:cs="Linux Biolinum O"/>
      <w:sz w:val="16"/>
      <w:szCs w:val="16"/>
    </w:rPr>
  </w:style>
  <w:style w:type="paragraph" w:styleId="aff2">
    <w:name w:val="annotation text"/>
    <w:basedOn w:val="a3"/>
    <w:link w:val="aff3"/>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aff3">
    <w:name w:val="批注文字 字符"/>
    <w:basedOn w:val="a4"/>
    <w:link w:val="aff2"/>
    <w:uiPriority w:val="99"/>
    <w:semiHidden/>
    <w:rsid w:val="00EA5ED5"/>
    <w:rPr>
      <w:rFonts w:ascii="Linux Libertine O" w:hAnsi="Linux Libertine O" w:cs="Linux Libertine O"/>
      <w:lang w:eastAsia="ja-JP"/>
    </w:rPr>
  </w:style>
  <w:style w:type="paragraph" w:styleId="aff4">
    <w:name w:val="annotation subject"/>
    <w:basedOn w:val="aff2"/>
    <w:next w:val="aff2"/>
    <w:link w:val="aff5"/>
    <w:uiPriority w:val="99"/>
    <w:semiHidden/>
    <w:unhideWhenUsed/>
    <w:rsid w:val="00EA5ED5"/>
    <w:rPr>
      <w:b/>
      <w:bCs/>
    </w:rPr>
  </w:style>
  <w:style w:type="character" w:customStyle="1" w:styleId="aff5">
    <w:name w:val="批注主题 字符"/>
    <w:basedOn w:val="aff3"/>
    <w:link w:val="aff4"/>
    <w:uiPriority w:val="99"/>
    <w:semiHidden/>
    <w:rsid w:val="00EA5ED5"/>
    <w:rPr>
      <w:rFonts w:ascii="Linux Libertine O" w:hAnsi="Linux Libertine O" w:cs="Linux Libertine O"/>
      <w:b/>
      <w:bCs/>
      <w:lang w:eastAsia="ja-JP"/>
    </w:rPr>
  </w:style>
  <w:style w:type="table" w:styleId="aff6">
    <w:name w:val="Dark List"/>
    <w:basedOn w:val="a5"/>
    <w:uiPriority w:val="70"/>
    <w:semiHidden/>
    <w:unhideWhenUsed/>
    <w:rsid w:val="00EA5ED5"/>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7">
    <w:name w:val="Date"/>
    <w:basedOn w:val="a3"/>
    <w:next w:val="a3"/>
    <w:link w:val="aff8"/>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8">
    <w:name w:val="日期 字符"/>
    <w:basedOn w:val="a4"/>
    <w:link w:val="aff7"/>
    <w:uiPriority w:val="99"/>
    <w:semiHidden/>
    <w:rsid w:val="00EA5ED5"/>
    <w:rPr>
      <w:rFonts w:ascii="Linux Libertine O" w:hAnsi="Linux Libertine O" w:cs="Linux Libertine O"/>
      <w:sz w:val="18"/>
      <w:szCs w:val="24"/>
      <w:lang w:eastAsia="ja-JP"/>
    </w:rPr>
  </w:style>
  <w:style w:type="paragraph" w:styleId="aff9">
    <w:name w:val="Document Map"/>
    <w:basedOn w:val="a3"/>
    <w:link w:val="affa"/>
    <w:uiPriority w:val="99"/>
    <w:semiHidden/>
    <w:unhideWhenUsed/>
    <w:rsid w:val="00EA5ED5"/>
    <w:rPr>
      <w:rFonts w:ascii="Linux Biolinum O" w:eastAsia="MS Mincho" w:hAnsi="Linux Biolinum O" w:cs="Linux Biolinum O"/>
      <w:sz w:val="16"/>
      <w:szCs w:val="16"/>
      <w:lang w:val="en-US" w:eastAsia="ja-JP"/>
    </w:rPr>
  </w:style>
  <w:style w:type="character" w:customStyle="1" w:styleId="affa">
    <w:name w:val="文档结构图 字符"/>
    <w:basedOn w:val="a4"/>
    <w:link w:val="aff9"/>
    <w:uiPriority w:val="99"/>
    <w:semiHidden/>
    <w:rsid w:val="00EA5ED5"/>
    <w:rPr>
      <w:rFonts w:ascii="Linux Biolinum O" w:hAnsi="Linux Biolinum O" w:cs="Linux Biolinum O"/>
      <w:sz w:val="16"/>
      <w:szCs w:val="16"/>
      <w:lang w:eastAsia="ja-JP"/>
    </w:rPr>
  </w:style>
  <w:style w:type="paragraph" w:styleId="affb">
    <w:name w:val="E-mail Signature"/>
    <w:basedOn w:val="a3"/>
    <w:link w:val="affc"/>
    <w:uiPriority w:val="99"/>
    <w:semiHidden/>
    <w:unhideWhenUsed/>
    <w:rsid w:val="00EA5ED5"/>
    <w:rPr>
      <w:rFonts w:ascii="Linux Libertine O" w:eastAsia="MS Mincho" w:hAnsi="Linux Libertine O" w:cs="Linux Libertine O"/>
      <w:sz w:val="18"/>
      <w:lang w:val="en-US" w:eastAsia="ja-JP"/>
    </w:rPr>
  </w:style>
  <w:style w:type="character" w:customStyle="1" w:styleId="affc">
    <w:name w:val="电子邮件签名 字符"/>
    <w:basedOn w:val="a4"/>
    <w:link w:val="affb"/>
    <w:uiPriority w:val="99"/>
    <w:semiHidden/>
    <w:rsid w:val="00EA5ED5"/>
    <w:rPr>
      <w:rFonts w:ascii="Linux Libertine O" w:hAnsi="Linux Libertine O" w:cs="Linux Libertine O"/>
      <w:sz w:val="18"/>
      <w:szCs w:val="24"/>
      <w:lang w:eastAsia="ja-JP"/>
    </w:rPr>
  </w:style>
  <w:style w:type="character" w:styleId="affd">
    <w:name w:val="Emphasis"/>
    <w:basedOn w:val="a4"/>
    <w:uiPriority w:val="20"/>
    <w:qFormat/>
    <w:rsid w:val="00EA5ED5"/>
    <w:rPr>
      <w:rFonts w:ascii="Linux Biolinum O" w:hAnsi="Linux Biolinum O" w:cs="Linux Biolinum O"/>
      <w:i/>
      <w:iCs/>
    </w:rPr>
  </w:style>
  <w:style w:type="character" w:styleId="affe">
    <w:name w:val="endnote reference"/>
    <w:basedOn w:val="a4"/>
    <w:uiPriority w:val="99"/>
    <w:semiHidden/>
    <w:unhideWhenUsed/>
    <w:rsid w:val="00EA5ED5"/>
    <w:rPr>
      <w:rFonts w:ascii="Linux Biolinum O" w:hAnsi="Linux Biolinum O" w:cs="Linux Biolinum O"/>
      <w:vertAlign w:val="superscript"/>
    </w:rPr>
  </w:style>
  <w:style w:type="paragraph" w:styleId="afff">
    <w:name w:val="endnote text"/>
    <w:basedOn w:val="a3"/>
    <w:link w:val="afff0"/>
    <w:uiPriority w:val="99"/>
    <w:semiHidden/>
    <w:unhideWhenUsed/>
    <w:rsid w:val="00EA5ED5"/>
    <w:rPr>
      <w:rFonts w:ascii="Linux Libertine O" w:eastAsia="MS Mincho" w:hAnsi="Linux Libertine O" w:cs="Linux Libertine O"/>
      <w:sz w:val="20"/>
      <w:szCs w:val="20"/>
      <w:lang w:val="en-US" w:eastAsia="ja-JP"/>
    </w:rPr>
  </w:style>
  <w:style w:type="character" w:customStyle="1" w:styleId="afff0">
    <w:name w:val="尾注文本 字符"/>
    <w:basedOn w:val="a4"/>
    <w:link w:val="afff"/>
    <w:uiPriority w:val="99"/>
    <w:semiHidden/>
    <w:rsid w:val="00EA5ED5"/>
    <w:rPr>
      <w:rFonts w:ascii="Linux Libertine O" w:hAnsi="Linux Libertine O" w:cs="Linux Libertine O"/>
      <w:lang w:eastAsia="ja-JP"/>
    </w:rPr>
  </w:style>
  <w:style w:type="paragraph" w:styleId="afff1">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f2">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f3">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11">
    <w:name w:val="网格表 1 浅色1"/>
    <w:basedOn w:val="a5"/>
    <w:uiPriority w:val="99"/>
    <w:rsid w:val="00EA5ED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网格表 1 浅色 - 着色 11"/>
    <w:basedOn w:val="a5"/>
    <w:uiPriority w:val="46"/>
    <w:rsid w:val="00EA5ED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21">
    <w:name w:val="网格表 1 浅色 - 着色 21"/>
    <w:basedOn w:val="a5"/>
    <w:uiPriority w:val="46"/>
    <w:rsid w:val="00EA5ED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1-31">
    <w:name w:val="网格表 1 浅色 - 着色 31"/>
    <w:basedOn w:val="a5"/>
    <w:uiPriority w:val="46"/>
    <w:rsid w:val="00EA5ED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1-41">
    <w:name w:val="网格表 1 浅色 - 着色 41"/>
    <w:basedOn w:val="a5"/>
    <w:uiPriority w:val="46"/>
    <w:rsid w:val="00EA5ED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1-51">
    <w:name w:val="网格表 1 浅色 - 着色 51"/>
    <w:basedOn w:val="a5"/>
    <w:uiPriority w:val="46"/>
    <w:rsid w:val="00EA5ED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1-61">
    <w:name w:val="网格表 1 浅色 - 着色 61"/>
    <w:basedOn w:val="a5"/>
    <w:uiPriority w:val="46"/>
    <w:rsid w:val="00EA5ED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210">
    <w:name w:val="网格表 21"/>
    <w:basedOn w:val="a5"/>
    <w:uiPriority w:val="99"/>
    <w:rsid w:val="00EA5ED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网格表 2 - 着色 11"/>
    <w:basedOn w:val="a5"/>
    <w:uiPriority w:val="47"/>
    <w:rsid w:val="00EA5ED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
    <w:name w:val="网格表 2 - 着色 21"/>
    <w:basedOn w:val="a5"/>
    <w:uiPriority w:val="47"/>
    <w:rsid w:val="00EA5ED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
    <w:name w:val="网格表 2 - 着色 31"/>
    <w:basedOn w:val="a5"/>
    <w:uiPriority w:val="47"/>
    <w:rsid w:val="00EA5ED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
    <w:name w:val="网格表 2 - 着色 41"/>
    <w:basedOn w:val="a5"/>
    <w:uiPriority w:val="47"/>
    <w:rsid w:val="00EA5ED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
    <w:name w:val="网格表 2 - 着色 51"/>
    <w:basedOn w:val="a5"/>
    <w:uiPriority w:val="47"/>
    <w:rsid w:val="00EA5ED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
    <w:name w:val="网格表 2 - 着色 61"/>
    <w:basedOn w:val="a5"/>
    <w:uiPriority w:val="47"/>
    <w:rsid w:val="00EA5ED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0">
    <w:name w:val="网格表 31"/>
    <w:basedOn w:val="a5"/>
    <w:uiPriority w:val="9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
    <w:name w:val="网格表 3 - 着色 11"/>
    <w:basedOn w:val="a5"/>
    <w:uiPriority w:val="48"/>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3-21">
    <w:name w:val="网格表 3 - 着色 21"/>
    <w:basedOn w:val="a5"/>
    <w:uiPriority w:val="48"/>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3-31">
    <w:name w:val="网格表 3 - 着色 31"/>
    <w:basedOn w:val="a5"/>
    <w:uiPriority w:val="48"/>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3-41">
    <w:name w:val="网格表 3 - 着色 41"/>
    <w:basedOn w:val="a5"/>
    <w:uiPriority w:val="48"/>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3-51">
    <w:name w:val="网格表 3 - 着色 51"/>
    <w:basedOn w:val="a5"/>
    <w:uiPriority w:val="48"/>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3-61">
    <w:name w:val="网格表 3 - 着色 61"/>
    <w:basedOn w:val="a5"/>
    <w:uiPriority w:val="48"/>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410">
    <w:name w:val="网格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网格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
    <w:name w:val="网格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
    <w:name w:val="网格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
    <w:name w:val="网格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
    <w:name w:val="网格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
    <w:name w:val="网格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0">
    <w:name w:val="网格表 5 深色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
    <w:name w:val="网格表 5 深色 - 着色 1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5-21">
    <w:name w:val="网格表 5 深色 - 着色 2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5-31">
    <w:name w:val="网格表 5 深色 - 着色 3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5-41">
    <w:name w:val="网格表 5 深色 - 着色 4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5-51">
    <w:name w:val="网格表 5 深色 - 着色 5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5-61">
    <w:name w:val="网格表 5 深色 - 着色 61"/>
    <w:basedOn w:val="a5"/>
    <w:uiPriority w:val="50"/>
    <w:rsid w:val="00EA5ED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61">
    <w:name w:val="网格表 6 彩色1"/>
    <w:basedOn w:val="a5"/>
    <w:uiPriority w:val="51"/>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网格表 6 彩色 - 着色 11"/>
    <w:basedOn w:val="a5"/>
    <w:uiPriority w:val="51"/>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
    <w:name w:val="网格表 6 彩色 - 着色 21"/>
    <w:basedOn w:val="a5"/>
    <w:uiPriority w:val="51"/>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
    <w:name w:val="网格表 6 彩色 - 着色 31"/>
    <w:basedOn w:val="a5"/>
    <w:uiPriority w:val="51"/>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
    <w:name w:val="网格表 6 彩色 - 着色 41"/>
    <w:basedOn w:val="a5"/>
    <w:uiPriority w:val="51"/>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
    <w:name w:val="网格表 6 彩色 - 着色 51"/>
    <w:basedOn w:val="a5"/>
    <w:uiPriority w:val="51"/>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
    <w:name w:val="网格表 6 彩色 - 着色 61"/>
    <w:basedOn w:val="a5"/>
    <w:uiPriority w:val="51"/>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
    <w:name w:val="网格表 7 彩色1"/>
    <w:basedOn w:val="a5"/>
    <w:uiPriority w:val="52"/>
    <w:rsid w:val="00EA5ED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
    <w:name w:val="网格表 7 彩色 - 着色 11"/>
    <w:basedOn w:val="a5"/>
    <w:uiPriority w:val="52"/>
    <w:rsid w:val="00EA5ED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7-21">
    <w:name w:val="网格表 7 彩色 - 着色 21"/>
    <w:basedOn w:val="a5"/>
    <w:uiPriority w:val="52"/>
    <w:rsid w:val="00EA5ED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7-31">
    <w:name w:val="网格表 7 彩色 - 着色 31"/>
    <w:basedOn w:val="a5"/>
    <w:uiPriority w:val="52"/>
    <w:rsid w:val="00EA5ED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7-41">
    <w:name w:val="网格表 7 彩色 - 着色 41"/>
    <w:basedOn w:val="a5"/>
    <w:uiPriority w:val="52"/>
    <w:rsid w:val="00EA5ED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7-51">
    <w:name w:val="网格表 7 彩色 - 着色 51"/>
    <w:basedOn w:val="a5"/>
    <w:uiPriority w:val="52"/>
    <w:rsid w:val="00EA5ED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7-61">
    <w:name w:val="网格表 7 彩色 - 着色 61"/>
    <w:basedOn w:val="a5"/>
    <w:uiPriority w:val="52"/>
    <w:rsid w:val="00EA5ED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12">
    <w:name w:val="井号标签1"/>
    <w:basedOn w:val="a4"/>
    <w:uiPriority w:val="99"/>
    <w:semiHidden/>
    <w:unhideWhenUsed/>
    <w:rsid w:val="00EA5ED5"/>
    <w:rPr>
      <w:rFonts w:ascii="Linux Biolinum O" w:hAnsi="Linux Biolinum O" w:cs="Linux Biolinum O"/>
      <w:color w:val="2B579A"/>
      <w:shd w:val="clear" w:color="auto" w:fill="E1DFDD"/>
    </w:rPr>
  </w:style>
  <w:style w:type="paragraph" w:styleId="afff4">
    <w:name w:val="header"/>
    <w:basedOn w:val="a3"/>
    <w:link w:val="afff5"/>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afff5">
    <w:name w:val="页眉 字符"/>
    <w:basedOn w:val="a4"/>
    <w:link w:val="afff4"/>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1"/>
    <w:uiPriority w:val="99"/>
    <w:semiHidden/>
    <w:unhideWhenUsed/>
    <w:rsid w:val="00EA5ED5"/>
    <w:rPr>
      <w:rFonts w:ascii="Linux Libertine O" w:eastAsia="MS Mincho" w:hAnsi="Linux Libertine O" w:cs="Linux Libertine O"/>
      <w:i/>
      <w:iCs/>
      <w:sz w:val="18"/>
      <w:lang w:val="en-US" w:eastAsia="ja-JP"/>
    </w:rPr>
  </w:style>
  <w:style w:type="character" w:customStyle="1" w:styleId="HTML1">
    <w:name w:val="HTML 地址 字符"/>
    <w:basedOn w:val="a4"/>
    <w:link w:val="HTML0"/>
    <w:uiPriority w:val="99"/>
    <w:semiHidden/>
    <w:rsid w:val="00EA5ED5"/>
    <w:rPr>
      <w:rFonts w:ascii="Linux Libertine O" w:hAnsi="Linux Libertine O" w:cs="Linux Libertine O"/>
      <w:i/>
      <w:iCs/>
      <w:sz w:val="18"/>
      <w:szCs w:val="24"/>
      <w:lang w:eastAsia="ja-JP"/>
    </w:rPr>
  </w:style>
  <w:style w:type="character" w:styleId="HTML2">
    <w:name w:val="HTML Cite"/>
    <w:basedOn w:val="a4"/>
    <w:uiPriority w:val="99"/>
    <w:semiHidden/>
    <w:unhideWhenUsed/>
    <w:rsid w:val="00EA5ED5"/>
    <w:rPr>
      <w:rFonts w:ascii="Linux Biolinum O" w:hAnsi="Linux Biolinum O" w:cs="Linux Biolinum O"/>
      <w:i/>
      <w:iCs/>
    </w:rPr>
  </w:style>
  <w:style w:type="character" w:styleId="HTML3">
    <w:name w:val="HTML Code"/>
    <w:basedOn w:val="a4"/>
    <w:uiPriority w:val="99"/>
    <w:semiHidden/>
    <w:unhideWhenUsed/>
    <w:rsid w:val="00EA5ED5"/>
    <w:rPr>
      <w:rFonts w:ascii="Linux Biolinum O" w:hAnsi="Linux Biolinum O" w:cs="Linux Biolinum O"/>
      <w:sz w:val="20"/>
      <w:szCs w:val="20"/>
    </w:rPr>
  </w:style>
  <w:style w:type="character" w:styleId="HTML4">
    <w:name w:val="HTML Definition"/>
    <w:basedOn w:val="a4"/>
    <w:uiPriority w:val="99"/>
    <w:semiHidden/>
    <w:unhideWhenUsed/>
    <w:rsid w:val="00EA5ED5"/>
    <w:rPr>
      <w:rFonts w:ascii="Linux Biolinum O" w:hAnsi="Linux Biolinum O" w:cs="Linux Biolinum O"/>
      <w:i/>
      <w:iCs/>
    </w:rPr>
  </w:style>
  <w:style w:type="character" w:styleId="HTML5">
    <w:name w:val="HTML Keyboard"/>
    <w:basedOn w:val="a4"/>
    <w:uiPriority w:val="99"/>
    <w:semiHidden/>
    <w:unhideWhenUsed/>
    <w:rsid w:val="00EA5ED5"/>
    <w:rPr>
      <w:rFonts w:ascii="Linux Biolinum O" w:hAnsi="Linux Biolinum O" w:cs="Linux Biolinum O"/>
      <w:sz w:val="20"/>
      <w:szCs w:val="20"/>
    </w:rPr>
  </w:style>
  <w:style w:type="paragraph" w:styleId="HTML6">
    <w:name w:val="HTML Preformatted"/>
    <w:basedOn w:val="a3"/>
    <w:link w:val="HTML7"/>
    <w:uiPriority w:val="99"/>
    <w:semiHidden/>
    <w:unhideWhenUsed/>
    <w:rsid w:val="00EA5ED5"/>
    <w:rPr>
      <w:rFonts w:ascii="Linux Biolinum O" w:eastAsia="MS Mincho" w:hAnsi="Linux Biolinum O" w:cs="Linux Biolinum O"/>
      <w:sz w:val="20"/>
      <w:szCs w:val="20"/>
      <w:lang w:val="en-US" w:eastAsia="ja-JP"/>
    </w:rPr>
  </w:style>
  <w:style w:type="character" w:customStyle="1" w:styleId="HTML7">
    <w:name w:val="HTML 预设格式 字符"/>
    <w:basedOn w:val="a4"/>
    <w:link w:val="HTML6"/>
    <w:uiPriority w:val="99"/>
    <w:semiHidden/>
    <w:rsid w:val="00EA5ED5"/>
    <w:rPr>
      <w:rFonts w:ascii="Linux Biolinum O" w:hAnsi="Linux Biolinum O" w:cs="Linux Biolinum O"/>
      <w:lang w:eastAsia="ja-JP"/>
    </w:rPr>
  </w:style>
  <w:style w:type="character" w:styleId="HTML8">
    <w:name w:val="HTML Sample"/>
    <w:basedOn w:val="a4"/>
    <w:uiPriority w:val="99"/>
    <w:semiHidden/>
    <w:unhideWhenUsed/>
    <w:rsid w:val="00EA5ED5"/>
    <w:rPr>
      <w:rFonts w:ascii="Linux Biolinum O" w:hAnsi="Linux Biolinum O" w:cs="Linux Biolinum O"/>
      <w:sz w:val="24"/>
      <w:szCs w:val="24"/>
    </w:rPr>
  </w:style>
  <w:style w:type="character" w:styleId="HTML9">
    <w:name w:val="HTML Typewriter"/>
    <w:basedOn w:val="a4"/>
    <w:uiPriority w:val="99"/>
    <w:semiHidden/>
    <w:unhideWhenUsed/>
    <w:rsid w:val="00EA5ED5"/>
    <w:rPr>
      <w:rFonts w:ascii="Linux Biolinum O" w:hAnsi="Linux Biolinum O" w:cs="Linux Biolinum O"/>
      <w:sz w:val="20"/>
      <w:szCs w:val="20"/>
    </w:rPr>
  </w:style>
  <w:style w:type="character" w:styleId="HTMLa">
    <w:name w:val="HTML Variable"/>
    <w:basedOn w:val="a4"/>
    <w:uiPriority w:val="99"/>
    <w:semiHidden/>
    <w:unhideWhenUsed/>
    <w:rsid w:val="00EA5ED5"/>
    <w:rPr>
      <w:rFonts w:ascii="Linux Biolinum O" w:hAnsi="Linux Biolinum O" w:cs="Linux Biolinum O"/>
      <w:i/>
      <w:iCs/>
    </w:rPr>
  </w:style>
  <w:style w:type="paragraph" w:styleId="13">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9">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7">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3">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3">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2">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2">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1">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1">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f6">
    <w:name w:val="index heading"/>
    <w:basedOn w:val="a3"/>
    <w:next w:val="13"/>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f7">
    <w:name w:val="Intense Emphasis"/>
    <w:basedOn w:val="a4"/>
    <w:uiPriority w:val="21"/>
    <w:qFormat/>
    <w:rsid w:val="00EA5ED5"/>
    <w:rPr>
      <w:rFonts w:ascii="Linux Biolinum O" w:hAnsi="Linux Biolinum O" w:cs="Linux Biolinum O"/>
      <w:i/>
      <w:iCs/>
      <w:color w:val="4F81BD" w:themeColor="accent1"/>
    </w:rPr>
  </w:style>
  <w:style w:type="paragraph" w:styleId="afff8">
    <w:name w:val="Intense Quote"/>
    <w:basedOn w:val="a3"/>
    <w:next w:val="a3"/>
    <w:link w:val="afff9"/>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afff9">
    <w:name w:val="明显引用 字符"/>
    <w:basedOn w:val="a4"/>
    <w:link w:val="afff8"/>
    <w:uiPriority w:val="30"/>
    <w:rsid w:val="00EA5ED5"/>
    <w:rPr>
      <w:rFonts w:ascii="Linux Libertine O" w:hAnsi="Linux Libertine O" w:cs="Linux Libertine O"/>
      <w:i/>
      <w:iCs/>
      <w:color w:val="4F81BD" w:themeColor="accent1"/>
      <w:sz w:val="18"/>
      <w:szCs w:val="24"/>
      <w:lang w:eastAsia="ja-JP"/>
    </w:rPr>
  </w:style>
  <w:style w:type="character" w:styleId="af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fb">
    <w:name w:val="Light Grid"/>
    <w:basedOn w:val="a5"/>
    <w:uiPriority w:val="62"/>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fc">
    <w:name w:val="Light List"/>
    <w:basedOn w:val="a5"/>
    <w:uiPriority w:val="61"/>
    <w:semiHidden/>
    <w:unhideWhenUsed/>
    <w:rsid w:val="00EA5ED5"/>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fd">
    <w:name w:val="Light Shading"/>
    <w:basedOn w:val="a5"/>
    <w:uiPriority w:val="60"/>
    <w:semiHidden/>
    <w:unhideWhenUsed/>
    <w:rsid w:val="00EA5ED5"/>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fe">
    <w:name w:val="line number"/>
    <w:basedOn w:val="a4"/>
    <w:uiPriority w:val="99"/>
    <w:semiHidden/>
    <w:unhideWhenUsed/>
    <w:rsid w:val="00EA5ED5"/>
    <w:rPr>
      <w:rFonts w:ascii="Linux Biolinum O" w:hAnsi="Linux Biolinum O" w:cs="Linux Biolinum O"/>
    </w:rPr>
  </w:style>
  <w:style w:type="paragraph" w:styleId="af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a">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8">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4">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4">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b">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9">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5">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5">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110">
    <w:name w:val="清单表 1 浅色1"/>
    <w:basedOn w:val="a5"/>
    <w:uiPriority w:val="46"/>
    <w:rsid w:val="00EA5ED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5"/>
    <w:uiPriority w:val="46"/>
    <w:rsid w:val="00EA5ED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1-210">
    <w:name w:val="清单表 1 浅色 - 着色 21"/>
    <w:basedOn w:val="a5"/>
    <w:uiPriority w:val="46"/>
    <w:rsid w:val="00EA5ED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1-310">
    <w:name w:val="清单表 1 浅色 - 着色 31"/>
    <w:basedOn w:val="a5"/>
    <w:uiPriority w:val="46"/>
    <w:rsid w:val="00EA5ED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410">
    <w:name w:val="清单表 1 浅色 - 着色 41"/>
    <w:basedOn w:val="a5"/>
    <w:uiPriority w:val="46"/>
    <w:rsid w:val="00EA5ED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1-510">
    <w:name w:val="清单表 1 浅色 - 着色 51"/>
    <w:basedOn w:val="a5"/>
    <w:uiPriority w:val="46"/>
    <w:rsid w:val="00EA5ED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610">
    <w:name w:val="清单表 1 浅色 - 着色 61"/>
    <w:basedOn w:val="a5"/>
    <w:uiPriority w:val="46"/>
    <w:rsid w:val="00EA5ED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211">
    <w:name w:val="清单表 21"/>
    <w:basedOn w:val="a5"/>
    <w:uiPriority w:val="47"/>
    <w:rsid w:val="00EA5ED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5"/>
    <w:uiPriority w:val="47"/>
    <w:rsid w:val="00EA5ED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210">
    <w:name w:val="清单表 2 - 着色 21"/>
    <w:basedOn w:val="a5"/>
    <w:uiPriority w:val="47"/>
    <w:rsid w:val="00EA5ED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310">
    <w:name w:val="清单表 2 - 着色 31"/>
    <w:basedOn w:val="a5"/>
    <w:uiPriority w:val="47"/>
    <w:rsid w:val="00EA5ED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2-410">
    <w:name w:val="清单表 2 - 着色 41"/>
    <w:basedOn w:val="a5"/>
    <w:uiPriority w:val="47"/>
    <w:rsid w:val="00EA5ED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2-510">
    <w:name w:val="清单表 2 - 着色 51"/>
    <w:basedOn w:val="a5"/>
    <w:uiPriority w:val="47"/>
    <w:rsid w:val="00EA5ED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2-610">
    <w:name w:val="清单表 2 - 着色 61"/>
    <w:basedOn w:val="a5"/>
    <w:uiPriority w:val="47"/>
    <w:rsid w:val="00EA5ED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311">
    <w:name w:val="清单表 31"/>
    <w:basedOn w:val="a5"/>
    <w:uiPriority w:val="48"/>
    <w:rsid w:val="00EA5ED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0">
    <w:name w:val="清单表 3 - 着色 11"/>
    <w:basedOn w:val="a5"/>
    <w:uiPriority w:val="48"/>
    <w:rsid w:val="00EA5E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3-210">
    <w:name w:val="清单表 3 - 着色 21"/>
    <w:basedOn w:val="a5"/>
    <w:uiPriority w:val="48"/>
    <w:rsid w:val="00EA5ED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3-310">
    <w:name w:val="清单表 3 - 着色 31"/>
    <w:basedOn w:val="a5"/>
    <w:uiPriority w:val="48"/>
    <w:rsid w:val="00EA5ED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3-410">
    <w:name w:val="清单表 3 - 着色 41"/>
    <w:basedOn w:val="a5"/>
    <w:uiPriority w:val="48"/>
    <w:rsid w:val="00EA5ED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3-510">
    <w:name w:val="清单表 3 - 着色 51"/>
    <w:basedOn w:val="a5"/>
    <w:uiPriority w:val="48"/>
    <w:rsid w:val="00EA5E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3-610">
    <w:name w:val="清单表 3 - 着色 61"/>
    <w:basedOn w:val="a5"/>
    <w:uiPriority w:val="48"/>
    <w:rsid w:val="00EA5ED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411">
    <w:name w:val="清单表 41"/>
    <w:basedOn w:val="a5"/>
    <w:uiPriority w:val="49"/>
    <w:rsid w:val="00EA5E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清单表 4 - 着色 11"/>
    <w:basedOn w:val="a5"/>
    <w:uiPriority w:val="49"/>
    <w:rsid w:val="00EA5E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4-210">
    <w:name w:val="清单表 4 - 着色 21"/>
    <w:basedOn w:val="a5"/>
    <w:uiPriority w:val="49"/>
    <w:rsid w:val="00EA5E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4-310">
    <w:name w:val="清单表 4 - 着色 31"/>
    <w:basedOn w:val="a5"/>
    <w:uiPriority w:val="49"/>
    <w:rsid w:val="00EA5ED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4-410">
    <w:name w:val="清单表 4 - 着色 41"/>
    <w:basedOn w:val="a5"/>
    <w:uiPriority w:val="49"/>
    <w:rsid w:val="00EA5ED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4-510">
    <w:name w:val="清单表 4 - 着色 51"/>
    <w:basedOn w:val="a5"/>
    <w:uiPriority w:val="49"/>
    <w:rsid w:val="00EA5ED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610">
    <w:name w:val="清单表 4 - 着色 61"/>
    <w:basedOn w:val="a5"/>
    <w:uiPriority w:val="49"/>
    <w:rsid w:val="00EA5ED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511">
    <w:name w:val="清单表 5 深色1"/>
    <w:basedOn w:val="a5"/>
    <w:uiPriority w:val="50"/>
    <w:rsid w:val="00EA5ED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0">
    <w:name w:val="清单表 5 深色 - 着色 11"/>
    <w:basedOn w:val="a5"/>
    <w:uiPriority w:val="50"/>
    <w:rsid w:val="00EA5ED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0">
    <w:name w:val="清单表 5 深色 - 着色 21"/>
    <w:basedOn w:val="a5"/>
    <w:uiPriority w:val="50"/>
    <w:rsid w:val="00EA5ED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0">
    <w:name w:val="清单表 5 深色 - 着色 31"/>
    <w:basedOn w:val="a5"/>
    <w:uiPriority w:val="50"/>
    <w:rsid w:val="00EA5ED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0">
    <w:name w:val="清单表 5 深色 - 着色 41"/>
    <w:basedOn w:val="a5"/>
    <w:uiPriority w:val="50"/>
    <w:rsid w:val="00EA5ED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0">
    <w:name w:val="清单表 5 深色 - 着色 51"/>
    <w:basedOn w:val="a5"/>
    <w:uiPriority w:val="50"/>
    <w:rsid w:val="00EA5ED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0">
    <w:name w:val="清单表 5 深色 - 着色 61"/>
    <w:basedOn w:val="a5"/>
    <w:uiPriority w:val="50"/>
    <w:rsid w:val="00EA5ED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5"/>
    <w:uiPriority w:val="51"/>
    <w:rsid w:val="00EA5ED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清单表 6 彩色 - 着色 11"/>
    <w:basedOn w:val="a5"/>
    <w:uiPriority w:val="51"/>
    <w:rsid w:val="00EA5ED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6-210">
    <w:name w:val="清单表 6 彩色 - 着色 21"/>
    <w:basedOn w:val="a5"/>
    <w:uiPriority w:val="51"/>
    <w:rsid w:val="00EA5ED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310">
    <w:name w:val="清单表 6 彩色 - 着色 31"/>
    <w:basedOn w:val="a5"/>
    <w:uiPriority w:val="51"/>
    <w:rsid w:val="00EA5ED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410">
    <w:name w:val="清单表 6 彩色 - 着色 41"/>
    <w:basedOn w:val="a5"/>
    <w:uiPriority w:val="51"/>
    <w:rsid w:val="00EA5ED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6-510">
    <w:name w:val="清单表 6 彩色 - 着色 51"/>
    <w:basedOn w:val="a5"/>
    <w:uiPriority w:val="51"/>
    <w:rsid w:val="00EA5ED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6-610">
    <w:name w:val="清单表 6 彩色 - 着色 61"/>
    <w:basedOn w:val="a5"/>
    <w:uiPriority w:val="51"/>
    <w:rsid w:val="00EA5ED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710">
    <w:name w:val="清单表 7 彩色1"/>
    <w:basedOn w:val="a5"/>
    <w:uiPriority w:val="52"/>
    <w:rsid w:val="00EA5ED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0">
    <w:name w:val="清单表 7 彩色 - 着色 11"/>
    <w:basedOn w:val="a5"/>
    <w:uiPriority w:val="52"/>
    <w:rsid w:val="00EA5ED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0">
    <w:name w:val="清单表 7 彩色 - 着色 21"/>
    <w:basedOn w:val="a5"/>
    <w:uiPriority w:val="52"/>
    <w:rsid w:val="00EA5ED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0">
    <w:name w:val="清单表 7 彩色 - 着色 31"/>
    <w:basedOn w:val="a5"/>
    <w:uiPriority w:val="52"/>
    <w:rsid w:val="00EA5ED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0">
    <w:name w:val="清单表 7 彩色 - 着色 41"/>
    <w:basedOn w:val="a5"/>
    <w:uiPriority w:val="52"/>
    <w:rsid w:val="00EA5ED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清单表 7 彩色 - 着色 51"/>
    <w:basedOn w:val="a5"/>
    <w:uiPriority w:val="52"/>
    <w:rsid w:val="00EA5ED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0">
    <w:name w:val="清单表 7 彩色 - 着色 61"/>
    <w:basedOn w:val="a5"/>
    <w:uiPriority w:val="52"/>
    <w:rsid w:val="00EA5ED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1">
    <w:name w:val="macro"/>
    <w:link w:val="affff2"/>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affff2">
    <w:name w:val="宏文本 字符"/>
    <w:basedOn w:val="a4"/>
    <w:link w:val="affff1"/>
    <w:uiPriority w:val="99"/>
    <w:semiHidden/>
    <w:rsid w:val="00EA5ED5"/>
    <w:rPr>
      <w:rFonts w:ascii="Linux Biolinum O" w:hAnsi="Linux Biolinum O" w:cs="Linux Biolinum O"/>
      <w:lang w:eastAsia="ja-JP"/>
    </w:rPr>
  </w:style>
  <w:style w:type="table" w:styleId="14">
    <w:name w:val="Medium Grid 1"/>
    <w:basedOn w:val="a5"/>
    <w:uiPriority w:val="67"/>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5"/>
    <w:uiPriority w:val="68"/>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5">
    <w:name w:val="Medium List 1"/>
    <w:basedOn w:val="a5"/>
    <w:uiPriority w:val="65"/>
    <w:semiHidden/>
    <w:unhideWhenUsed/>
    <w:rsid w:val="00EA5ED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d">
    <w:name w:val="Medium List 2"/>
    <w:basedOn w:val="a5"/>
    <w:uiPriority w:val="66"/>
    <w:semiHidden/>
    <w:unhideWhenUsed/>
    <w:rsid w:val="00EA5ED5"/>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
    <w:name w:val="Medium Shading 1"/>
    <w:basedOn w:val="a5"/>
    <w:uiPriority w:val="63"/>
    <w:semiHidden/>
    <w:unhideWhenUsed/>
    <w:rsid w:val="00EA5ED5"/>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5"/>
    <w:uiPriority w:val="63"/>
    <w:rsid w:val="00EA5ED5"/>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2">
    <w:name w:val="Medium Shading 1 Accent 2"/>
    <w:basedOn w:val="a5"/>
    <w:uiPriority w:val="63"/>
    <w:semiHidden/>
    <w:unhideWhenUsed/>
    <w:rsid w:val="00EA5ED5"/>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2">
    <w:name w:val="Medium Shading 1 Accent 3"/>
    <w:basedOn w:val="a5"/>
    <w:uiPriority w:val="63"/>
    <w:semiHidden/>
    <w:unhideWhenUsed/>
    <w:rsid w:val="00EA5ED5"/>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2">
    <w:name w:val="Medium Shading 1 Accent 4"/>
    <w:basedOn w:val="a5"/>
    <w:uiPriority w:val="63"/>
    <w:semiHidden/>
    <w:unhideWhenUsed/>
    <w:rsid w:val="00EA5ED5"/>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2">
    <w:name w:val="Medium Shading 1 Accent 5"/>
    <w:basedOn w:val="a5"/>
    <w:uiPriority w:val="63"/>
    <w:semiHidden/>
    <w:unhideWhenUsed/>
    <w:rsid w:val="00EA5ED5"/>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2">
    <w:name w:val="Medium Shading 1 Accent 6"/>
    <w:basedOn w:val="a5"/>
    <w:uiPriority w:val="63"/>
    <w:semiHidden/>
    <w:unhideWhenUsed/>
    <w:rsid w:val="00EA5ED5"/>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e">
    <w:name w:val="Medium Shading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2">
    <w:name w:val="Medium Shading 2 Accent 1"/>
    <w:basedOn w:val="a5"/>
    <w:uiPriority w:val="64"/>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2">
    <w:name w:val="Medium Shading 2 Accent 2"/>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2">
    <w:name w:val="Medium Shading 2 Accent 3"/>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2">
    <w:name w:val="Medium Shading 2 Accent 4"/>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2">
    <w:name w:val="Medium Shading 2 Accent 5"/>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2">
    <w:name w:val="Medium Shading 2 Accent 6"/>
    <w:basedOn w:val="a5"/>
    <w:uiPriority w:val="64"/>
    <w:semiHidden/>
    <w:unhideWhenUsed/>
    <w:rsid w:val="00EA5ED5"/>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17">
    <w:name w:val="@他1"/>
    <w:basedOn w:val="a4"/>
    <w:uiPriority w:val="99"/>
    <w:semiHidden/>
    <w:unhideWhenUsed/>
    <w:rsid w:val="00EA5ED5"/>
    <w:rPr>
      <w:rFonts w:ascii="Linux Biolinum O" w:hAnsi="Linux Biolinum O" w:cs="Linux Biolinum O"/>
      <w:color w:val="2B579A"/>
      <w:shd w:val="clear" w:color="auto" w:fill="E1DFDD"/>
    </w:rPr>
  </w:style>
  <w:style w:type="paragraph" w:styleId="affff3">
    <w:name w:val="Message Header"/>
    <w:basedOn w:val="a3"/>
    <w:link w:val="affff4"/>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affff4">
    <w:name w:val="信息标题 字符"/>
    <w:basedOn w:val="a4"/>
    <w:link w:val="affff3"/>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f5">
    <w:name w:val="No Spacing"/>
    <w:uiPriority w:val="1"/>
    <w:qFormat/>
    <w:rsid w:val="00EA5ED5"/>
    <w:rPr>
      <w:rFonts w:ascii="Linux Biolinum O" w:hAnsi="Linux Biolinum O" w:cs="Linux Biolinum O"/>
      <w:sz w:val="18"/>
      <w:szCs w:val="24"/>
      <w:lang w:eastAsia="ja-JP"/>
    </w:rPr>
  </w:style>
  <w:style w:type="paragraph" w:styleId="affff6">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f7">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f8">
    <w:name w:val="Note Heading"/>
    <w:basedOn w:val="a3"/>
    <w:next w:val="a3"/>
    <w:link w:val="affff9"/>
    <w:uiPriority w:val="99"/>
    <w:semiHidden/>
    <w:unhideWhenUsed/>
    <w:rsid w:val="00EA5ED5"/>
    <w:rPr>
      <w:rFonts w:ascii="Linux Libertine O" w:eastAsia="MS Mincho" w:hAnsi="Linux Libertine O" w:cs="Linux Libertine O"/>
      <w:sz w:val="18"/>
      <w:lang w:val="en-US" w:eastAsia="ja-JP"/>
    </w:rPr>
  </w:style>
  <w:style w:type="character" w:customStyle="1" w:styleId="affff9">
    <w:name w:val="注释标题 字符"/>
    <w:basedOn w:val="a4"/>
    <w:link w:val="affff8"/>
    <w:uiPriority w:val="99"/>
    <w:semiHidden/>
    <w:rsid w:val="00EA5ED5"/>
    <w:rPr>
      <w:rFonts w:ascii="Linux Libertine O" w:hAnsi="Linux Libertine O" w:cs="Linux Libertine O"/>
      <w:sz w:val="18"/>
      <w:szCs w:val="24"/>
      <w:lang w:eastAsia="ja-JP"/>
    </w:rPr>
  </w:style>
  <w:style w:type="character" w:styleId="affffa">
    <w:name w:val="Placeholder Text"/>
    <w:basedOn w:val="a4"/>
    <w:uiPriority w:val="99"/>
    <w:semiHidden/>
    <w:rsid w:val="00EA5ED5"/>
    <w:rPr>
      <w:rFonts w:ascii="Linux Biolinum O" w:hAnsi="Linux Biolinum O" w:cs="Linux Biolinum O"/>
      <w:color w:val="808080"/>
    </w:rPr>
  </w:style>
  <w:style w:type="table" w:customStyle="1" w:styleId="111">
    <w:name w:val="无格式表格 11"/>
    <w:basedOn w:val="a5"/>
    <w:uiPriority w:val="99"/>
    <w:rsid w:val="00EA5ED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5"/>
    <w:uiPriority w:val="99"/>
    <w:rsid w:val="00EA5ED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5"/>
    <w:uiPriority w:val="99"/>
    <w:rsid w:val="00EA5ED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5"/>
    <w:uiPriority w:val="99"/>
    <w:rsid w:val="00EA5ED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5"/>
    <w:uiPriority w:val="99"/>
    <w:rsid w:val="00EA5ED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Plain Text"/>
    <w:basedOn w:val="a3"/>
    <w:link w:val="affffc"/>
    <w:uiPriority w:val="99"/>
    <w:semiHidden/>
    <w:unhideWhenUsed/>
    <w:rsid w:val="00EA5ED5"/>
    <w:rPr>
      <w:rFonts w:ascii="Linux Biolinum O" w:eastAsia="MS Mincho" w:hAnsi="Linux Biolinum O" w:cs="Linux Biolinum O"/>
      <w:sz w:val="21"/>
      <w:szCs w:val="21"/>
      <w:lang w:val="en-US" w:eastAsia="ja-JP"/>
    </w:rPr>
  </w:style>
  <w:style w:type="character" w:customStyle="1" w:styleId="affffc">
    <w:name w:val="纯文本 字符"/>
    <w:basedOn w:val="a4"/>
    <w:link w:val="affffb"/>
    <w:uiPriority w:val="99"/>
    <w:semiHidden/>
    <w:rsid w:val="00EA5ED5"/>
    <w:rPr>
      <w:rFonts w:ascii="Linux Biolinum O" w:hAnsi="Linux Biolinum O" w:cs="Linux Biolinum O"/>
      <w:sz w:val="21"/>
      <w:szCs w:val="21"/>
      <w:lang w:eastAsia="ja-JP"/>
    </w:rPr>
  </w:style>
  <w:style w:type="paragraph" w:styleId="affffd">
    <w:name w:val="Quote"/>
    <w:basedOn w:val="a3"/>
    <w:next w:val="a3"/>
    <w:link w:val="affffe"/>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affffe">
    <w:name w:val="引用 字符"/>
    <w:basedOn w:val="a4"/>
    <w:link w:val="affffd"/>
    <w:uiPriority w:val="29"/>
    <w:rsid w:val="00EA5ED5"/>
    <w:rPr>
      <w:rFonts w:ascii="Linux Libertine O" w:hAnsi="Linux Libertine O" w:cs="Linux Libertine O"/>
      <w:i/>
      <w:iCs/>
      <w:color w:val="404040" w:themeColor="text1" w:themeTint="BF"/>
      <w:sz w:val="18"/>
      <w:szCs w:val="24"/>
      <w:lang w:eastAsia="ja-JP"/>
    </w:rPr>
  </w:style>
  <w:style w:type="paragraph" w:styleId="afffff">
    <w:name w:val="Salutation"/>
    <w:basedOn w:val="a3"/>
    <w:next w:val="a3"/>
    <w:link w:val="afffff0"/>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afffff0">
    <w:name w:val="称呼 字符"/>
    <w:basedOn w:val="a4"/>
    <w:link w:val="afffff"/>
    <w:uiPriority w:val="99"/>
    <w:semiHidden/>
    <w:rsid w:val="00EA5ED5"/>
    <w:rPr>
      <w:rFonts w:ascii="Linux Libertine O" w:hAnsi="Linux Libertine O" w:cs="Linux Libertine O"/>
      <w:sz w:val="18"/>
      <w:szCs w:val="24"/>
      <w:lang w:eastAsia="ja-JP"/>
    </w:rPr>
  </w:style>
  <w:style w:type="paragraph" w:styleId="afffff1">
    <w:name w:val="Signature"/>
    <w:basedOn w:val="a3"/>
    <w:link w:val="afffff2"/>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afffff2">
    <w:name w:val="签名 字符"/>
    <w:basedOn w:val="a4"/>
    <w:link w:val="afffff1"/>
    <w:uiPriority w:val="99"/>
    <w:semiHidden/>
    <w:rsid w:val="00EA5ED5"/>
    <w:rPr>
      <w:rFonts w:ascii="Linux Libertine O" w:hAnsi="Linux Libertine O" w:cs="Linux Libertine O"/>
      <w:sz w:val="18"/>
      <w:szCs w:val="24"/>
      <w:lang w:eastAsia="ja-JP"/>
    </w:rPr>
  </w:style>
  <w:style w:type="character" w:customStyle="1" w:styleId="18">
    <w:name w:val="智能超链接1"/>
    <w:basedOn w:val="a4"/>
    <w:uiPriority w:val="99"/>
    <w:semiHidden/>
    <w:unhideWhenUsed/>
    <w:rsid w:val="00EA5ED5"/>
    <w:rPr>
      <w:rFonts w:ascii="Linux Biolinum O" w:hAnsi="Linux Biolinum O" w:cs="Linux Biolinum O"/>
      <w:u w:val="dotted"/>
    </w:rPr>
  </w:style>
  <w:style w:type="character" w:styleId="afffff3">
    <w:name w:val="Strong"/>
    <w:basedOn w:val="a4"/>
    <w:uiPriority w:val="22"/>
    <w:qFormat/>
    <w:rsid w:val="00EA5ED5"/>
    <w:rPr>
      <w:rFonts w:ascii="Linux Biolinum O" w:hAnsi="Linux Biolinum O" w:cs="Linux Biolinum O"/>
      <w:b/>
      <w:bCs/>
    </w:rPr>
  </w:style>
  <w:style w:type="character" w:styleId="afffff4">
    <w:name w:val="Subtle Emphasis"/>
    <w:basedOn w:val="a4"/>
    <w:uiPriority w:val="19"/>
    <w:qFormat/>
    <w:rsid w:val="00EA5ED5"/>
    <w:rPr>
      <w:rFonts w:ascii="Linux Biolinum O" w:hAnsi="Linux Biolinum O" w:cs="Linux Biolinum O"/>
      <w:i/>
      <w:iCs/>
      <w:color w:val="404040" w:themeColor="text1" w:themeTint="BF"/>
    </w:rPr>
  </w:style>
  <w:style w:type="character" w:styleId="afffff5">
    <w:name w:val="Subtle Reference"/>
    <w:basedOn w:val="a4"/>
    <w:uiPriority w:val="31"/>
    <w:qFormat/>
    <w:rsid w:val="00EA5ED5"/>
    <w:rPr>
      <w:rFonts w:ascii="Linux Biolinum O" w:hAnsi="Linux Biolinum O" w:cs="Linux Biolinum O"/>
      <w:smallCaps/>
      <w:color w:val="5A5A5A" w:themeColor="text1" w:themeTint="A5"/>
    </w:rPr>
  </w:style>
  <w:style w:type="table" w:styleId="19">
    <w:name w:val="Table 3D effects 1"/>
    <w:basedOn w:val="a5"/>
    <w:uiPriority w:val="99"/>
    <w:semiHidden/>
    <w:unhideWhenUsed/>
    <w:rsid w:val="00EA5ED5"/>
    <w:pPr>
      <w:spacing w:after="20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
    <w:name w:val="Table 3D effects 2"/>
    <w:basedOn w:val="a5"/>
    <w:uiPriority w:val="99"/>
    <w:semiHidden/>
    <w:unhideWhenUsed/>
    <w:rsid w:val="00EA5ED5"/>
    <w:pPr>
      <w:spacing w:after="20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5"/>
    <w:uiPriority w:val="99"/>
    <w:semiHidden/>
    <w:unhideWhenUsed/>
    <w:rsid w:val="00EA5ED5"/>
    <w:pPr>
      <w:spacing w:after="20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a">
    <w:name w:val="Table Classic 1"/>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5"/>
    <w:uiPriority w:val="99"/>
    <w:semiHidden/>
    <w:unhideWhenUsed/>
    <w:rsid w:val="00EA5ED5"/>
    <w:pPr>
      <w:spacing w:after="20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5"/>
    <w:uiPriority w:val="99"/>
    <w:semiHidden/>
    <w:unhideWhenUsed/>
    <w:rsid w:val="00EA5ED5"/>
    <w:pPr>
      <w:spacing w:after="20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6">
    <w:name w:val="Table Classic 4"/>
    <w:basedOn w:val="a5"/>
    <w:uiPriority w:val="99"/>
    <w:semiHidden/>
    <w:unhideWhenUsed/>
    <w:rsid w:val="00EA5ED5"/>
    <w:pPr>
      <w:spacing w:after="20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b">
    <w:name w:val="Table Colorful 1"/>
    <w:basedOn w:val="a5"/>
    <w:uiPriority w:val="99"/>
    <w:semiHidden/>
    <w:unhideWhenUsed/>
    <w:rsid w:val="00EA5ED5"/>
    <w:pPr>
      <w:spacing w:after="20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1">
    <w:name w:val="Table Colorful 2"/>
    <w:basedOn w:val="a5"/>
    <w:uiPriority w:val="99"/>
    <w:semiHidden/>
    <w:unhideWhenUsed/>
    <w:rsid w:val="00EA5ED5"/>
    <w:pPr>
      <w:spacing w:after="20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5"/>
    <w:uiPriority w:val="99"/>
    <w:semiHidden/>
    <w:unhideWhenUsed/>
    <w:rsid w:val="00EA5ED5"/>
    <w:pPr>
      <w:spacing w:after="20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c">
    <w:name w:val="Table Columns 1"/>
    <w:basedOn w:val="a5"/>
    <w:uiPriority w:val="99"/>
    <w:semiHidden/>
    <w:unhideWhenUsed/>
    <w:rsid w:val="00EA5ED5"/>
    <w:pPr>
      <w:spacing w:after="20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Columns 2"/>
    <w:basedOn w:val="a5"/>
    <w:uiPriority w:val="99"/>
    <w:semiHidden/>
    <w:unhideWhenUsed/>
    <w:rsid w:val="00EA5ED5"/>
    <w:pPr>
      <w:spacing w:after="20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5"/>
    <w:uiPriority w:val="99"/>
    <w:semiHidden/>
    <w:unhideWhenUsed/>
    <w:rsid w:val="00EA5ED5"/>
    <w:pPr>
      <w:spacing w:after="20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uiPriority w:val="99"/>
    <w:semiHidden/>
    <w:unhideWhenUsed/>
    <w:rsid w:val="00EA5ED5"/>
    <w:pPr>
      <w:spacing w:after="20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5"/>
    <w:uiPriority w:val="99"/>
    <w:semiHidden/>
    <w:unhideWhenUsed/>
    <w:rsid w:val="00EA5ED5"/>
    <w:pPr>
      <w:spacing w:after="20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6">
    <w:name w:val="Table Contemporary"/>
    <w:basedOn w:val="a5"/>
    <w:uiPriority w:val="99"/>
    <w:semiHidden/>
    <w:unhideWhenUsed/>
    <w:rsid w:val="00EA5ED5"/>
    <w:pPr>
      <w:spacing w:after="20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7">
    <w:name w:val="Table Elegant"/>
    <w:basedOn w:val="a5"/>
    <w:uiPriority w:val="99"/>
    <w:semiHidden/>
    <w:unhideWhenUsed/>
    <w:rsid w:val="00EA5ED5"/>
    <w:pPr>
      <w:spacing w:after="20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f8">
    <w:name w:val="Table Grid"/>
    <w:basedOn w:val="a5"/>
    <w:rsid w:val="00EA5E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d">
    <w:name w:val="Table Grid 1"/>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3">
    <w:name w:val="Table Grid 2"/>
    <w:basedOn w:val="a5"/>
    <w:uiPriority w:val="99"/>
    <w:semiHidden/>
    <w:unhideWhenUsed/>
    <w:rsid w:val="00EA5ED5"/>
    <w:pPr>
      <w:spacing w:after="20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5"/>
    <w:uiPriority w:val="99"/>
    <w:semiHidden/>
    <w:unhideWhenUsed/>
    <w:rsid w:val="00EA5ED5"/>
    <w:pPr>
      <w:spacing w:after="20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8">
    <w:name w:val="Table Grid 4"/>
    <w:basedOn w:val="a5"/>
    <w:uiPriority w:val="99"/>
    <w:semiHidden/>
    <w:unhideWhenUsed/>
    <w:rsid w:val="00EA5ED5"/>
    <w:pPr>
      <w:spacing w:after="20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7">
    <w:name w:val="Table Grid 5"/>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5"/>
    <w:uiPriority w:val="99"/>
    <w:semiHidden/>
    <w:unhideWhenUsed/>
    <w:rsid w:val="00EA5ED5"/>
    <w:pPr>
      <w:spacing w:after="20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uiPriority w:val="99"/>
    <w:semiHidden/>
    <w:unhideWhenUsed/>
    <w:rsid w:val="00EA5ED5"/>
    <w:pPr>
      <w:spacing w:after="20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e">
    <w:name w:val="网格型浅色1"/>
    <w:basedOn w:val="a5"/>
    <w:uiPriority w:val="99"/>
    <w:rsid w:val="00EA5ED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
    <w:name w:val="Table List 1"/>
    <w:basedOn w:val="a5"/>
    <w:uiPriority w:val="99"/>
    <w:semiHidden/>
    <w:unhideWhenUsed/>
    <w:rsid w:val="00EA5ED5"/>
    <w:pPr>
      <w:spacing w:after="20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4">
    <w:name w:val="Table List 2"/>
    <w:basedOn w:val="a5"/>
    <w:uiPriority w:val="99"/>
    <w:semiHidden/>
    <w:unhideWhenUsed/>
    <w:rsid w:val="00EA5ED5"/>
    <w:pPr>
      <w:spacing w:after="20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0">
    <w:name w:val="Table List 3"/>
    <w:basedOn w:val="a5"/>
    <w:uiPriority w:val="99"/>
    <w:semiHidden/>
    <w:unhideWhenUsed/>
    <w:rsid w:val="00EA5ED5"/>
    <w:pPr>
      <w:spacing w:after="20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9">
    <w:name w:val="Table List 4"/>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8">
    <w:name w:val="Table List 5"/>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5"/>
    <w:uiPriority w:val="99"/>
    <w:semiHidden/>
    <w:unhideWhenUsed/>
    <w:rsid w:val="00EA5ED5"/>
    <w:pPr>
      <w:spacing w:after="20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3">
    <w:name w:val="Table List 8"/>
    <w:basedOn w:val="a5"/>
    <w:uiPriority w:val="99"/>
    <w:semiHidden/>
    <w:unhideWhenUsed/>
    <w:rsid w:val="00EA5ED5"/>
    <w:pPr>
      <w:spacing w:after="20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9">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fa">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fb">
    <w:name w:val="Table Professional"/>
    <w:basedOn w:val="a5"/>
    <w:uiPriority w:val="99"/>
    <w:semiHidden/>
    <w:unhideWhenUsed/>
    <w:rsid w:val="00EA5ED5"/>
    <w:pPr>
      <w:spacing w:after="20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f0">
    <w:name w:val="Table Simple 1"/>
    <w:basedOn w:val="a5"/>
    <w:uiPriority w:val="99"/>
    <w:semiHidden/>
    <w:unhideWhenUsed/>
    <w:rsid w:val="00EA5ED5"/>
    <w:pPr>
      <w:spacing w:after="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uiPriority w:val="99"/>
    <w:semiHidden/>
    <w:unhideWhenUsed/>
    <w:rsid w:val="00EA5ED5"/>
    <w:pPr>
      <w:spacing w:after="20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1">
    <w:name w:val="Table Simple 3"/>
    <w:basedOn w:val="a5"/>
    <w:uiPriority w:val="99"/>
    <w:semiHidden/>
    <w:unhideWhenUsed/>
    <w:rsid w:val="00EA5ED5"/>
    <w:pPr>
      <w:spacing w:after="20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1">
    <w:name w:val="Table Subtle 1"/>
    <w:basedOn w:val="a5"/>
    <w:uiPriority w:val="99"/>
    <w:semiHidden/>
    <w:unhideWhenUsed/>
    <w:rsid w:val="00EA5ED5"/>
    <w:pPr>
      <w:spacing w:after="20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6">
    <w:name w:val="Table Subtle 2"/>
    <w:basedOn w:val="a5"/>
    <w:uiPriority w:val="99"/>
    <w:rsid w:val="00EA5ED5"/>
    <w:pPr>
      <w:spacing w:after="20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c">
    <w:name w:val="Table Theme"/>
    <w:basedOn w:val="a5"/>
    <w:uiPriority w:val="99"/>
    <w:semiHidden/>
    <w:unhideWhenUsed/>
    <w:rsid w:val="00EA5ED5"/>
    <w:pPr>
      <w:spacing w:after="20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Web 1"/>
    <w:basedOn w:val="a5"/>
    <w:uiPriority w:val="99"/>
    <w:semiHidden/>
    <w:unhideWhenUsed/>
    <w:rsid w:val="00EA5ED5"/>
    <w:pPr>
      <w:spacing w:after="20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7">
    <w:name w:val="Table Web 2"/>
    <w:basedOn w:val="a5"/>
    <w:uiPriority w:val="99"/>
    <w:semiHidden/>
    <w:unhideWhenUsed/>
    <w:rsid w:val="00EA5ED5"/>
    <w:pPr>
      <w:spacing w:after="20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5"/>
    <w:uiPriority w:val="99"/>
    <w:rsid w:val="00EA5ED5"/>
    <w:pPr>
      <w:spacing w:after="20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d">
    <w:name w:val="Title"/>
    <w:basedOn w:val="a3"/>
    <w:next w:val="a3"/>
    <w:link w:val="afffffe"/>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afffffe">
    <w:name w:val="标题 字符"/>
    <w:basedOn w:val="a4"/>
    <w:link w:val="afffffd"/>
    <w:uiPriority w:val="10"/>
    <w:rsid w:val="00EA5ED5"/>
    <w:rPr>
      <w:rFonts w:ascii="Linux Libertine O" w:eastAsiaTheme="majorEastAsia" w:hAnsi="Linux Libertine O" w:cs="Linux Libertine O"/>
      <w:spacing w:val="-10"/>
      <w:kern w:val="28"/>
      <w:sz w:val="56"/>
      <w:szCs w:val="56"/>
      <w:lang w:eastAsia="ja-JP"/>
    </w:rPr>
  </w:style>
  <w:style w:type="paragraph" w:styleId="affffff">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TOC1">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TOC2">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TOC3">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TOC4">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TOC5">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TOC6">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TOC7">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TOC8">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TOC9">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1f3">
    <w:name w:val="未处理的提及1"/>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ff0">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1E46A4"/>
    <w:pPr>
      <w:spacing w:after="120"/>
      <w:jc w:val="center"/>
    </w:pPr>
    <w:rPr>
      <w:rFonts w:ascii="Helvetica" w:eastAsiaTheme="minorEastAsia" w:hAnsi="Helvetica"/>
      <w:b/>
      <w:sz w:val="3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m.org/publications/class-2012" TargetMode="External"/><Relationship Id="rId13" Type="http://schemas.openxmlformats.org/officeDocument/2006/relationships/hyperlink" Target="https://commons.wikimedia.org/wiki/File:TuringBombeBletchleyPark.jpg" TargetMode="External"/><Relationship Id="rId18" Type="http://schemas.openxmlformats.org/officeDocument/2006/relationships/hyperlink" Target="http://wwtug.org/instmem.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yperlink" Target="https://doi.org/10.1145/567446.567449" TargetMode="External"/><Relationship Id="rId2" Type="http://schemas.openxmlformats.org/officeDocument/2006/relationships/numbering" Target="numbering.xml"/><Relationship Id="rId16" Type="http://schemas.openxmlformats.org/officeDocument/2006/relationships/hyperlink" Target="https://doi.org/10.1007/3-540-09237-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www.iesl.cs.umass.edu/data/data-umasscitationfield" TargetMode="External"/><Relationship Id="rId23" Type="http://schemas.openxmlformats.org/officeDocument/2006/relationships/theme" Target="theme/theme1.xml"/><Relationship Id="rId10" Type="http://schemas.openxmlformats.org/officeDocument/2006/relationships/hyperlink" Target="https://dl.acm.org/ccs/ccs.cfm" TargetMode="External"/><Relationship Id="rId19" Type="http://schemas.openxmlformats.org/officeDocument/2006/relationships/hyperlink" Target="http://tinyurl.com/lzny753" TargetMode="External"/><Relationship Id="rId4" Type="http://schemas.openxmlformats.org/officeDocument/2006/relationships/settings" Target="settings.xml"/><Relationship Id="rId9" Type="http://schemas.openxmlformats.org/officeDocument/2006/relationships/hyperlink" Target="http://dl.acm.org/ccs/ccs.cfm?" TargetMode="External"/><Relationship Id="rId14" Type="http://schemas.openxmlformats.org/officeDocument/2006/relationships/hyperlink" Target="https://www.acm.org/accessibility"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1A9299C-92C4-41D5-9976-B7A71F448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Invariant Game Representation Learning from Steam Reviews: Supplementary Material</dc:title>
  <dc:subject/>
  <dc:creator/>
  <cp:keywords/>
  <dc:description/>
  <cp:lastModifiedBy/>
  <cp:revision>1</cp:revision>
  <dcterms:created xsi:type="dcterms:W3CDTF">2026-01-01T00:00:00Z</dcterms:created>
  <dcterms:modified xsi:type="dcterms:W3CDTF">2026-01-01T00:00:00Z</dcterms:modified>
  <cp:category/>
  <cp:contentStatus/>
</cp:coreProperties>
</file>