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document"/>
      </w:pPr>
      <w:r>
        <w:t xml:space="preserve">Invariant Game Representation Learning from Steam Reviews</w:t>
      </w:r>
    </w:p>
    <w:p>
      <w:pPr>
        <w:pStyle w:val="Authors"/>
      </w:pPr>
      <w:r>
        <w:t xml:space="preserve">Appendices A-M</w:t>
      </w:r>
    </w:p>
    <w:p>
      <w:pPr>
        <w:pStyle w:val="Affiliation"/>
      </w:pPr>
      <w:r>
        <w:t xml:space="preserve">Supplementary material to the AICCC 2026 submission (PA0049)</w:t>
      </w:r>
    </w:p>
    <w:p>
      <w:pPr>
        <w:pStyle w:val="AppendixH1"/>
      </w:pPr>
      <w:r>
        <w:t xml:space="preserve">APPENDIX A: THE TWO QUERY REGISTERS ON ONE GAME</w:t>
      </w:r>
    </w:p>
    <w:p>
      <w:pPr>
        <w:pStyle w:val="Para"/>
      </w:pPr>
      <w:r>
        <w:t xml:space="preserve">Both registers of Section 5 are written from the same wiki article by the same model, and only the instruction differs. Name-intact keeps the names and is scored as Name hit@k, the rate the abstract quotes; name-stripped is scored as Stripped hit@k, the retrieval reading the body reports throughout. The openings below are verbatim, for one held-out game; Appendix F gives the two instructions themselves.</w:t>
      </w:r>
    </w:p>
    <w:p>
      <w:pPr>
        <w:pStyle w:val="AlgorithmCaption"/>
      </w:pPr>
      <w:r>
        <w:t xml:space="preserve">LISTING 1: The two query registers on one held-out game</w:t>
      </w:r>
    </w:p>
    <w:p>
      <w:pPr>
        <w:pStyle w:val="Algorithm"/>
      </w:pPr>
      <w:r>
        <w:t xml:space="preserve">Name-intact (Name hit@k)</w:t>
        <w:br/>
        <w:t xml:space="preserve">Miasma Chronicles is a tactical role-playing video game developed by The Bearded Ladies and published by 505 Games in 2023. Set in a post-apocalyptic version of the United States, it combines turn-based tactics with stealth game mechanics. The story follows a world devastated by a force known as the miasma, which can transform or kill living things. More than a century after this catastrophe, a woman leaves her son, Elvis, in the care of a robot named Diggs. Elvis also receives a glove left behind by his mother that can control the miasma. Players take control of Elvis as he searches for his mother and tries to uncover more about the miasma.</w:t>
        <w:br/>
        <w:br/>
        <w:t xml:space="preserve">Name-stripped (Stripped hit@k)</w:t>
        <w:br/>
        <w:t xml:space="preserve">This tactical role-playing game takes place in a ruined future version of the United States, where a mysterious force has devastated the land by transforming or killing living things. The story follows a young man who is left in the care of a robot guardian after his mother disappears, and who later sets out to find her while uncovering the truth behind the strange force at the center of the world. He carries a special glove left by his mother, which can control this force and serves as a key part of both the narrative and the gameplay.</w:t>
      </w:r>
    </w:p>
    <w:p>
      <w:pPr>
        <w:pStyle w:val="AppendixH1"/>
      </w:pPr>
      <w:r>
        <w:t xml:space="preserve">APPENDIX B: FIVE-FOLD CROSS-VALIDATION DETAIL</w:t>
      </w:r>
    </w:p>
    <w:p>
      <w:pPr>
        <w:pStyle w:val="Para"/>
      </w:pPr>
      <w:r>
        <w:t xml:space="preserve">Table A1 gives the per-fold results behind Table A2's largest-budget row: I-CE at the 4,096-sentence anchor budget fold by fold, with its seed-paired CE partner (identical fold splits) summarized as mean ± std, evaluated zero-shot under the protocol of Section 5 (validation-selected checkpoints, Section 5; retrieval among all 2,020 games).</w:t>
      </w:r>
    </w:p>
    <w:p>
      <w:pPr>
        <w:pStyle w:val="TableCaption"/>
      </w:pPr>
      <w:r>
        <w:t xml:space="preserve">Table A1: Per-fold detail at the 4,096-sentence anchor budget, test-set queries (ts). I-CE beats CE on Stripped hit@1 in five of five paired folds at this budget, and in 20 of 20 across the four budgets of Table A2.</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Fold</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fold 0</w:t>
            </w:r>
          </w:p>
        </w:tc>
        <w:tc>
          <w:tcPr>
            <w:tcW w:type="dxa" w:w="1120"/>
          </w:tcPr>
          <w:p>
            <w:pPr>
              <w:pStyle w:val="TableCell"/>
              <w:keepNext/>
            </w:pPr>
            <w:r>
              <w:t xml:space="preserve">0.970</w:t>
            </w:r>
          </w:p>
        </w:tc>
        <w:tc>
          <w:tcPr>
            <w:tcW w:type="dxa" w:w="1120"/>
          </w:tcPr>
          <w:p>
            <w:pPr>
              <w:pStyle w:val="TableCell"/>
              <w:keepNext/>
            </w:pPr>
            <w:r>
              <w:t xml:space="preserve">1.000</w:t>
            </w:r>
          </w:p>
        </w:tc>
        <w:tc>
          <w:tcPr>
            <w:tcW w:type="dxa" w:w="1245"/>
          </w:tcPr>
          <w:p>
            <w:pPr>
              <w:pStyle w:val="TableCell"/>
              <w:keepNext/>
            </w:pPr>
            <w:r>
              <w:t xml:space="preserve">0.728</w:t>
            </w:r>
          </w:p>
        </w:tc>
        <w:tc>
          <w:tcPr>
            <w:tcW w:type="dxa" w:w="1245"/>
          </w:tcPr>
          <w:p>
            <w:pPr>
              <w:pStyle w:val="TableCell"/>
              <w:keepNext/>
            </w:pPr>
            <w:r>
              <w:t xml:space="preserve">0.920</w:t>
            </w:r>
          </w:p>
        </w:tc>
        <w:tc>
          <w:tcPr>
            <w:tcW w:type="dxa" w:w="2170"/>
          </w:tcPr>
          <w:p>
            <w:pPr>
              <w:pStyle w:val="TableCell"/>
              <w:keepNext/>
            </w:pPr>
            <w:r>
              <w:t xml:space="preserve">0.689</w:t>
            </w:r>
          </w:p>
        </w:tc>
      </w:tr>
      <w:tr>
        <w:tc>
          <w:tcPr>
            <w:tcW w:type="dxa" w:w="1500"/>
          </w:tcPr>
          <w:p>
            <w:pPr>
              <w:pStyle w:val="TableCell"/>
              <w:keepNext/>
            </w:pPr>
            <w:r>
              <w:t xml:space="preserve">I-CE fold 1</w:t>
            </w:r>
          </w:p>
        </w:tc>
        <w:tc>
          <w:tcPr>
            <w:tcW w:type="dxa" w:w="1120"/>
          </w:tcPr>
          <w:p>
            <w:pPr>
              <w:pStyle w:val="TableCell"/>
              <w:keepNext/>
            </w:pPr>
            <w:r>
              <w:t xml:space="preserve">0.955</w:t>
            </w:r>
          </w:p>
        </w:tc>
        <w:tc>
          <w:tcPr>
            <w:tcW w:type="dxa" w:w="1120"/>
          </w:tcPr>
          <w:p>
            <w:pPr>
              <w:pStyle w:val="TableCell"/>
              <w:keepNext/>
            </w:pPr>
            <w:r>
              <w:t xml:space="preserve">1.000</w:t>
            </w:r>
          </w:p>
        </w:tc>
        <w:tc>
          <w:tcPr>
            <w:tcW w:type="dxa" w:w="1245"/>
          </w:tcPr>
          <w:p>
            <w:pPr>
              <w:pStyle w:val="TableCell"/>
              <w:keepNext/>
            </w:pPr>
            <w:r>
              <w:t xml:space="preserve">0.745</w:t>
            </w:r>
          </w:p>
        </w:tc>
        <w:tc>
          <w:tcPr>
            <w:tcW w:type="dxa" w:w="1245"/>
          </w:tcPr>
          <w:p>
            <w:pPr>
              <w:pStyle w:val="TableCell"/>
              <w:keepNext/>
            </w:pPr>
            <w:r>
              <w:t xml:space="preserve">0.931</w:t>
            </w:r>
          </w:p>
        </w:tc>
        <w:tc>
          <w:tcPr>
            <w:tcW w:type="dxa" w:w="2170"/>
          </w:tcPr>
          <w:p>
            <w:pPr>
              <w:pStyle w:val="TableCell"/>
              <w:keepNext/>
            </w:pPr>
            <w:r>
              <w:t xml:space="preserve">0.665</w:t>
            </w:r>
          </w:p>
        </w:tc>
      </w:tr>
      <w:tr>
        <w:tc>
          <w:tcPr>
            <w:tcW w:type="dxa" w:w="1500"/>
          </w:tcPr>
          <w:p>
            <w:pPr>
              <w:pStyle w:val="TableCell"/>
              <w:keepNext/>
            </w:pPr>
            <w:r>
              <w:t xml:space="preserve">I-CE fold 2</w:t>
            </w:r>
          </w:p>
        </w:tc>
        <w:tc>
          <w:tcPr>
            <w:tcW w:type="dxa" w:w="1120"/>
          </w:tcPr>
          <w:p>
            <w:pPr>
              <w:pStyle w:val="TableCell"/>
              <w:keepNext/>
            </w:pPr>
            <w:r>
              <w:t xml:space="preserve">0.931</w:t>
            </w:r>
          </w:p>
        </w:tc>
        <w:tc>
          <w:tcPr>
            <w:tcW w:type="dxa" w:w="1120"/>
          </w:tcPr>
          <w:p>
            <w:pPr>
              <w:pStyle w:val="TableCell"/>
              <w:keepNext/>
            </w:pPr>
            <w:r>
              <w:t xml:space="preserve">0.989</w:t>
            </w:r>
          </w:p>
        </w:tc>
        <w:tc>
          <w:tcPr>
            <w:tcW w:type="dxa" w:w="1245"/>
          </w:tcPr>
          <w:p>
            <w:pPr>
              <w:pStyle w:val="TableCell"/>
              <w:keepNext/>
            </w:pPr>
            <w:r>
              <w:t xml:space="preserve">0.715</w:t>
            </w:r>
          </w:p>
        </w:tc>
        <w:tc>
          <w:tcPr>
            <w:tcW w:type="dxa" w:w="1245"/>
          </w:tcPr>
          <w:p>
            <w:pPr>
              <w:pStyle w:val="TableCell"/>
              <w:keepNext/>
            </w:pPr>
            <w:r>
              <w:t xml:space="preserve">0.904</w:t>
            </w:r>
          </w:p>
        </w:tc>
        <w:tc>
          <w:tcPr>
            <w:tcW w:type="dxa" w:w="2170"/>
          </w:tcPr>
          <w:p>
            <w:pPr>
              <w:pStyle w:val="TableCell"/>
              <w:keepNext/>
            </w:pPr>
            <w:r>
              <w:t xml:space="preserve">0.662</w:t>
            </w:r>
          </w:p>
        </w:tc>
      </w:tr>
      <w:tr>
        <w:tc>
          <w:tcPr>
            <w:tcW w:type="dxa" w:w="1500"/>
          </w:tcPr>
          <w:p>
            <w:pPr>
              <w:pStyle w:val="TableCell"/>
              <w:keepNext/>
            </w:pPr>
            <w:r>
              <w:t xml:space="preserve">I-CE fold 3</w:t>
            </w:r>
          </w:p>
        </w:tc>
        <w:tc>
          <w:tcPr>
            <w:tcW w:type="dxa" w:w="1120"/>
          </w:tcPr>
          <w:p>
            <w:pPr>
              <w:pStyle w:val="TableCell"/>
              <w:keepNext/>
            </w:pPr>
            <w:r>
              <w:t xml:space="preserve">0.952</w:t>
            </w:r>
          </w:p>
        </w:tc>
        <w:tc>
          <w:tcPr>
            <w:tcW w:type="dxa" w:w="1120"/>
          </w:tcPr>
          <w:p>
            <w:pPr>
              <w:pStyle w:val="TableCell"/>
              <w:keepNext/>
            </w:pPr>
            <w:r>
              <w:t xml:space="preserve">0.994</w:t>
            </w:r>
          </w:p>
        </w:tc>
        <w:tc>
          <w:tcPr>
            <w:tcW w:type="dxa" w:w="1245"/>
          </w:tcPr>
          <w:p>
            <w:pPr>
              <w:pStyle w:val="TableCell"/>
              <w:keepNext/>
            </w:pPr>
            <w:r>
              <w:t xml:space="preserve">0.749</w:t>
            </w:r>
          </w:p>
        </w:tc>
        <w:tc>
          <w:tcPr>
            <w:tcW w:type="dxa" w:w="1245"/>
          </w:tcPr>
          <w:p>
            <w:pPr>
              <w:pStyle w:val="TableCell"/>
              <w:keepNext/>
            </w:pPr>
            <w:r>
              <w:t xml:space="preserve">0.922</w:t>
            </w:r>
          </w:p>
        </w:tc>
        <w:tc>
          <w:tcPr>
            <w:tcW w:type="dxa" w:w="2170"/>
          </w:tcPr>
          <w:p>
            <w:pPr>
              <w:pStyle w:val="TableCell"/>
              <w:keepNext/>
            </w:pPr>
            <w:r>
              <w:t xml:space="preserve">0.697</w:t>
            </w:r>
          </w:p>
        </w:tc>
      </w:tr>
      <w:tr>
        <w:tc>
          <w:tcPr>
            <w:tcW w:type="dxa" w:w="1500"/>
          </w:tcPr>
          <w:p>
            <w:pPr>
              <w:pStyle w:val="TableCell"/>
              <w:keepNext/>
            </w:pPr>
            <w:r>
              <w:t xml:space="preserve">I-CE fold 4</w:t>
            </w:r>
          </w:p>
        </w:tc>
        <w:tc>
          <w:tcPr>
            <w:tcW w:type="dxa" w:w="1120"/>
          </w:tcPr>
          <w:p>
            <w:pPr>
              <w:pStyle w:val="TableCell"/>
              <w:keepNext/>
            </w:pPr>
            <w:r>
              <w:t xml:space="preserve">0.962</w:t>
            </w:r>
          </w:p>
        </w:tc>
        <w:tc>
          <w:tcPr>
            <w:tcW w:type="dxa" w:w="1120"/>
          </w:tcPr>
          <w:p>
            <w:pPr>
              <w:pStyle w:val="TableCell"/>
              <w:keepNext/>
            </w:pPr>
            <w:r>
              <w:t xml:space="preserve">1.000</w:t>
            </w:r>
          </w:p>
        </w:tc>
        <w:tc>
          <w:tcPr>
            <w:tcW w:type="dxa" w:w="1245"/>
          </w:tcPr>
          <w:p>
            <w:pPr>
              <w:pStyle w:val="TableCell"/>
              <w:keepNext/>
            </w:pPr>
            <w:r>
              <w:t xml:space="preserve">0.769</w:t>
            </w:r>
          </w:p>
        </w:tc>
        <w:tc>
          <w:tcPr>
            <w:tcW w:type="dxa" w:w="1245"/>
          </w:tcPr>
          <w:p>
            <w:pPr>
              <w:pStyle w:val="TableCell"/>
              <w:keepNext/>
            </w:pPr>
            <w:r>
              <w:t xml:space="preserve">0.963</w:t>
            </w:r>
          </w:p>
        </w:tc>
        <w:tc>
          <w:tcPr>
            <w:tcW w:type="dxa" w:w="2170"/>
          </w:tcPr>
          <w:p>
            <w:pPr>
              <w:pStyle w:val="TableCell"/>
              <w:keepNext/>
            </w:pPr>
            <w:r>
              <w:t xml:space="preserve">0.709</w:t>
            </w:r>
          </w:p>
        </w:tc>
      </w:tr>
      <w:tr>
        <w:tc>
          <w:tcPr>
            <w:tcW w:type="dxa" w:w="1500"/>
          </w:tcPr>
          <w:p>
            <w:pPr>
              <w:pStyle w:val="TableCell"/>
              <w:keepNext/>
            </w:pPr>
            <w:r>
              <w:rPr>
                <w:b/>
              </w:rPr>
              <w:t xml:space="preserve">I-CE mean ± std</w:t>
            </w:r>
          </w:p>
        </w:tc>
        <w:tc>
          <w:tcPr>
            <w:tcW w:type="dxa" w:w="1120"/>
          </w:tcPr>
          <w:p>
            <w:pPr>
              <w:pStyle w:val="TableCell"/>
              <w:keepNext/>
            </w:pPr>
            <w:r>
              <w:rPr>
                <w:b/>
              </w:rPr>
              <w:t xml:space="preserve">0.954 ± 0.013</w:t>
            </w:r>
          </w:p>
        </w:tc>
        <w:tc>
          <w:tcPr>
            <w:tcW w:type="dxa" w:w="1120"/>
          </w:tcPr>
          <w:p>
            <w:pPr>
              <w:pStyle w:val="TableCell"/>
              <w:keepNext/>
            </w:pPr>
            <w:r>
              <w:rPr>
                <w:b/>
              </w:rPr>
              <w:t xml:space="preserve">0.997 ± 0.004</w:t>
            </w:r>
          </w:p>
        </w:tc>
        <w:tc>
          <w:tcPr>
            <w:tcW w:type="dxa" w:w="1245"/>
          </w:tcPr>
          <w:p>
            <w:pPr>
              <w:pStyle w:val="TableCell"/>
              <w:keepNext/>
            </w:pPr>
            <w:r>
              <w:rPr>
                <w:b/>
              </w:rPr>
              <w:t xml:space="preserve">0.741 ± 0.018</w:t>
            </w:r>
          </w:p>
        </w:tc>
        <w:tc>
          <w:tcPr>
            <w:tcW w:type="dxa" w:w="1245"/>
          </w:tcPr>
          <w:p>
            <w:pPr>
              <w:pStyle w:val="TableCell"/>
              <w:keepNext/>
            </w:pPr>
            <w:r>
              <w:rPr>
                <w:b/>
              </w:rPr>
              <w:t xml:space="preserve">0.928 ± 0.020</w:t>
            </w:r>
          </w:p>
        </w:tc>
        <w:tc>
          <w:tcPr>
            <w:tcW w:type="dxa" w:w="2170"/>
          </w:tcPr>
          <w:p>
            <w:pPr>
              <w:pStyle w:val="TableCell"/>
              <w:keepNext/>
            </w:pPr>
            <w:r>
              <w:rPr>
                <w:b/>
              </w:rPr>
              <w:t xml:space="preserve">0.685 ± 0.019</w:t>
            </w:r>
          </w:p>
        </w:tc>
      </w:tr>
      <w:tr>
        <w:tc>
          <w:tcPr>
            <w:tcW w:type="dxa" w:w="1500"/>
          </w:tcPr>
          <w:p>
            <w:pPr>
              <w:pStyle w:val="TableCell"/>
            </w:pPr>
            <w:r>
              <w:rPr>
                <w:b/>
              </w:rPr>
              <w:t xml:space="preserve">CE mean ± std</w:t>
            </w:r>
          </w:p>
        </w:tc>
        <w:tc>
          <w:tcPr>
            <w:tcW w:type="dxa" w:w="1120"/>
          </w:tcPr>
          <w:p>
            <w:pPr>
              <w:pStyle w:val="TableCell"/>
            </w:pPr>
            <w:r>
              <w:rPr>
                <w:b/>
              </w:rPr>
              <w:t xml:space="preserve">0.938 ± 0.013</w:t>
            </w:r>
          </w:p>
        </w:tc>
        <w:tc>
          <w:tcPr>
            <w:tcW w:type="dxa" w:w="1120"/>
          </w:tcPr>
          <w:p>
            <w:pPr>
              <w:pStyle w:val="TableCell"/>
            </w:pPr>
            <w:r>
              <w:rPr>
                <w:b/>
              </w:rPr>
              <w:t xml:space="preserve">0.988 ± 0.010</w:t>
            </w:r>
          </w:p>
        </w:tc>
        <w:tc>
          <w:tcPr>
            <w:tcW w:type="dxa" w:w="1245"/>
          </w:tcPr>
          <w:p>
            <w:pPr>
              <w:pStyle w:val="TableCell"/>
            </w:pPr>
            <w:r>
              <w:rPr>
                <w:b/>
              </w:rPr>
              <w:t xml:space="preserve">0.673 ± 0.014</w:t>
            </w:r>
          </w:p>
        </w:tc>
        <w:tc>
          <w:tcPr>
            <w:tcW w:type="dxa" w:w="1245"/>
          </w:tcPr>
          <w:p>
            <w:pPr>
              <w:pStyle w:val="TableCell"/>
            </w:pPr>
            <w:r>
              <w:rPr>
                <w:b/>
              </w:rPr>
              <w:t xml:space="preserve">0.889 ± 0.011</w:t>
            </w:r>
          </w:p>
        </w:tc>
        <w:tc>
          <w:tcPr>
            <w:tcW w:type="dxa" w:w="2170"/>
          </w:tcPr>
          <w:p>
            <w:pPr>
              <w:pStyle w:val="TableCell"/>
            </w:pPr>
            <w:r>
              <w:rPr>
                <w:b/>
              </w:rPr>
              <w:t xml:space="preserve">0.664 ± 0.016</w:t>
            </w:r>
          </w:p>
        </w:tc>
      </w:tr>
    </w:tbl>
    <w:p>
      <w:pPr>
        <w:pStyle w:val="TableCaption"/>
      </w:pPr>
      <w:r>
        <w:t xml:space="preserve">Table A2: Ablation 1 in full — CE vs I-CE at anchor budgets of 512–4,096 sentences (test-set queries (ts), five-fold mean ± std, the two objectives seed-paired per fold on identical splits). Increasing the budget yields one significant step — 512 to 1,024 sentences (p = 0.003) — followed by a plateau in which the three larger budgets are indistinguishable (p ≥ 0.20); I-CE leads CE at every budget (20 of 20 paired folds on Stripped hit@1), so the invariance constraint remains beneficial at all four scales. The windowed teacher (Appendix J) appears at its trained budget.</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CE @512</w:t>
            </w:r>
          </w:p>
        </w:tc>
        <w:tc>
          <w:tcPr>
            <w:tcW w:type="dxa" w:w="1120"/>
          </w:tcPr>
          <w:p>
            <w:pPr>
              <w:pStyle w:val="TableCell"/>
              <w:keepNext/>
            </w:pPr>
            <w:r>
              <w:t xml:space="preserve">0.891 ± 0.018</w:t>
            </w:r>
          </w:p>
        </w:tc>
        <w:tc>
          <w:tcPr>
            <w:tcW w:type="dxa" w:w="1120"/>
          </w:tcPr>
          <w:p>
            <w:pPr>
              <w:pStyle w:val="TableCell"/>
              <w:keepNext/>
            </w:pPr>
            <w:r>
              <w:t xml:space="preserve">0.983 ± 0.005</w:t>
            </w:r>
          </w:p>
        </w:tc>
        <w:tc>
          <w:tcPr>
            <w:tcW w:type="dxa" w:w="1245"/>
          </w:tcPr>
          <w:p>
            <w:pPr>
              <w:pStyle w:val="TableCell"/>
              <w:keepNext/>
            </w:pPr>
            <w:r>
              <w:t xml:space="preserve">0.614 ± 0.011</w:t>
            </w:r>
          </w:p>
        </w:tc>
        <w:tc>
          <w:tcPr>
            <w:tcW w:type="dxa" w:w="1245"/>
          </w:tcPr>
          <w:p>
            <w:pPr>
              <w:pStyle w:val="TableCell"/>
              <w:keepNext/>
            </w:pPr>
            <w:r>
              <w:t xml:space="preserve">0.853 ± 0.019</w:t>
            </w:r>
          </w:p>
        </w:tc>
        <w:tc>
          <w:tcPr>
            <w:tcW w:type="dxa" w:w="2170"/>
          </w:tcPr>
          <w:p>
            <w:pPr>
              <w:pStyle w:val="TableCell"/>
              <w:keepNext/>
            </w:pPr>
            <w:r>
              <w:t xml:space="preserve">0.687 ± 0.011</w:t>
            </w:r>
          </w:p>
        </w:tc>
      </w:tr>
      <w:tr>
        <w:tc>
          <w:tcPr>
            <w:tcW w:type="dxa" w:w="1500"/>
          </w:tcPr>
          <w:p>
            <w:pPr>
              <w:pStyle w:val="TableCell"/>
              <w:keepNext/>
            </w:pPr>
            <w:r>
              <w:rPr>
                <w:b/>
              </w:rPr>
              <w:t xml:space="preserve">I-CE @512</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CE @1024</w:t>
            </w:r>
          </w:p>
        </w:tc>
        <w:tc>
          <w:tcPr>
            <w:tcW w:type="dxa" w:w="1120"/>
          </w:tcPr>
          <w:p>
            <w:pPr>
              <w:pStyle w:val="TableCell"/>
              <w:keepNext/>
            </w:pPr>
            <w:r>
              <w:t xml:space="preserve">0.922 ± 0.016</w:t>
            </w:r>
          </w:p>
        </w:tc>
        <w:tc>
          <w:tcPr>
            <w:tcW w:type="dxa" w:w="1120"/>
          </w:tcPr>
          <w:p>
            <w:pPr>
              <w:pStyle w:val="TableCell"/>
              <w:keepNext/>
            </w:pPr>
            <w:r>
              <w:t xml:space="preserve">0.988 ± 0.011</w:t>
            </w:r>
          </w:p>
        </w:tc>
        <w:tc>
          <w:tcPr>
            <w:tcW w:type="dxa" w:w="1245"/>
          </w:tcPr>
          <w:p>
            <w:pPr>
              <w:pStyle w:val="TableCell"/>
              <w:keepNext/>
            </w:pPr>
            <w:r>
              <w:t xml:space="preserve">0.655 ± 0.007</w:t>
            </w:r>
          </w:p>
        </w:tc>
        <w:tc>
          <w:tcPr>
            <w:tcW w:type="dxa" w:w="1245"/>
          </w:tcPr>
          <w:p>
            <w:pPr>
              <w:pStyle w:val="TableCell"/>
              <w:keepNext/>
            </w:pPr>
            <w:r>
              <w:t xml:space="preserve">0.873 ± 0.022</w:t>
            </w:r>
          </w:p>
        </w:tc>
        <w:tc>
          <w:tcPr>
            <w:tcW w:type="dxa" w:w="2170"/>
          </w:tcPr>
          <w:p>
            <w:pPr>
              <w:pStyle w:val="TableCell"/>
              <w:keepNext/>
            </w:pPr>
            <w:r>
              <w:t xml:space="preserve">0.668 ± 0.013</w:t>
            </w:r>
          </w:p>
        </w:tc>
      </w:tr>
      <w:tr>
        <w:tc>
          <w:tcPr>
            <w:tcW w:type="dxa" w:w="1500"/>
          </w:tcPr>
          <w:p>
            <w:pPr>
              <w:pStyle w:val="TableCell"/>
              <w:keepNext/>
            </w:pPr>
            <w:r>
              <w:rPr>
                <w:b/>
              </w:rPr>
              <w:t xml:space="preserve">I-CE @1024</w:t>
            </w:r>
          </w:p>
        </w:tc>
        <w:tc>
          <w:tcPr>
            <w:tcW w:type="dxa" w:w="1120"/>
          </w:tcPr>
          <w:p>
            <w:pPr>
              <w:pStyle w:val="TableCell"/>
              <w:keepNext/>
            </w:pPr>
            <w:r>
              <w:rPr>
                <w:b/>
              </w:rPr>
              <w:t xml:space="preserve">0.942 ± 0.015</w:t>
            </w:r>
          </w:p>
        </w:tc>
        <w:tc>
          <w:tcPr>
            <w:tcW w:type="dxa" w:w="1120"/>
          </w:tcPr>
          <w:p>
            <w:pPr>
              <w:pStyle w:val="TableCell"/>
              <w:keepNext/>
            </w:pPr>
            <w:r>
              <w:rPr>
                <w:b/>
              </w:rPr>
              <w:t xml:space="preserve">0.997 ± 0.002</w:t>
            </w:r>
          </w:p>
        </w:tc>
        <w:tc>
          <w:tcPr>
            <w:tcW w:type="dxa" w:w="1245"/>
          </w:tcPr>
          <w:p>
            <w:pPr>
              <w:pStyle w:val="TableCell"/>
              <w:keepNext/>
            </w:pPr>
            <w:r>
              <w:rPr>
                <w:b/>
              </w:rPr>
              <w:t xml:space="preserve">0.727 ± 0.006</w:t>
            </w:r>
          </w:p>
        </w:tc>
        <w:tc>
          <w:tcPr>
            <w:tcW w:type="dxa" w:w="1245"/>
          </w:tcPr>
          <w:p>
            <w:pPr>
              <w:pStyle w:val="TableCell"/>
              <w:keepNext/>
            </w:pPr>
            <w:r>
              <w:rPr>
                <w:b/>
              </w:rPr>
              <w:t xml:space="preserve">0.918 ± 0.006</w:t>
            </w:r>
          </w:p>
        </w:tc>
        <w:tc>
          <w:tcPr>
            <w:tcW w:type="dxa" w:w="2170"/>
          </w:tcPr>
          <w:p>
            <w:pPr>
              <w:pStyle w:val="TableCell"/>
              <w:keepNext/>
            </w:pPr>
            <w:r>
              <w:rPr>
                <w:b/>
              </w:rPr>
              <w:t xml:space="preserve">0.693 ± 0.022</w:t>
            </w:r>
          </w:p>
        </w:tc>
      </w:tr>
      <w:tr>
        <w:tc>
          <w:tcPr>
            <w:tcW w:type="dxa" w:w="1500"/>
          </w:tcPr>
          <w:p>
            <w:pPr>
              <w:pStyle w:val="TableCell"/>
              <w:keepNext/>
            </w:pPr>
            <w:r>
              <w:t xml:space="preserve">CE @2048</w:t>
            </w:r>
          </w:p>
        </w:tc>
        <w:tc>
          <w:tcPr>
            <w:tcW w:type="dxa" w:w="1120"/>
          </w:tcPr>
          <w:p>
            <w:pPr>
              <w:pStyle w:val="TableCell"/>
              <w:keepNext/>
            </w:pPr>
            <w:r>
              <w:t xml:space="preserve">0.929 ± 0.011</w:t>
            </w:r>
          </w:p>
        </w:tc>
        <w:tc>
          <w:tcPr>
            <w:tcW w:type="dxa" w:w="1120"/>
          </w:tcPr>
          <w:p>
            <w:pPr>
              <w:pStyle w:val="TableCell"/>
              <w:keepNext/>
            </w:pPr>
            <w:r>
              <w:t xml:space="preserve">0.989 ± 0.007</w:t>
            </w:r>
          </w:p>
        </w:tc>
        <w:tc>
          <w:tcPr>
            <w:tcW w:type="dxa" w:w="1245"/>
          </w:tcPr>
          <w:p>
            <w:pPr>
              <w:pStyle w:val="TableCell"/>
              <w:keepNext/>
            </w:pPr>
            <w:r>
              <w:t xml:space="preserve">0.671 ± 0.015</w:t>
            </w:r>
          </w:p>
        </w:tc>
        <w:tc>
          <w:tcPr>
            <w:tcW w:type="dxa" w:w="1245"/>
          </w:tcPr>
          <w:p>
            <w:pPr>
              <w:pStyle w:val="TableCell"/>
              <w:keepNext/>
            </w:pPr>
            <w:r>
              <w:t xml:space="preserve">0.882 ± 0.014</w:t>
            </w:r>
          </w:p>
        </w:tc>
        <w:tc>
          <w:tcPr>
            <w:tcW w:type="dxa" w:w="2170"/>
          </w:tcPr>
          <w:p>
            <w:pPr>
              <w:pStyle w:val="TableCell"/>
              <w:keepNext/>
            </w:pPr>
            <w:r>
              <w:t xml:space="preserve">0.657 ± 0.014</w:t>
            </w:r>
          </w:p>
        </w:tc>
      </w:tr>
      <w:tr>
        <w:tc>
          <w:tcPr>
            <w:tcW w:type="dxa" w:w="1500"/>
          </w:tcPr>
          <w:p>
            <w:pPr>
              <w:pStyle w:val="TableCell"/>
              <w:keepNext/>
            </w:pPr>
            <w:r>
              <w:rPr>
                <w:b/>
              </w:rPr>
              <w:t xml:space="preserve">I-CE @2048</w:t>
            </w:r>
          </w:p>
        </w:tc>
        <w:tc>
          <w:tcPr>
            <w:tcW w:type="dxa" w:w="1120"/>
          </w:tcPr>
          <w:p>
            <w:pPr>
              <w:pStyle w:val="TableCell"/>
              <w:keepNext/>
            </w:pPr>
            <w:r>
              <w:rPr>
                <w:b/>
              </w:rPr>
              <w:t xml:space="preserve">0.947 ± 0.016</w:t>
            </w:r>
          </w:p>
        </w:tc>
        <w:tc>
          <w:tcPr>
            <w:tcW w:type="dxa" w:w="1120"/>
          </w:tcPr>
          <w:p>
            <w:pPr>
              <w:pStyle w:val="TableCell"/>
              <w:keepNext/>
            </w:pPr>
            <w:r>
              <w:rPr>
                <w:b/>
              </w:rPr>
              <w:t xml:space="preserve">0.996 ± 0.003</w:t>
            </w:r>
          </w:p>
        </w:tc>
        <w:tc>
          <w:tcPr>
            <w:tcW w:type="dxa" w:w="1245"/>
          </w:tcPr>
          <w:p>
            <w:pPr>
              <w:pStyle w:val="TableCell"/>
              <w:keepNext/>
            </w:pPr>
            <w:r>
              <w:rPr>
                <w:b/>
              </w:rPr>
              <w:t xml:space="preserve">0.728 ± 0.009</w:t>
            </w:r>
          </w:p>
        </w:tc>
        <w:tc>
          <w:tcPr>
            <w:tcW w:type="dxa" w:w="1245"/>
          </w:tcPr>
          <w:p>
            <w:pPr>
              <w:pStyle w:val="TableCell"/>
              <w:keepNext/>
            </w:pPr>
            <w:r>
              <w:rPr>
                <w:b/>
              </w:rPr>
              <w:t xml:space="preserve">0.918 ± 0.010</w:t>
            </w:r>
          </w:p>
        </w:tc>
        <w:tc>
          <w:tcPr>
            <w:tcW w:type="dxa" w:w="2170"/>
          </w:tcPr>
          <w:p>
            <w:pPr>
              <w:pStyle w:val="TableCell"/>
              <w:keepNext/>
            </w:pPr>
            <w:r>
              <w:rPr>
                <w:b/>
              </w:rPr>
              <w:t xml:space="preserve">0.684 ± 0.013</w:t>
            </w:r>
          </w:p>
        </w:tc>
      </w:tr>
      <w:tr>
        <w:tc>
          <w:tcPr>
            <w:tcW w:type="dxa" w:w="1500"/>
          </w:tcPr>
          <w:p>
            <w:pPr>
              <w:pStyle w:val="TableCell"/>
              <w:keepNext/>
            </w:pPr>
            <w:r>
              <w:t xml:space="preserve">CE @4096</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keepNext/>
            </w:pPr>
            <w:r>
              <w:rPr>
                <w:b/>
              </w:rPr>
              <w:t xml:space="preserve">I-CE @4096</w:t>
            </w:r>
          </w:p>
        </w:tc>
        <w:tc>
          <w:tcPr>
            <w:tcW w:type="dxa" w:w="1120"/>
          </w:tcPr>
          <w:p>
            <w:pPr>
              <w:pStyle w:val="TableCell"/>
              <w:keepNext/>
            </w:pPr>
            <w:r>
              <w:rPr>
                <w:b/>
              </w:rPr>
              <w:t xml:space="preserve">0.954 ± 0.013</w:t>
            </w:r>
          </w:p>
        </w:tc>
        <w:tc>
          <w:tcPr>
            <w:tcW w:type="dxa" w:w="1120"/>
          </w:tcPr>
          <w:p>
            <w:pPr>
              <w:pStyle w:val="TableCell"/>
              <w:keepNext/>
            </w:pPr>
            <w:r>
              <w:rPr>
                <w:b/>
              </w:rPr>
              <w:t xml:space="preserve">0.997 ± 0.004</w:t>
            </w:r>
          </w:p>
        </w:tc>
        <w:tc>
          <w:tcPr>
            <w:tcW w:type="dxa" w:w="1245"/>
          </w:tcPr>
          <w:p>
            <w:pPr>
              <w:pStyle w:val="TableCell"/>
              <w:keepNext/>
            </w:pPr>
            <w:r>
              <w:rPr>
                <w:b/>
              </w:rPr>
              <w:t xml:space="preserve">0.741 ± 0.018</w:t>
            </w:r>
          </w:p>
        </w:tc>
        <w:tc>
          <w:tcPr>
            <w:tcW w:type="dxa" w:w="1245"/>
          </w:tcPr>
          <w:p>
            <w:pPr>
              <w:pStyle w:val="TableCell"/>
              <w:keepNext/>
            </w:pPr>
            <w:r>
              <w:rPr>
                <w:b/>
              </w:rPr>
              <w:t xml:space="preserve">0.928 ± 0.020</w:t>
            </w:r>
          </w:p>
        </w:tc>
        <w:tc>
          <w:tcPr>
            <w:tcW w:type="dxa" w:w="2170"/>
          </w:tcPr>
          <w:p>
            <w:pPr>
              <w:pStyle w:val="TableCell"/>
              <w:keepNext/>
            </w:pPr>
            <w:r>
              <w:rPr>
                <w:b/>
              </w:rPr>
              <w:t xml:space="preserve">0.685 ± 0.019</w:t>
            </w:r>
          </w:p>
        </w:tc>
      </w:tr>
      <w:tr>
        <w:tc>
          <w:tcPr>
            <w:tcW w:type="dxa" w:w="1500"/>
          </w:tcPr>
          <w:p>
            <w:pPr>
              <w:pStyle w:val="TableCell"/>
            </w:pPr>
            <w:r>
              <w:t xml:space="preserve">swin-I-CE @4096 (windowed)</w:t>
            </w:r>
          </w:p>
        </w:tc>
        <w:tc>
          <w:tcPr>
            <w:tcW w:type="dxa" w:w="1120"/>
          </w:tcPr>
          <w:p>
            <w:pPr>
              <w:pStyle w:val="TableCell"/>
            </w:pPr>
            <w:r>
              <w:t xml:space="preserve">0.934 ± 0.014</w:t>
            </w:r>
          </w:p>
        </w:tc>
        <w:tc>
          <w:tcPr>
            <w:tcW w:type="dxa" w:w="1120"/>
          </w:tcPr>
          <w:p>
            <w:pPr>
              <w:pStyle w:val="TableCell"/>
            </w:pPr>
            <w:r>
              <w:t xml:space="preserve">0.994 ± 0.004</w:t>
            </w:r>
          </w:p>
        </w:tc>
        <w:tc>
          <w:tcPr>
            <w:tcW w:type="dxa" w:w="1245"/>
          </w:tcPr>
          <w:p>
            <w:pPr>
              <w:pStyle w:val="TableCell"/>
            </w:pPr>
            <w:r>
              <w:t xml:space="preserve">0.709 ± 0.027</w:t>
            </w:r>
          </w:p>
        </w:tc>
        <w:tc>
          <w:tcPr>
            <w:tcW w:type="dxa" w:w="1245"/>
          </w:tcPr>
          <w:p>
            <w:pPr>
              <w:pStyle w:val="TableCell"/>
            </w:pPr>
            <w:r>
              <w:t xml:space="preserve">0.922 ± 0.010</w:t>
            </w:r>
          </w:p>
        </w:tc>
        <w:tc>
          <w:tcPr>
            <w:tcW w:type="dxa" w:w="2170"/>
          </w:tcPr>
          <w:p>
            <w:pPr>
              <w:pStyle w:val="TableCell"/>
            </w:pPr>
            <w:r>
              <w:t xml:space="preserve">0.691 ± 0.014</w:t>
            </w:r>
          </w:p>
        </w:tc>
      </w:tr>
    </w:tbl>
    <w:p>
      <w:pPr>
        <w:pStyle w:val="Para"/>
      </w:pPr>
      <w:r>
        <w:t xml:space="preserve">Two observations hold at fold level. First, the invariance gain is not a split artifact: I-CE wins Stripped hit@1 in every fold at this budget, while the tag reading rises alongside. Second, the fold-to-fold spread is large — up to ±0.03 on Stripped hit@1 — which is why this paper quotes no single-split difference smaller than that anywhere. The EMA + memory-bank run has since landed and is tabulated in Table A6. Table A3 gives the full five-fold account of every objective family, the numbers the body's Figure 4 plots.</w:t>
      </w:r>
    </w:p>
    <w:p>
      <w:pPr>
        <w:pStyle w:val="TableCaption"/>
      </w:pPr>
      <w:r>
        <w:t xml:space="preserve">Table A3: The self-supervision families in full — the five-fold account behind the body's Figure 4 (test-set queries (ts), five-fold mean ± std at the 4,096-sentence anchor budget; “epd” marks VICReg wired on the expander outputs, v/i/c = 20/10/20; zero-shot cosine retrieval among all 2,020 games; test-set tag micro-F1 under the held-out protocol of Section 5). Rows are sorted by Stripped hit@1, worst first; the first row is the no-tower baseline, the frozen embedder's mean-pooled sentence vectors under the identical protocol. The two capabilities factorize: every negative-light objective lands in the same narrow tag band while conceding name-stripped retrieval, and I-CE is the only row that concedes neither reading.</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Frozen embedder (mean pool)</w:t>
            </w:r>
          </w:p>
        </w:tc>
        <w:tc>
          <w:tcPr>
            <w:tcW w:type="dxa" w:w="1120"/>
          </w:tcPr>
          <w:p>
            <w:pPr>
              <w:pStyle w:val="TableCell"/>
              <w:keepNext/>
            </w:pPr>
            <w:r>
              <w:t xml:space="preserve">0.425 ± 0.033</w:t>
            </w:r>
          </w:p>
        </w:tc>
        <w:tc>
          <w:tcPr>
            <w:tcW w:type="dxa" w:w="1120"/>
          </w:tcPr>
          <w:p>
            <w:pPr>
              <w:pStyle w:val="TableCell"/>
              <w:keepNext/>
            </w:pPr>
            <w:r>
              <w:t xml:space="preserve">0.626 ± 0.014</w:t>
            </w:r>
          </w:p>
        </w:tc>
        <w:tc>
          <w:tcPr>
            <w:tcW w:type="dxa" w:w="1245"/>
          </w:tcPr>
          <w:p>
            <w:pPr>
              <w:pStyle w:val="TableCell"/>
              <w:keepNext/>
            </w:pPr>
            <w:r>
              <w:t xml:space="preserve">0.209 ± 0.020</w:t>
            </w:r>
          </w:p>
        </w:tc>
        <w:tc>
          <w:tcPr>
            <w:tcW w:type="dxa" w:w="1245"/>
          </w:tcPr>
          <w:p>
            <w:pPr>
              <w:pStyle w:val="TableCell"/>
              <w:keepNext/>
            </w:pPr>
            <w:r>
              <w:t xml:space="preserve">0.380 ± 0.031</w:t>
            </w:r>
          </w:p>
        </w:tc>
        <w:tc>
          <w:tcPr>
            <w:tcW w:type="dxa" w:w="2170"/>
          </w:tcPr>
          <w:p>
            <w:pPr>
              <w:pStyle w:val="TableCell"/>
              <w:keepNext/>
            </w:pPr>
            <w:r>
              <w:t xml:space="preserve">0.588 ± 0.009</w:t>
            </w:r>
          </w:p>
        </w:tc>
      </w:tr>
      <w:tr>
        <w:tc>
          <w:tcPr>
            <w:tcW w:type="dxa" w:w="1500"/>
          </w:tcPr>
          <w:p>
            <w:pPr>
              <w:pStyle w:val="TableCell"/>
              <w:keepNext/>
            </w:pPr>
            <w:r>
              <w:t xml:space="preserve">BYOL</w:t>
            </w:r>
          </w:p>
        </w:tc>
        <w:tc>
          <w:tcPr>
            <w:tcW w:type="dxa" w:w="1120"/>
          </w:tcPr>
          <w:p>
            <w:pPr>
              <w:pStyle w:val="TableCell"/>
              <w:keepNext/>
            </w:pPr>
            <w:r>
              <w:t xml:space="preserve">0.441 ± 0.033</w:t>
            </w:r>
          </w:p>
        </w:tc>
        <w:tc>
          <w:tcPr>
            <w:tcW w:type="dxa" w:w="1120"/>
          </w:tcPr>
          <w:p>
            <w:pPr>
              <w:pStyle w:val="TableCell"/>
              <w:keepNext/>
            </w:pPr>
            <w:r>
              <w:t xml:space="preserve">0.737 ± 0.026</w:t>
            </w:r>
          </w:p>
        </w:tc>
        <w:tc>
          <w:tcPr>
            <w:tcW w:type="dxa" w:w="1245"/>
          </w:tcPr>
          <w:p>
            <w:pPr>
              <w:pStyle w:val="TableCell"/>
              <w:keepNext/>
            </w:pPr>
            <w:r>
              <w:t xml:space="preserve">0.284 ± 0.017</w:t>
            </w:r>
          </w:p>
        </w:tc>
        <w:tc>
          <w:tcPr>
            <w:tcW w:type="dxa" w:w="1245"/>
          </w:tcPr>
          <w:p>
            <w:pPr>
              <w:pStyle w:val="TableCell"/>
              <w:keepNext/>
            </w:pPr>
            <w:r>
              <w:t xml:space="preserve">0.553 ± 0.043</w:t>
            </w:r>
          </w:p>
        </w:tc>
        <w:tc>
          <w:tcPr>
            <w:tcW w:type="dxa" w:w="2170"/>
          </w:tcPr>
          <w:p>
            <w:pPr>
              <w:pStyle w:val="TableCell"/>
              <w:keepNext/>
            </w:pPr>
            <w:r>
              <w:t xml:space="preserve">0.712 ± 0.017</w:t>
            </w:r>
          </w:p>
        </w:tc>
      </w:tr>
      <w:tr>
        <w:tc>
          <w:tcPr>
            <w:tcW w:type="dxa" w:w="1500"/>
          </w:tcPr>
          <w:p>
            <w:pPr>
              <w:pStyle w:val="TableCell"/>
              <w:keepNext/>
            </w:pPr>
            <w:r>
              <w:t xml:space="preserve">VICReg (epd 20/10/20)</w:t>
            </w:r>
          </w:p>
        </w:tc>
        <w:tc>
          <w:tcPr>
            <w:tcW w:type="dxa" w:w="1120"/>
          </w:tcPr>
          <w:p>
            <w:pPr>
              <w:pStyle w:val="TableCell"/>
              <w:keepNext/>
            </w:pPr>
            <w:r>
              <w:t xml:space="preserve">0.823 ± 0.010</w:t>
            </w:r>
          </w:p>
        </w:tc>
        <w:tc>
          <w:tcPr>
            <w:tcW w:type="dxa" w:w="1120"/>
          </w:tcPr>
          <w:p>
            <w:pPr>
              <w:pStyle w:val="TableCell"/>
              <w:keepNext/>
            </w:pPr>
            <w:r>
              <w:t xml:space="preserve">0.960 ± 0.016</w:t>
            </w:r>
          </w:p>
        </w:tc>
        <w:tc>
          <w:tcPr>
            <w:tcW w:type="dxa" w:w="1245"/>
          </w:tcPr>
          <w:p>
            <w:pPr>
              <w:pStyle w:val="TableCell"/>
              <w:keepNext/>
            </w:pPr>
            <w:r>
              <w:t xml:space="preserve">0.451 ± 0.017</w:t>
            </w:r>
          </w:p>
        </w:tc>
        <w:tc>
          <w:tcPr>
            <w:tcW w:type="dxa" w:w="1245"/>
          </w:tcPr>
          <w:p>
            <w:pPr>
              <w:pStyle w:val="TableCell"/>
              <w:keepNext/>
            </w:pPr>
            <w:r>
              <w:t xml:space="preserve">0.729 ± 0.033</w:t>
            </w:r>
          </w:p>
        </w:tc>
        <w:tc>
          <w:tcPr>
            <w:tcW w:type="dxa" w:w="2170"/>
          </w:tcPr>
          <w:p>
            <w:pPr>
              <w:pStyle w:val="TableCell"/>
              <w:keepNext/>
            </w:pPr>
            <w:r>
              <w:t xml:space="preserve">0.708 ± 0.022</w:t>
            </w:r>
          </w:p>
        </w:tc>
      </w:tr>
      <w:tr>
        <w:tc>
          <w:tcPr>
            <w:tcW w:type="dxa" w:w="1500"/>
          </w:tcPr>
          <w:p>
            <w:pPr>
              <w:pStyle w:val="TableCell"/>
              <w:keepNext/>
            </w:pPr>
            <w:r>
              <w:t xml:space="preserve">SimCLR-style (in-batch views)</w:t>
            </w:r>
          </w:p>
        </w:tc>
        <w:tc>
          <w:tcPr>
            <w:tcW w:type="dxa" w:w="1120"/>
          </w:tcPr>
          <w:p>
            <w:pPr>
              <w:pStyle w:val="TableCell"/>
              <w:keepNext/>
            </w:pPr>
            <w:r>
              <w:t xml:space="preserve">0.918 ± 0.024</w:t>
            </w:r>
          </w:p>
        </w:tc>
        <w:tc>
          <w:tcPr>
            <w:tcW w:type="dxa" w:w="1120"/>
          </w:tcPr>
          <w:p>
            <w:pPr>
              <w:pStyle w:val="TableCell"/>
              <w:keepNext/>
            </w:pPr>
            <w:r>
              <w:t xml:space="preserve">0.990 ± 0.007</w:t>
            </w:r>
          </w:p>
        </w:tc>
        <w:tc>
          <w:tcPr>
            <w:tcW w:type="dxa" w:w="1245"/>
          </w:tcPr>
          <w:p>
            <w:pPr>
              <w:pStyle w:val="TableCell"/>
              <w:keepNext/>
            </w:pPr>
            <w:r>
              <w:t xml:space="preserve">0.632 ± 0.029</w:t>
            </w:r>
          </w:p>
        </w:tc>
        <w:tc>
          <w:tcPr>
            <w:tcW w:type="dxa" w:w="1245"/>
          </w:tcPr>
          <w:p>
            <w:pPr>
              <w:pStyle w:val="TableCell"/>
              <w:keepNext/>
            </w:pPr>
            <w:r>
              <w:t xml:space="preserve">0.882 ± 0.022</w:t>
            </w:r>
          </w:p>
        </w:tc>
        <w:tc>
          <w:tcPr>
            <w:tcW w:type="dxa" w:w="2170"/>
          </w:tcPr>
          <w:p>
            <w:pPr>
              <w:pStyle w:val="TableCell"/>
              <w:keepNext/>
            </w:pPr>
            <w:r>
              <w:t xml:space="preserve">0.707 ± 0.019</w:t>
            </w:r>
          </w:p>
        </w:tc>
      </w:tr>
      <w:tr>
        <w:tc>
          <w:tcPr>
            <w:tcW w:type="dxa" w:w="1500"/>
          </w:tcPr>
          <w:p>
            <w:pPr>
              <w:pStyle w:val="TableCell"/>
              <w:keepNext/>
            </w:pPr>
            <w:r>
              <w:t xml:space="preserve">CE (contrast only)</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pPr>
            <w:r>
              <w:rPr>
                <w:b/>
              </w:rPr>
              <w:t xml:space="preserve">I-CE (ours)</w:t>
            </w:r>
          </w:p>
        </w:tc>
        <w:tc>
          <w:tcPr>
            <w:tcW w:type="dxa" w:w="1120"/>
          </w:tcPr>
          <w:p>
            <w:pPr>
              <w:pStyle w:val="TableCell"/>
            </w:pPr>
            <w:r>
              <w:rPr>
                <w:b/>
              </w:rPr>
              <w:t xml:space="preserve">0.954 ± 0.013</w:t>
            </w:r>
          </w:p>
        </w:tc>
        <w:tc>
          <w:tcPr>
            <w:tcW w:type="dxa" w:w="1120"/>
          </w:tcPr>
          <w:p>
            <w:pPr>
              <w:pStyle w:val="TableCell"/>
            </w:pPr>
            <w:r>
              <w:rPr>
                <w:b/>
              </w:rPr>
              <w:t xml:space="preserve">0.997 ± 0.004</w:t>
            </w:r>
          </w:p>
        </w:tc>
        <w:tc>
          <w:tcPr>
            <w:tcW w:type="dxa" w:w="1245"/>
          </w:tcPr>
          <w:p>
            <w:pPr>
              <w:pStyle w:val="TableCell"/>
            </w:pPr>
            <w:r>
              <w:rPr>
                <w:b/>
              </w:rPr>
              <w:t xml:space="preserve">0.741 ± 0.018</w:t>
            </w:r>
          </w:p>
        </w:tc>
        <w:tc>
          <w:tcPr>
            <w:tcW w:type="dxa" w:w="1245"/>
          </w:tcPr>
          <w:p>
            <w:pPr>
              <w:pStyle w:val="TableCell"/>
            </w:pPr>
            <w:r>
              <w:rPr>
                <w:b/>
              </w:rPr>
              <w:t xml:space="preserve">0.928 ± 0.020</w:t>
            </w:r>
          </w:p>
        </w:tc>
        <w:tc>
          <w:tcPr>
            <w:tcW w:type="dxa" w:w="2170"/>
          </w:tcPr>
          <w:p>
            <w:pPr>
              <w:pStyle w:val="TableCell"/>
            </w:pPr>
            <w:r>
              <w:rPr>
                <w:b/>
              </w:rPr>
              <w:t xml:space="preserve">0.685 ± 0.019</w:t>
            </w:r>
          </w:p>
        </w:tc>
      </w:tr>
    </w:tbl>
    <w:p>
      <w:pPr>
        <w:pStyle w:val="AppendixH1"/>
      </w:pPr>
      <w:r>
        <w:t xml:space="preserve">APPENDIX C: THE BASELINE RECIPES OF FIGURE 4</w:t>
      </w:r>
    </w:p>
    <w:p>
      <w:pPr>
        <w:pStyle w:val="Para"/>
      </w:pPr>
      <w:r>
        <w:t xml:space="preserve">Every trained baseline shares the full scaffolding of Section 4 — the same 4-query cross-attention tower, the same four views per game per step (three review views and one document view), the same corpus, batch (192 games), optimizer (AdamW, lr 5e-4, weight decay 1e-4), 2,000-epoch budget, temperature τ = 0.02 where a softmax exists, and the validation-only selection of Section 5. They differ only in the loss, exactly as follows.</w:t>
      </w:r>
    </w:p>
    <w:p>
      <w:pPr>
        <w:pStyle w:val="Para"/>
      </w:pPr>
      <w:r>
        <w:t xml:space="preserve">Frozen embedder (mean pool). No tower and no training: a game is the L2-normalized mean of its anchor-pack sentence embeddings, and a query is the L2-normalized mean of its own sentences. This row measures the raw geometry every other row starts from.</w:t>
      </w:r>
    </w:p>
    <w:p>
      <w:pPr>
        <w:pStyle w:val="Para"/>
      </w:pPr>
      <w:r>
        <w:t xml:space="preserve">CE (contrast only). Equation (2) alone: each of the four strong views is classified against the full anchor gallery, re-encoded with gradient at every step; the invariance term of Equation (1) is removed. This isolates what the softmax supplies without multi-view agreement.</w:t>
      </w:r>
    </w:p>
    <w:p>
      <w:pPr>
        <w:pStyle w:val="Para"/>
      </w:pPr>
      <w:r>
        <w:t xml:space="preserve">SimCLR-style (in-batch views). No anchors anywhere in training. The step's 4 × 192 view encodings form the key set of an NT-Xent loss [4]: view v of a game takes its ring sibling — view v+1 (mod 4) of the same game — as the positive, the game's other own views are masked as false negatives, and every other game's views serve as negatives at τ = 0.02. The tower is unchanged; only the contrast lives in view space instead of anchor space. The anchor gallery is encoded once at evaluation time, by the finished tower.</w:t>
      </w:r>
    </w:p>
    <w:p>
      <w:pPr>
        <w:pStyle w:val="Para"/>
      </w:pPr>
      <w:r>
        <w:t xml:space="preserve">VICReg (epd 20/10/20). No negatives and no gallery. Each view encoding passes through an expander MLP, and the VICReg loss [1] is applied to expander outputs over the six view pairs with variance/invariance/covariance weights 20/10/20; views are drawn for 192 games per step, with the variance term estimating per-dimension spread within the step's view batch; drawing the whole pool per step (batch = all) was tested and yielded no improvement (Table A10). Anchors are encoded only at evaluation time. Table A10 tabulates the weight sweep behind this recipe.</w:t>
      </w:r>
    </w:p>
    <w:p>
      <w:pPr>
        <w:pStyle w:val="Para"/>
      </w:pPr>
      <w:r>
        <w:t xml:space="preserve">BYOL. An online tower plus a two-layer predictor head, and a target tower that is an exponential moving average of the online weights (momentum 0.996) behind a stop-gradient. The loss is 1 − cos between the predictor's output for one view and the target tower's encoding of another, averaged over ordered view pairs; the document view participates like any other. Collapse is prevented by the predictor/EMA asymmetry rather than by negatives.</w:t>
      </w:r>
    </w:p>
    <w:p>
      <w:pPr>
        <w:pStyle w:val="Para"/>
      </w:pPr>
      <w:r>
        <w:t xml:space="preserve">CE + anchor-in-I (Table 2). Equation (2) unchanged, but the invariance term of Equation (1) ranges over the ten pairs among the four strong views and the game’s own anchor vector, instead of the six pairs among views alone. It is the control of Section 6.2: the same constant-weight attraction on the anchor that the decomposed objectives use, with the softmax left in place. Two-stage: BYOL warm start → windowed (Table A6). Stage one is the BYOL recipe above, run to its own selection point; stage two re-initializes the tower from those weights and trains the windowed teacher of Appendix J for 600 epochs, 30% of the from-scratch discriminative budget. Selection happens inside stage two. I-CE (EMA + memory bank; Table A6). The fully coupled teacher is replaced by an EMA shadow tower (momentum 0.99) that encodes the current batch's anchors into a 3,072-key memory bank; each view runs a cross-entropy against the ring (its freshly written key is the positive, stale same-game keys are masked), and the invariance term is unchanged. Gradient reaches the strong-view side only — the property whose price Table A6 measures.</w:t>
      </w:r>
    </w:p>
    <w:p>
      <w:pPr>
        <w:pStyle w:val="AppendixH1"/>
      </w:pPr>
      <w:r>
        <w:t xml:space="preserve">APPENDIX D: THE SEPARATION GRADIENTS OF SECTION 4.3</w:t>
      </w:r>
    </w:p>
    <w:p>
      <w:pPr>
        <w:pStyle w:val="PostHeadPara"/>
      </w:pPr>
      <w:r>
        <w:t xml:space="preserve">This is the worked derivation behind Equations (4)-(6) of the body: why repelling one sample against another aims along noise near a hard pair, why repelling against an anchor does not, and why adding the invariance term leaves only the semantic difference. The analysis is first-order and treats encodings as free variables, in the reading of [5]; it claims directions and dominance relations, not rates.</w:t>
      </w:r>
    </w:p>
    <w:p>
      <w:pPr>
        <w:pStyle w:val="Para"/>
      </w:pPr>
      <w:r>
        <w:rPr>
          <w:b/>
        </w:rPr>
        <w:t xml:space="preserve">The noise model.</w:t>
      </w:r>
      <w:r>
        <w:t xml:space="preserve"> Write the pooled embedding of an m-sentence pack drawn from game g as x = c_g + ε_m, where c_g is the draw-invariant component (the game's content together with whatever static bias its reviewers share) and ε_m is the sampling fluctuation of that particular draw, with E[ε_m] = 0. Packs enter at two scales: a strong view holds m_v = 16 sentences and an anchor pack holds m_a = 512 to 4,096, so m_a ≫ m_v. Averaging shrinks the fluctuation with pack size, hence Var(ε_v) ≫ Var(ε_a): the anchor is the low-variance observation of the same game the strong view observes noisily. The shared tower f encodes both, f(x_v) = z and f(x_a) = a, and transmits the asymmetry, so encoded views scatter while encoded anchors hold still.</w:t>
      </w:r>
    </w:p>
    <w:p>
      <w:pPr>
        <w:pStyle w:val="Para"/>
      </w:pPr>
      <w:r>
        <w:rPr>
          <w:b/>
        </w:rPr>
        <w:t xml:space="preserve">Why sample-to-sample repulsion aims along noise.</w:t>
      </w:r>
      <w:r>
        <w:t xml:space="preserve"> For two encoded views z_1 = f(x_v1) and z_2 = f(x_v2) of different games, a repulsion term that acts between samples pushes along their difference: the gradient it puts on z_1 is proportional to z_1 − z_2 = (c_1 − c_2) + (ε_v1 − ε_v2), which is Equation (5). Retrieval rank is decided by hard pairs, and a hard pair is by definition one whose semantics nearly coincide: c_1 ≈ c_2. There the first half of that difference is small while the second half carries the full high-variance draw noise of two independent views, ‖ε_v1 − ε_v2‖ ≫ ‖c_1 − c_2‖, so the repulsion aims predominantly along noise. It still disperses the gallery in the large, where the semantic term dominates, which is why sample-repelled towers spread widely yet carve narrow nearest-neighbor margins. This is the failure of sample repulsion, the first of the four tendencies in Section 4.3.</w:t>
      </w:r>
    </w:p>
    <w:p>
      <w:pPr>
        <w:pStyle w:val="Para"/>
      </w:pPr>
      <w:r>
        <w:rPr>
          <w:b/>
        </w:rPr>
        <w:t xml:space="preserve">Why anchor-mediated repulsion does not.</w:t>
      </w:r>
      <w:r>
        <w:t xml:space="preserve"> Under the softmax of Equation (2) a view is not pushed against another view but against the anchor gallery, and one gradient step separates the pair along Δ(z_1 − z_2) ∝ ((1 − p_g)/τ + p_h/τ)(a_1 − a_2), which is Equation (6), where p_g is the weight on the view's own anchor and p_h the weight on the competing one. The direction it aims along is a_1 − a_2 = (c_1 − c_2) + (ε_a1 − ε_a2), and by the variance asymmetry the second half is a small static residual rather than a fresh draw: the repulsion tracks the semantic difference even where that difference is small. The softmax also concentrates the whole repulsion budget on whichever anchors currently compete, through p_h. This is the sharpness of anchor repulsion, the second.</w:t>
      </w:r>
    </w:p>
    <w:p>
      <w:pPr>
        <w:pStyle w:val="Para"/>
      </w:pPr>
      <w:r>
        <w:rPr>
          <w:b/>
        </w:rPr>
        <w:t xml:space="preserve">Why the invariance term removes the residual noise.</w:t>
      </w:r>
      <w:r>
        <w:t xml:space="preserve"> Expand the tower to first order about the invariant component, f(c + ε) ≈ f(c) + Jε with J the Jacobian at c. A strong view then encodes to z ≈ f(c) + Jε_v, in which f(c) is a constant vector and every fluctuation of z is carried by Jε_v, so Cov(z) ≈ J Cov(ε_v) Jᵀ. The invariance term I is the expected disagreement between two independent views of one game, which is proportional to the total variance of that distribution: E[I] ≈ tr(J Cov(ε_v) Jᵀ). Minimizing I therefore drives tr(J Cov(ε_v) Jᵀ) → 0, that is, Jε_v → 0: the tower's response to draw noise is suppressed, not the noise itself. Two views of the same game then differ only by their invariant parts, ε_v1 − ε_v2 → 0.</w:t>
      </w:r>
    </w:p>
    <w:p>
      <w:pPr>
        <w:pStyle w:val="Para"/>
      </w:pPr>
      <w:r>
        <w:rPr>
          <w:b/>
        </w:rPr>
        <w:t xml:space="preserve">What the two terms leave.</w:t>
      </w:r>
      <w:r>
        <w:t xml:space="preserve"> Writing the pair difference with the noise model, x_v1 − x_v2 = (c_1 − c_2) + (ε_v1 − ε_v2). The invariance term sends the second half to zero while the anchor-mediated repulsion of Equation (6) keeps the first half separated, since a term that suppressed both would leave the gallery unable to classify and would be forbidden by the cross-entropy. What survives at the optimum is the semantic difference alone, x_v1 − x_v2 = c_1 − c_2. This is the third, shrinking query displacement: the invariance term contracts a query's displacement while the margin, an anchor-side quantity made by repulsion, stays roughly in place, so the displacement-to-margin ratio that retrieval depends on falls. Appendix E bounds the two forces against each other and fixes the point at which the contrastive term hands over to the invariance term; the fourth, the indivisibility of the softmax brake, follows from that same pairing of the (1 − p_g)/τ pull with the p_h/τ push and is tested in Section 6.2.</w:t>
      </w:r>
    </w:p>
    <w:p>
      <w:pPr>
        <w:pStyle w:val="AppendixH1"/>
      </w:pPr>
      <w:r>
        <w:t xml:space="preserve">APPENDIX E: GRADIENT BOUNDS AND THE HANDOVER POINT</w:t>
      </w:r>
    </w:p>
    <w:p>
      <w:pPr>
        <w:pStyle w:val="PostHeadPara"/>
      </w:pPr>
      <w:r>
        <w:t xml:space="preserve">The handover point between the contrastive push-pull and the invariance term, where the two forces intersect, follows from their maximum gradient magnitudes.</w:t>
      </w:r>
    </w:p>
    <w:p>
      <w:pPr>
        <w:pStyle w:val="Para"/>
      </w:pPr>
      <w:r>
        <w:t xml:space="preserve">The contrastive (CE) loss exerts a pull on the positive anchor and a push on the negative anchors. Under symmetric confusion, the gradient on a view's embedding z with respect to CE is proportional to (1 − p_g)a_g − Σ p_h a_h, where p_g is the classification confidence on the positive anchor a_g. By factoring out (1 − p_g), the term becomes a difference between a_g and the weighted centroid of the negative anchors. Since both lie within the unit ball, their maximum Euclidean distance is 2 (attained when perfectly opposed). Thus, the maximum magnitude (envelope) of the contrastive force is strictly bounded by 2(1 − p_g)/τ. The force adaptively brakes, vanishing linearly as p_g approaches 1.</w:t>
      </w:r>
    </w:p>
    <w:p>
      <w:pPr>
        <w:pStyle w:val="Para"/>
      </w:pPr>
      <w:r>
        <w:t xml:space="preserve">The invariance (I) term across V views computes the average cosine disagreement. For any single view, its gradient collects the pull from the other V − 1 unit vectors. The maximum possible length of their sum is V − 1, which happens when the other views are aligned. The gradient envelope of the weighted invariance term λI is therefore bounded by (2λ / (V(V − 1))) × (V − 1) = 2λ/V. This force is a constant bounding envelope that does not decay with training confidence.</w:t>
      </w:r>
    </w:p>
    <w:p>
      <w:pPr>
        <w:pStyle w:val="Para"/>
      </w:pPr>
      <w:r>
        <w:t xml:space="preserve">Equating the two envelopes gives the precise handover point where the contrastive force drops below the invariance force: 2(1 − p_g)/τ = 2λ/V, which simplifies to 1 − p_g = λτ/V. In our architecture, V = 4. Setting λ = 2 naturally normalizes the invariance force envelope to a unit force (1.0). Coupled with our empirically optimal temperature τ = 0.02, this formula yields 1 − p_g = 0.01. Therefore, the parameters calibrate the gradients to gracefully hand over dominance exactly when the model reaches 99% classification confidence.</w:t>
      </w:r>
    </w:p>
    <w:p>
      <w:pPr>
        <w:pStyle w:val="AppendixH1"/>
      </w:pPr>
      <w:r>
        <w:t xml:space="preserve">APPENDIX F: THE QUERY-REWRITE PROMPTS</w:t>
      </w:r>
    </w:p>
    <w:p>
      <w:pPr>
        <w:pStyle w:val="Para"/>
      </w:pPr>
      <w:r>
        <w:t xml:space="preserve">All four query registers come from one chat-completions model, GPT-5.4-mini at temperature 0.7, called through an OpenAI-compatible gateway, that reads a held-out game’s full wiki article and writes an English description of it. The instructions below were issued in Chinese and are translated faithfully here; the verbatim strings and the retry policy are in the released code. An output shorter than 300 characters is re-requested with the elaboration instruction, up to three attempts, and the article is truncated to 12,000 characters before it is sent. The name-stripped instruction asks for invented replacement names, but the model complies literally in only 113 of the 814 queries and generalizes the name away in the other 701, so the register is better read as name-free than as name-substituted.</w:t>
      </w:r>
    </w:p>
    <w:p>
      <w:pPr>
        <w:pStyle w:val="AlgorithmCaption"/>
      </w:pPr>
      <w:r>
        <w:t xml:space="preserve">ALGORITHM 1: The rewrite instructions behind the four query registers</w:t>
      </w:r>
    </w:p>
    <w:p>
      <w:pPr>
        <w:pStyle w:val="Algorithm"/>
      </w:pPr>
      <w:r>
        <w:t xml:space="preserve">user message  —  "Game: {title}" then the article text</w:t>
        <w:br/>
        <w:t xml:space="preserve">neutral (Name hit@k)  —  Read the full game page text the user provides and summarize it into a descriptive article about the game. Preserve the real information about the game’s content, gameplay and mechanics in full; do not invent anything that is not on the page. Register: neutral. Write in English and output the article body directly.</w:t>
        <w:br/>
        <w:t xml:space="preserve">name-stripped (Stripped hit@k)  —  Read the full game page text the user provides and summarize it into a descriptive article about the game, in a neutral register. Preserve the real information about the game’s content, gameplay and mechanics in full; do not invent anything that is not on the page. But do not reveal the game’s name, the characters’ names, the items’ names or anything like them — replace them all with imagined, invented words. Write in English and output the article body directly.</w:t>
        <w:br/>
        <w:t xml:space="preserve">elaboration retry (any register)  —  Your previous answer was too short. Please write a considerably MORE DETAILED article (at least 300 words) in the requested style, covering the game’s content, story, world and mechanics from the page text above.</w:t>
      </w:r>
    </w:p>
    <w:p>
      <w:pPr>
        <w:pStyle w:val="AppendixH1"/>
      </w:pPr>
      <w:r>
        <w:t xml:space="preserve">APPENDIX G: REDUCING THE STEAM TAG VOCABULARY</w:t>
      </w:r>
    </w:p>
    <w:p>
      <w:pPr>
        <w:pStyle w:val="Para"/>
      </w:pPr>
      <w:r>
        <w:t xml:space="preserve">A single mapping file is the source of truth for every tag number in this paper: each of the 202 fine tags is assigned either to one coarse class or to the sentinel "del".</w:t>
      </w:r>
    </w:p>
    <w:p>
      <w:pPr>
        <w:pStyle w:val="Para"/>
      </w:pPr>
      <w:r>
        <w:t xml:space="preserve">The listing below is the whole definition: a class is present on a game if any of the Steam tags on its right-hand side is, and the vote weights Steam attaches are used only to resolve which source is strongest, never as a target — the probe predicts presence, so a game either carries a class or does not. On our 2,020 games this yields a 2,020 × 23 binary matrix of density 0.202 — 4.6 classes per game at the mean, 5 at the median, and between 35 and 1,395 games per class.</w:t>
      </w:r>
    </w:p>
    <w:p>
      <w:pPr>
        <w:pStyle w:val="AlgorithmCaption"/>
      </w:pPr>
      <w:r>
        <w:t xml:space="preserve">ALGORITHM 2: The 23 TAG classes, each written as the original Steam tags it absorbs</w:t>
      </w:r>
    </w:p>
    <w:p>
      <w:pPr>
        <w:pStyle w:val="Algorithm"/>
      </w:pPr>
      <w:r>
        <w:t xml:space="preserve">Action/Adventure = [Action, Action-Adventure, Adventure, Combat, Hack and Slash, Souls-like]</w:t>
        <w:br/>
        <w:t xml:space="preserve">Bullet Hell = [Bullet Hell]</w:t>
        <w:br/>
        <w:t xml:space="preserve">Card Game = [Card Game, Card Battler, Deckbuilding, Roguelike Deckbuilder]</w:t>
        <w:br/>
        <w:t xml:space="preserve">Co-op/Multiplayer = [Class-Based, Co-op, Co-op Campaign, Competitive, Local Co-Op, Local Multiplayer, Massively Multiplayer, Multiplayer, Online Co-Op, PvE, PvP, Split Screen, Team-Based]</w:t>
        <w:br/>
        <w:t xml:space="preserve">Crime/Mystery = [Assassin, Crime, Detective, Mystery, Political]</w:t>
        <w:br/>
        <w:t xml:space="preserve">Fantasy = [Fantasy, Dark Fantasy, Dragons, Gothic, Magic, Medieval, Mythology]</w:t>
        <w:br/>
        <w:t xml:space="preserve">Fighting/Melee = [3D Fighter, Beat 'em up, Character Action Game, Fighting, Martial Arts, Spectacle fighter, Swordplay]</w:t>
        <w:br/>
        <w:t xml:space="preserve">Historical/War = [Alternate History, Historical, Military, War, World War II]</w:t>
        <w:br/>
        <w:t xml:space="preserve">Horror = [Horror, Demons, Psychological Horror, Supernatural, Survival Horror, Vampire, Zombies]</w:t>
        <w:br/>
        <w:t xml:space="preserve">Narrative/Choices = [Choices Matter, Choose Your Own Adventure, Conversation, Interactive Fiction, Lore-Rich, Multiple Endings, Narration, Narrative, Point &amp; Click, Story Rich, Text-Based, Visual Novel, Walking Simulator]</w:t>
        <w:br/>
        <w:t xml:space="preserve">Open World/Survival = [Base-Building, Building, Crafting, Exploration, Fishing, Hunting, Mining, Open World, Open World Survival Craft, Sandbox, Survival]</w:t>
        <w:br/>
        <w:t xml:space="preserve">Platformer = [Platformer, 2D Platformer, 3D Platformer, Metroidvania, Parkour]</w:t>
        <w:br/>
        <w:t xml:space="preserve">Puzzle = [Puzzle]</w:t>
        <w:br/>
        <w:t xml:space="preserve">RPG = [RPG, Action RPG, CRPG, JRPG, MMORPG, Party-Based RPG, Strategy RPG, Tactical RPG]</w:t>
        <w:br/>
        <w:t xml:space="preserve">Racing/Driving = [Driving, Racing, Tanks, Vehicular Combat]</w:t>
        <w:br/>
        <w:t xml:space="preserve">Roguelike = [Action Roguelike, Dungeon Crawler, Procedural Generation, Rogue-like, Rogue-lite]</w:t>
        <w:br/>
        <w:t xml:space="preserve">Sci-fi/Cyberpunk = [Aliens, Cyberpunk, Dystopian, Futuristic, Post-apocalyptic, Robots, Sci-fi, Space]</w:t>
        <w:br/>
        <w:t xml:space="preserve">Shooter/FPS = [FPS, Looter Shooter, Shooter, Third-Person Shooter]</w:t>
        <w:br/>
        <w:t xml:space="preserve">Simulation/Management = [Agriculture, Automation, Automobile Sim, City Builder, Colony Sim, Farming Sim, Life Sim, Management, Resource Management, Simulation, Space Sim]</w:t>
        <w:br/>
        <w:t xml:space="preserve">Sports/Rhythm = [Rhythm, Sports]</w:t>
        <w:br/>
        <w:t xml:space="preserve">Stealth/Immersive = [Immersive Sim, Stealth]</w:t>
        <w:br/>
        <w:t xml:space="preserve">Strategy/Tactics = [4X, Grand Strategy, RTS, Real Time Tactics, Strategy, Tactical, Tower Defense, Wargame]</w:t>
        <w:br/>
        <w:t xml:space="preserve">Turn-Based = [Turn-Based, Turn-Based Combat, Turn-Based Strategy, Turn-Based Tactics]</w:t>
        <w:br/>
        <w:t xml:space="preserve">discarded = [2D, 3D, Anime, Arcade, Atmospheric, Beautiful, Cartoony, Casual, Character Customization, Cinematic, Classic, Colorful, Comedy, Controller, Cute, Dark, Dark Humor, Dating Sim, Destruction, Difficult, Drama, Early Access, Economy, Emotional, Family Friendly, Fast-Paced, Female Protagonist, First-Person, Free to Play, Funny, Gore, Great Soundtrack, Gun Customization, Hand-drawn, Indie, Inventory Management, Isometric, LGBTQ+, Loot, Mature, Memes, Music, Nudity, Old School, Physics, Pixel Graphics, Psychedelic, Psychological, Realistic, Relaxing, Replay Value, Retro, Romance, Sexual Content, Singleplayer, Soundtrack, Stylized, Surreal, Third Person, Thriller, Violent]</w:t>
      </w:r>
    </w:p>
    <w:p>
      <w:pPr>
        <w:pStyle w:val="AppendixH1"/>
      </w:pPr>
      <w:r>
        <w:t xml:space="preserve">APPENDIX H: COST AT SCALE</w:t>
      </w:r>
    </w:p>
    <w:p>
      <w:pPr>
        <w:pStyle w:val="PostHeadPara"/>
      </w:pPr>
      <w:r>
        <w:t xml:space="preserve">Write N for the catalog size, P for the anchor-pack cap in sentences, d = 1,024 for the embedding width, B = 192 for the games in a step, and W = 168, S = 84, L = 2 for the window, stride and micro-passes of the teacher in Appendix J. The tower reads one pack with Q = 4 latent queries, so encoding a pack costs Θ(P·Q·d) work and holds Θ(P·d) activation. Everything below follows from those two facts.</w:t>
      </w:r>
    </w:p>
    <w:p>
      <w:pPr>
        <w:pStyle w:val="Para"/>
      </w:pPr>
      <w:r>
        <w:t xml:space="preserve">The fully coupled teacher re-encodes every pack with gradient at every step. Its cost is Θ(N·P·Q·d) in time and Θ(N·P·d) in memory — both linear in the catalog. At our scale the backward graph holds 6.9 M sentence slots — 13 GiB of fp16 input before any activation is stored (cf. Table A9, whose 6.6 M counts the fixed split’s 1,613 packs) (Table A9); the same expression at N = 10⁶ asks for 7.6 TiB, which no accelerator holds. This is the wall the third limitation of Section 8 names.</w:t>
      </w:r>
    </w:p>
    <w:p>
      <w:pPr>
        <w:pStyle w:val="Para"/>
      </w:pPr>
      <w:r>
        <w:t xml:space="preserve">Those asymptotics are matched by the measured cost of the fully coupled teacher (Table A4). Peak device allocation rises by 7.2× across an 8× rise in P, the near-linear growth the Θ(N·P·d) term predicts, and it is dominated throughout by the with-gradient re-encoding of the gallery rather than by the anchor store, which accounts for only 3.8 to 27.1 GiB of it across the four budgets. Allocation is a property of the configuration rather than of the accelerator, so it transfers: the three smaller budgets fit a 48 GiB card, while the 4,096-sentence budget needs an 80 GiB one. Inference is unaffected by the budget: a query costs one forward pass through the frozen 0.6B embedder (&lt; 3 GiB) and a dot product against the finished anchors.</w:t>
      </w:r>
    </w:p>
    <w:p>
      <w:pPr>
        <w:pStyle w:val="TableCaption"/>
      </w:pPr>
      <w:r>
        <w:t xml:space="preserve">Table A4: Measured cost of the fully coupled teacher at each anchor budget (fold-0 measurements; peak is the maximum device allocation over a training step). Only the 4,096-sentence budget occupies a whole A100 80 GB, so it is the one configuration whose elapsed time is a clean per-run figure. The smaller budgets were trained with several folds packed onto one card at a time — which their peaks permit, and which is why they were run that way — so their wall clock measures a shared card rather than a run. Contention only costs time, so those measurements still bound a dedicated run from above: every timed run at 512 and at 1,024 sentences finished inside four hours while sharing its card, and the table reports that bound. The one timed trace at 2,048 is too thin to bound and is left blank. Peak allocation is per process and is unaffected by the packing.</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600"/>
        <w:gridCol w:w="2900"/>
        <w:gridCol w:w="2900"/>
      </w:tblGrid>
      <w:tr>
        <w:tc>
          <w:tcPr>
            <w:tcW w:type="dxa" w:w="2600"/>
          </w:tcPr>
          <w:p>
            <w:pPr>
              <w:pStyle w:val="TableCell"/>
              <w:keepNext/>
            </w:pPr>
            <w:r>
              <w:rPr>
                <w:b/>
              </w:rPr>
              <w:t xml:space="preserve">Anchor budget P</w:t>
            </w:r>
          </w:p>
        </w:tc>
        <w:tc>
          <w:tcPr>
            <w:tcW w:type="dxa" w:w="2900"/>
          </w:tcPr>
          <w:p>
            <w:pPr>
              <w:pStyle w:val="TableCell"/>
              <w:keepNext/>
            </w:pPr>
            <w:r>
              <w:rPr>
                <w:b/>
              </w:rPr>
              <w:t xml:space="preserve">Peak device allocation</w:t>
            </w:r>
          </w:p>
        </w:tc>
        <w:tc>
          <w:tcPr>
            <w:tcW w:type="dxa" w:w="2900"/>
          </w:tcPr>
          <w:p>
            <w:pPr>
              <w:pStyle w:val="TableCell"/>
              <w:keepNext/>
            </w:pPr>
            <w:r>
              <w:rPr>
                <w:b/>
              </w:rPr>
              <w:t xml:space="preserve">Wall clock, 2,000 epochs</w:t>
            </w:r>
          </w:p>
        </w:tc>
      </w:tr>
      <w:tr>
        <w:tc>
          <w:tcPr>
            <w:tcW w:type="dxa" w:w="2600"/>
          </w:tcPr>
          <w:p>
            <w:pPr>
              <w:pStyle w:val="TableCell"/>
              <w:keepNext/>
            </w:pPr>
            <w:r>
              <w:t xml:space="preserve">512 sentences</w:t>
            </w:r>
          </w:p>
        </w:tc>
        <w:tc>
          <w:tcPr>
            <w:tcW w:type="dxa" w:w="2900"/>
          </w:tcPr>
          <w:p>
            <w:pPr>
              <w:pStyle w:val="TableCell"/>
              <w:keepNext/>
            </w:pPr>
            <w:r>
              <w:t xml:space="preserve">8.4 GiB</w:t>
            </w:r>
          </w:p>
        </w:tc>
        <w:tc>
          <w:tcPr>
            <w:tcW w:type="dxa" w:w="2900"/>
          </w:tcPr>
          <w:p>
            <w:pPr>
              <w:pStyle w:val="TableCell"/>
              <w:keepNext/>
            </w:pPr>
            <w:r>
              <w:t xml:space="preserve">&lt; 4 h</w:t>
            </w:r>
          </w:p>
        </w:tc>
      </w:tr>
      <w:tr>
        <w:tc>
          <w:tcPr>
            <w:tcW w:type="dxa" w:w="2600"/>
          </w:tcPr>
          <w:p>
            <w:pPr>
              <w:pStyle w:val="TableCell"/>
              <w:keepNext/>
            </w:pPr>
            <w:r>
              <w:t xml:space="preserve">1,024 sentences</w:t>
            </w:r>
          </w:p>
        </w:tc>
        <w:tc>
          <w:tcPr>
            <w:tcW w:type="dxa" w:w="2900"/>
          </w:tcPr>
          <w:p>
            <w:pPr>
              <w:pStyle w:val="TableCell"/>
              <w:keepNext/>
            </w:pPr>
            <w:r>
              <w:t xml:space="preserve">22.3 GiB</w:t>
            </w:r>
          </w:p>
        </w:tc>
        <w:tc>
          <w:tcPr>
            <w:tcW w:type="dxa" w:w="2900"/>
          </w:tcPr>
          <w:p>
            <w:pPr>
              <w:pStyle w:val="TableCell"/>
              <w:keepNext/>
            </w:pPr>
            <w:r>
              <w:t xml:space="preserve">&lt; 4 h</w:t>
            </w:r>
          </w:p>
        </w:tc>
      </w:tr>
      <w:tr>
        <w:tc>
          <w:tcPr>
            <w:tcW w:type="dxa" w:w="2600"/>
          </w:tcPr>
          <w:p>
            <w:pPr>
              <w:pStyle w:val="TableCell"/>
              <w:keepNext/>
            </w:pPr>
            <w:r>
              <w:t xml:space="preserve">2,048 sentences</w:t>
            </w:r>
          </w:p>
        </w:tc>
        <w:tc>
          <w:tcPr>
            <w:tcW w:type="dxa" w:w="2900"/>
          </w:tcPr>
          <w:p>
            <w:pPr>
              <w:pStyle w:val="TableCell"/>
              <w:keepNext/>
            </w:pPr>
            <w:r>
              <w:t xml:space="preserve">35.0 GiB</w:t>
            </w:r>
          </w:p>
        </w:tc>
        <w:tc>
          <w:tcPr>
            <w:tcW w:type="dxa" w:w="2900"/>
          </w:tcPr>
          <w:p>
            <w:pPr>
              <w:pStyle w:val="TableCell"/>
              <w:keepNext/>
            </w:pPr>
            <w:r>
              <w:t xml:space="preserve">—</w:t>
            </w:r>
          </w:p>
        </w:tc>
      </w:tr>
      <w:tr>
        <w:tc>
          <w:tcPr>
            <w:tcW w:type="dxa" w:w="2600"/>
          </w:tcPr>
          <w:p>
            <w:pPr>
              <w:pStyle w:val="TableCell"/>
            </w:pPr>
            <w:r>
              <w:rPr>
                <w:b/>
              </w:rPr>
              <w:t xml:space="preserve">4,096 sentences (recipe)</w:t>
            </w:r>
          </w:p>
        </w:tc>
        <w:tc>
          <w:tcPr>
            <w:tcW w:type="dxa" w:w="2900"/>
          </w:tcPr>
          <w:p>
            <w:pPr>
              <w:pStyle w:val="TableCell"/>
            </w:pPr>
            <w:r>
              <w:rPr>
                <w:b/>
              </w:rPr>
              <w:t xml:space="preserve">60.6 GiB</w:t>
            </w:r>
          </w:p>
        </w:tc>
        <w:tc>
          <w:tcPr>
            <w:tcW w:type="dxa" w:w="2900"/>
          </w:tcPr>
          <w:p>
            <w:pPr>
              <w:pStyle w:val="TableCell"/>
            </w:pPr>
            <w:r>
              <w:rPr>
                <w:b/>
              </w:rPr>
              <w:t xml:space="preserve">≈ 6.7 h (6.4–7.2, five folds)</w:t>
            </w:r>
          </w:p>
        </w:tc>
      </w:tr>
    </w:tbl>
    <w:p>
      <w:pPr>
        <w:pStyle w:val="Para"/>
      </w:pPr>
      <w:r>
        <w:t xml:space="preserve">Those two columns together carry a practical consequence of the plateau in Table A2. At 1,024 sentences the tower is already inside the indistinguishable band: every retrieval and tag reading stays within 0.02 of the 4,096-sentence recipe, while its peak allocation is 2.7× smaller. The headline budget needs an 80 GiB accelerator, but that one fits the 24 GB of a consumer card — an RTX 3090 or 4090 — which puts a reproduction of this paper within reach of a single desktop GPU. The 22.3 GiB peak leaves little headroom, so such a card should be running headless.</w:t>
      </w:r>
    </w:p>
    <w:p>
      <w:pPr>
        <w:pStyle w:val="Para"/>
      </w:pPr>
      <w:r>
        <w:t xml:space="preserve">The windowed teacher removes N from both expressions. A micro-pass encodes the batch's own packs plus one window and frees them before the next, so a step costs Θ(L·(B + W)·P·Q·d) in time and Θ((B + W)·P·d) in memory. At B = 192 and W = 168 that is 1.47 M sentence slots, 2.8 GiB of input, whether the catalog holds two thousand entries or ten million. Neither expression contains N. What the window does not bound, however, is the ring itself: the windowed teacher still keeps every anchor pack resident (Table A9), so Θ(N·P·d) of store sits on the device even though only Θ((B + W)·P·d) of it is ever differentiated. Measured at our scale the fully coupled teacher peaks at about 61 GiB at P = 4,096, and about 13 GiB of any variant’s footprint is that resident ring; the windowed teacher’s peak was not separately measured. The window has bounded the backward graph but not the catalog, and Table A5 shows where each variant stops.</w:t>
      </w:r>
    </w:p>
    <w:p>
      <w:pPr>
        <w:pStyle w:val="TableCaption"/>
      </w:pPr>
      <w:r>
        <w:t xml:space="preserve">Table A5: The cost model of the three teachers, with the fully coupled I-CE teacher normalized to 1 at the same catalog size. N is the catalog, P the anchor-pack cap, d the embedding width, Q = 4 latent queries, B = 192 games per step, and W = 168, S = 84, L = 2 the window, stride and micro-passes. Ratios are quoted at our N = 1,694; the windowed teacher's step contains no N, so both of its first two rows fall as 1/N, but its ring keeps every pack resident and therefore stays linear in the catalog on the device. The streamed store — the full-corpus pipeline of this paper — is what removes that last term, paying I/O for it. The measured peak is at P = 4,096 (fold 0, torch.cuda.max_memory_allocated); the last row extrapolates each variant's device budget for N on one 80 GiB accelerator, assuming the linear dependence on N.</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151"/>
        <w:gridCol w:w="1943"/>
        <w:gridCol w:w="2359"/>
        <w:gridCol w:w="1947"/>
      </w:tblGrid>
      <w:tr>
        <w:tc>
          <w:tcPr>
            <w:tcW w:type="dxa" w:w="2151"/>
          </w:tcPr>
          <w:p>
            <w:pPr>
              <w:pStyle w:val="TableCell"/>
              <w:keepNext/>
            </w:pPr>
            <w:r>
              <w:t xml:space="preserve">Quantity</w:t>
            </w:r>
          </w:p>
        </w:tc>
        <w:tc>
          <w:tcPr>
            <w:tcW w:type="dxa" w:w="1943"/>
          </w:tcPr>
          <w:p>
            <w:pPr>
              <w:pStyle w:val="TableCell"/>
              <w:keepNext/>
            </w:pPr>
            <w:r>
              <w:t xml:space="preserve">I-CE, fully coupled</w:t>
            </w:r>
          </w:p>
        </w:tc>
        <w:tc>
          <w:tcPr>
            <w:tcW w:type="dxa" w:w="2359"/>
          </w:tcPr>
          <w:p>
            <w:pPr>
              <w:pStyle w:val="TableCell"/>
              <w:keepNext/>
            </w:pPr>
            <w:r>
              <w:t xml:space="preserve">swin-I-CE (W = 168)</w:t>
            </w:r>
          </w:p>
        </w:tc>
        <w:tc>
          <w:tcPr>
            <w:tcW w:type="dxa" w:w="1947"/>
          </w:tcPr>
          <w:p>
            <w:pPr>
              <w:pStyle w:val="TableCell"/>
              <w:keepNext/>
            </w:pPr>
            <w:r>
              <w:t xml:space="preserve">swin + streamed store</w:t>
            </w:r>
          </w:p>
        </w:tc>
      </w:tr>
      <w:tr>
        <w:tc>
          <w:tcPr>
            <w:tcW w:type="dxa" w:w="2151"/>
          </w:tcPr>
          <w:p>
            <w:pPr>
              <w:pStyle w:val="TableCell"/>
              <w:keepNext/>
            </w:pPr>
            <w:r>
              <w:rPr>
                <w:b/>
              </w:rPr>
              <w:t xml:space="preserve">Step time</w:t>
            </w:r>
          </w:p>
        </w:tc>
        <w:tc>
          <w:tcPr>
            <w:tcW w:type="dxa" w:w="1943"/>
          </w:tcPr>
          <w:p>
            <w:pPr>
              <w:pStyle w:val="TableCell"/>
              <w:keepNext/>
            </w:pPr>
            <w:r>
              <w:rPr>
                <w:b/>
              </w:rPr>
              <w:t xml:space="preserve">Θ(N·P·Q·d) — 1</w:t>
            </w:r>
          </w:p>
        </w:tc>
        <w:tc>
          <w:tcPr>
            <w:tcW w:type="dxa" w:w="2359"/>
          </w:tcPr>
          <w:p>
            <w:pPr>
              <w:pStyle w:val="TableCell"/>
              <w:keepNext/>
            </w:pPr>
            <w:r>
              <w:rPr>
                <w:b/>
              </w:rPr>
              <w:t xml:space="preserve">Θ(L(B+W)·P·Q·d) — 0.43</w:t>
            </w:r>
          </w:p>
        </w:tc>
        <w:tc>
          <w:tcPr>
            <w:tcW w:type="dxa" w:w="1947"/>
          </w:tcPr>
          <w:p>
            <w:pPr>
              <w:pStyle w:val="TableCell"/>
              <w:keepNext/>
            </w:pPr>
            <w:r>
              <w:rPr>
                <w:b/>
              </w:rPr>
              <w:t xml:space="preserve">Θ(L(B+W)·P·Q·d) — 0.43</w:t>
            </w:r>
          </w:p>
        </w:tc>
      </w:tr>
      <w:tr>
        <w:tc>
          <w:tcPr>
            <w:tcW w:type="dxa" w:w="2151"/>
          </w:tcPr>
          <w:p>
            <w:pPr>
              <w:pStyle w:val="TableCell"/>
              <w:keepNext/>
            </w:pPr>
            <w:r>
              <w:rPr>
                <w:b/>
              </w:rPr>
              <w:t xml:space="preserve">Peak activation</w:t>
            </w:r>
          </w:p>
        </w:tc>
        <w:tc>
          <w:tcPr>
            <w:tcW w:type="dxa" w:w="1943"/>
          </w:tcPr>
          <w:p>
            <w:pPr>
              <w:pStyle w:val="TableCell"/>
              <w:keepNext/>
            </w:pPr>
            <w:r>
              <w:rPr>
                <w:b/>
              </w:rPr>
              <w:t xml:space="preserve">Θ(N·P·d) — 1</w:t>
            </w:r>
          </w:p>
        </w:tc>
        <w:tc>
          <w:tcPr>
            <w:tcW w:type="dxa" w:w="2359"/>
          </w:tcPr>
          <w:p>
            <w:pPr>
              <w:pStyle w:val="TableCell"/>
              <w:keepNext/>
            </w:pPr>
            <w:r>
              <w:rPr>
                <w:b/>
              </w:rPr>
              <w:t xml:space="preserve">Θ((B+W)·P·d) — 0.21</w:t>
            </w:r>
          </w:p>
        </w:tc>
        <w:tc>
          <w:tcPr>
            <w:tcW w:type="dxa" w:w="1947"/>
          </w:tcPr>
          <w:p>
            <w:pPr>
              <w:pStyle w:val="TableCell"/>
              <w:keepNext/>
            </w:pPr>
            <w:r>
              <w:rPr>
                <w:b/>
              </w:rPr>
              <w:t xml:space="preserve">Θ((B+W)·P·d) — 0.21</w:t>
            </w:r>
          </w:p>
        </w:tc>
      </w:tr>
      <w:tr>
        <w:tc>
          <w:tcPr>
            <w:tcW w:type="dxa" w:w="2151"/>
          </w:tcPr>
          <w:p>
            <w:pPr>
              <w:pStyle w:val="TableCell"/>
              <w:keepNext/>
            </w:pPr>
            <w:r>
              <w:rPr>
                <w:b/>
              </w:rPr>
              <w:t xml:space="preserve">Resident anchor store</w:t>
            </w:r>
          </w:p>
        </w:tc>
        <w:tc>
          <w:tcPr>
            <w:tcW w:type="dxa" w:w="1943"/>
          </w:tcPr>
          <w:p>
            <w:pPr>
              <w:pStyle w:val="TableCell"/>
              <w:keepNext/>
            </w:pPr>
            <w:r>
              <w:rPr>
                <w:b/>
              </w:rPr>
              <w:t xml:space="preserve">Θ(N·P·d) — 1</w:t>
            </w:r>
          </w:p>
        </w:tc>
        <w:tc>
          <w:tcPr>
            <w:tcW w:type="dxa" w:w="2359"/>
          </w:tcPr>
          <w:p>
            <w:pPr>
              <w:pStyle w:val="TableCell"/>
              <w:keepNext/>
            </w:pPr>
            <w:r>
              <w:rPr>
                <w:b/>
              </w:rPr>
              <w:t xml:space="preserve">Θ(N·P·d) — 1</w:t>
            </w:r>
          </w:p>
        </w:tc>
        <w:tc>
          <w:tcPr>
            <w:tcW w:type="dxa" w:w="1947"/>
          </w:tcPr>
          <w:p>
            <w:pPr>
              <w:pStyle w:val="TableCell"/>
              <w:keepNext/>
            </w:pPr>
            <w:r>
              <w:rPr>
                <w:b/>
              </w:rPr>
              <w:t xml:space="preserve">Θ((B+W)·P·d) — 0.21</w:t>
            </w:r>
          </w:p>
        </w:tc>
      </w:tr>
      <w:tr>
        <w:tc>
          <w:tcPr>
            <w:tcW w:type="dxa" w:w="2151"/>
          </w:tcPr>
          <w:p>
            <w:pPr>
              <w:pStyle w:val="TableCell"/>
              <w:keepNext/>
            </w:pPr>
            <w:r>
              <w:rPr>
                <w:b/>
              </w:rPr>
              <w:t xml:space="preserve">Device memory in N</w:t>
            </w:r>
          </w:p>
        </w:tc>
        <w:tc>
          <w:tcPr>
            <w:tcW w:type="dxa" w:w="1943"/>
          </w:tcPr>
          <w:p>
            <w:pPr>
              <w:pStyle w:val="TableCell"/>
              <w:keepNext/>
            </w:pPr>
            <w:r>
              <w:rPr>
                <w:b/>
              </w:rPr>
              <w:t xml:space="preserve">linear</w:t>
            </w:r>
          </w:p>
        </w:tc>
        <w:tc>
          <w:tcPr>
            <w:tcW w:type="dxa" w:w="2359"/>
          </w:tcPr>
          <w:p>
            <w:pPr>
              <w:pStyle w:val="TableCell"/>
              <w:keepNext/>
            </w:pPr>
            <w:r>
              <w:rPr>
                <w:b/>
              </w:rPr>
              <w:t xml:space="preserve">linear</w:t>
            </w:r>
          </w:p>
        </w:tc>
        <w:tc>
          <w:tcPr>
            <w:tcW w:type="dxa" w:w="1947"/>
          </w:tcPr>
          <w:p>
            <w:pPr>
              <w:pStyle w:val="TableCell"/>
              <w:keepNext/>
            </w:pPr>
            <w:r>
              <w:rPr>
                <w:b/>
              </w:rPr>
              <w:t xml:space="preserve">constant</w:t>
            </w:r>
          </w:p>
        </w:tc>
      </w:tr>
      <w:tr>
        <w:tc>
          <w:tcPr>
            <w:tcW w:type="dxa" w:w="2151"/>
          </w:tcPr>
          <w:p>
            <w:pPr>
              <w:pStyle w:val="TableCell"/>
              <w:keepNext/>
            </w:pPr>
            <w:r>
              <w:rPr>
                <w:b/>
              </w:rPr>
              <w:t xml:space="preserve">Per-step device I/O</w:t>
            </w:r>
          </w:p>
        </w:tc>
        <w:tc>
          <w:tcPr>
            <w:tcW w:type="dxa" w:w="1943"/>
          </w:tcPr>
          <w:p>
            <w:pPr>
              <w:pStyle w:val="TableCell"/>
              <w:keepNext/>
            </w:pPr>
            <w:r>
              <w:rPr>
                <w:b/>
              </w:rPr>
              <w:t xml:space="preserve">none</w:t>
            </w:r>
          </w:p>
        </w:tc>
        <w:tc>
          <w:tcPr>
            <w:tcW w:type="dxa" w:w="2359"/>
          </w:tcPr>
          <w:p>
            <w:pPr>
              <w:pStyle w:val="TableCell"/>
              <w:keepNext/>
            </w:pPr>
            <w:r>
              <w:rPr>
                <w:b/>
              </w:rPr>
              <w:t xml:space="preserve">none</w:t>
            </w:r>
          </w:p>
        </w:tc>
        <w:tc>
          <w:tcPr>
            <w:tcW w:type="dxa" w:w="1947"/>
          </w:tcPr>
          <w:p>
            <w:pPr>
              <w:pStyle w:val="TableCell"/>
              <w:keepNext/>
            </w:pPr>
            <w:r>
              <w:rPr>
                <w:b/>
              </w:rPr>
              <w:t xml:space="preserve">Θ(L·S·P·d) ≈ 1.3 GiB</w:t>
            </w:r>
          </w:p>
        </w:tc>
      </w:tr>
      <w:tr>
        <w:tc>
          <w:tcPr>
            <w:tcW w:type="dxa" w:w="2151"/>
          </w:tcPr>
          <w:p>
            <w:pPr>
              <w:pStyle w:val="TableCell"/>
              <w:keepNext/>
            </w:pPr>
            <w:r>
              <w:rPr>
                <w:b/>
              </w:rPr>
              <w:t xml:space="preserve">Measured peak at N = 1,694</w:t>
            </w:r>
          </w:p>
        </w:tc>
        <w:tc>
          <w:tcPr>
            <w:tcW w:type="dxa" w:w="1943"/>
          </w:tcPr>
          <w:p>
            <w:pPr>
              <w:pStyle w:val="TableCell"/>
              <w:keepNext/>
            </w:pPr>
            <w:r>
              <w:rPr>
                <w:b/>
              </w:rPr>
              <w:t xml:space="preserve">≈ 61 GiB</w:t>
            </w:r>
          </w:p>
        </w:tc>
        <w:tc>
          <w:tcPr>
            <w:tcW w:type="dxa" w:w="2359"/>
          </w:tcPr>
          <w:p>
            <w:pPr>
              <w:pStyle w:val="TableCell"/>
              <w:keepNext/>
            </w:pPr>
            <w:r>
              <w:rPr>
                <w:b/>
              </w:rPr>
              <w:t xml:space="preserve">not measured</w:t>
            </w:r>
          </w:p>
        </w:tc>
        <w:tc>
          <w:tcPr>
            <w:tcW w:type="dxa" w:w="1947"/>
          </w:tcPr>
          <w:p>
            <w:pPr>
              <w:pStyle w:val="TableCell"/>
              <w:keepNext/>
            </w:pPr>
            <w:r>
              <w:rPr>
                <w:b/>
              </w:rPr>
              <w:t xml:space="preserve">not measured</w:t>
            </w:r>
          </w:p>
        </w:tc>
      </w:tr>
      <w:tr>
        <w:tc>
          <w:tcPr>
            <w:tcW w:type="dxa" w:w="2151"/>
          </w:tcPr>
          <w:p>
            <w:pPr>
              <w:pStyle w:val="TableCell"/>
            </w:pPr>
            <w:r>
              <w:rPr>
                <w:b/>
              </w:rPr>
              <w:t xml:space="preserve">Extrapolated largest N, one 80 GiB device</w:t>
            </w:r>
          </w:p>
        </w:tc>
        <w:tc>
          <w:tcPr>
            <w:tcW w:type="dxa" w:w="1943"/>
          </w:tcPr>
          <w:p>
            <w:pPr>
              <w:pStyle w:val="TableCell"/>
            </w:pPr>
            <w:r>
              <w:rPr>
                <w:b/>
              </w:rPr>
              <w:t xml:space="preserve">≈ 2,200</w:t>
            </w:r>
          </w:p>
        </w:tc>
        <w:tc>
          <w:tcPr>
            <w:tcW w:type="dxa" w:w="2359"/>
          </w:tcPr>
          <w:p>
            <w:pPr>
              <w:pStyle w:val="TableCell"/>
            </w:pPr>
            <w:r>
              <w:rPr>
                <w:b/>
              </w:rPr>
              <w:t xml:space="preserve">—</w:t>
            </w:r>
          </w:p>
        </w:tc>
        <w:tc>
          <w:tcPr>
            <w:tcW w:type="dxa" w:w="1947"/>
          </w:tcPr>
          <w:p>
            <w:pPr>
              <w:pStyle w:val="TableCell"/>
            </w:pPr>
            <w:r>
              <w:rPr>
                <w:b/>
              </w:rPr>
              <w:t xml:space="preserve">not memory-bound</w:t>
            </w:r>
          </w:p>
        </w:tc>
      </w:tr>
    </w:tbl>
    <w:p>
      <w:pPr>
        <w:pStyle w:val="Para"/>
      </w:pPr>
      <w:r>
        <w:t xml:space="preserve">The third variant closes that last term by giving up residency, and it is the pipeline that built the corpus of this paper. The merged pool is a single memory-mapped fp16 array on disk: the build writes and reads it a million rows at a time, so that assembling 23,373 games never holds more than a chunk, and the training loop gathers each anchor pack from that map instead of from a resident ring. The device then holds only what it differentiates, Θ((B + W)·P·d), and the catalog leaves device memory altogether. What replaces it is I/O: the ring advances L·S = 168 packs per step and only the new ones must be paged, Θ(L·S·P·d) — 1.3 GiB per step at P = 4,096, 336 MiB at P = 1,024 — which a prefetch thread hides behind the forward pass. This is the trade-off the design makes, I/O for space, and the last row of Table A5 shows what it gains: on one 80 GiB accelerator the fully coupled teacher, from its measured 61 GiB at N = 1,694, extrapolates to a ceiling near N ≈ 2,200; the windowed teacher’s ring still grows linearly in the catalog; the streamed variant alone has no such bound, its device footprint constant in the catalog. The distinction is not hypothetical at our own next step: the 23,373-game corpus needs 183 GiB of packs at P = 4,096, which no single device holds, but 46 GiB at P = 1,024, which one does. Two quantities do still grow with the catalog, and neither is memory. The ring advances 168 packs per step, so an anchor takes a gradient turn once every N/(L·S) steps — ten steps at our N = 1,694, 139 at 23,373, and 5,952, about 370 epochs of sixteen steps, at a million; equivalently, per-step coverage is (B + W)/N, falling from 21% here to 1.5% at full-corpus scale and 0.04% at a million. A million-entity store is 7.6 TiB at P = 4,096 or 1.9 TiB at P = 1,024 — an ordinary disk array, read at about a gigabyte per step.</w:t>
      </w:r>
    </w:p>
    <w:p>
      <w:pPr>
        <w:pStyle w:val="Para"/>
      </w:pPr>
      <w:r>
        <w:t xml:space="preserve">The practical reading is that memory, the usual constraint, ceases to be one: a million-entity catalog trains inside a single 80 GiB accelerator at constant step cost, with the anchor store on disk and paged. What replaces it is a coverage question — how rarely an anchor may take its turn before the objective stops learning. Our evidence spans 21% to 100% per-step coverage, the range in which the windowed teacher gives up 0.032 Stripped hit@1 against full coupling (Table A6); it does not reach the 0.04% regime and we do not claim it. The architecture makes million-scale training affordable; whether it stays effective there is the open question the third limitation should be read as posing.</w:t>
      </w:r>
    </w:p>
    <w:p>
      <w:pPr>
        <w:pStyle w:val="Para"/>
      </w:pPr>
      <w:r>
        <w:t xml:space="preserve">At inference time the resource requirements are modest. Encoding a user query requires a single forward pass through the 0.6B parameter frozen text model (under 3 GiB of VRAM). Retrieval over the pre-computed anchors is an inner-product search that runs in milliseconds, so the heavy training-time graph does not affect deployment.</w:t>
      </w:r>
    </w:p>
    <w:p>
      <w:pPr>
        <w:pStyle w:val="TableCaption"/>
      </w:pPr>
      <w:r>
        <w:t xml:space="preserve">Table A6: The cost of the anchor-supply economies, moved here from the body in the phase-3 revision (test-set queries (ts), five-fold mean ± std at the 4,096-sentence anchor budget). The sliding fresh-window variant (swin, Appendix J) re-encodes ~27% of the gallery with gradient per step; the two-stage row hands a BYOL warm start to the windowed teacher for the last 600 epochs; the EMA + memory-bank variant replaces the coupled teacher with an EMA shadow encoder feeding a 3,072-key bank (Appendix C). Full coupling is the ceiling: the windowed teacher and the two-stage recipe each give up 0.032 Stripped hit@1, the memory-bank economy 0.105.</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fully coupled teacher</w:t>
            </w:r>
          </w:p>
        </w:tc>
        <w:tc>
          <w:tcPr>
            <w:tcW w:type="dxa" w:w="1120"/>
          </w:tcPr>
          <w:p>
            <w:pPr>
              <w:pStyle w:val="TableCell"/>
              <w:keepNext/>
            </w:pPr>
            <w:r>
              <w:t xml:space="preserve">0.954 ± 0.013</w:t>
            </w:r>
          </w:p>
        </w:tc>
        <w:tc>
          <w:tcPr>
            <w:tcW w:type="dxa" w:w="1120"/>
          </w:tcPr>
          <w:p>
            <w:pPr>
              <w:pStyle w:val="TableCell"/>
              <w:keepNext/>
            </w:pPr>
            <w:r>
              <w:t xml:space="preserve">0.997 ± 0.004</w:t>
            </w:r>
          </w:p>
        </w:tc>
        <w:tc>
          <w:tcPr>
            <w:tcW w:type="dxa" w:w="1245"/>
          </w:tcPr>
          <w:p>
            <w:pPr>
              <w:pStyle w:val="TableCell"/>
              <w:keepNext/>
            </w:pPr>
            <w:r>
              <w:t xml:space="preserve">0.741 ± 0.018</w:t>
            </w:r>
          </w:p>
        </w:tc>
        <w:tc>
          <w:tcPr>
            <w:tcW w:type="dxa" w:w="1245"/>
          </w:tcPr>
          <w:p>
            <w:pPr>
              <w:pStyle w:val="TableCell"/>
              <w:keepNext/>
            </w:pPr>
            <w:r>
              <w:t xml:space="preserve">0.928 ± 0.020</w:t>
            </w:r>
          </w:p>
        </w:tc>
        <w:tc>
          <w:tcPr>
            <w:tcW w:type="dxa" w:w="2170"/>
          </w:tcPr>
          <w:p>
            <w:pPr>
              <w:pStyle w:val="TableCell"/>
              <w:keepNext/>
            </w:pPr>
            <w:r>
              <w:t xml:space="preserve">0.685 ± 0.019</w:t>
            </w:r>
          </w:p>
        </w:tc>
      </w:tr>
      <w:tr>
        <w:tc>
          <w:tcPr>
            <w:tcW w:type="dxa" w:w="1500"/>
          </w:tcPr>
          <w:p>
            <w:pPr>
              <w:pStyle w:val="TableCell"/>
              <w:keepNext/>
            </w:pPr>
            <w:r>
              <w:t xml:space="preserve">swin-I-CE (~27% gradient window)</w:t>
            </w:r>
          </w:p>
        </w:tc>
        <w:tc>
          <w:tcPr>
            <w:tcW w:type="dxa" w:w="1120"/>
          </w:tcPr>
          <w:p>
            <w:pPr>
              <w:pStyle w:val="TableCell"/>
              <w:keepNext/>
            </w:pPr>
            <w:r>
              <w:t xml:space="preserve">0.934 ± 0.014</w:t>
            </w:r>
          </w:p>
        </w:tc>
        <w:tc>
          <w:tcPr>
            <w:tcW w:type="dxa" w:w="1120"/>
          </w:tcPr>
          <w:p>
            <w:pPr>
              <w:pStyle w:val="TableCell"/>
              <w:keepNext/>
            </w:pPr>
            <w:r>
              <w:t xml:space="preserve">0.994 ± 0.004</w:t>
            </w:r>
          </w:p>
        </w:tc>
        <w:tc>
          <w:tcPr>
            <w:tcW w:type="dxa" w:w="1245"/>
          </w:tcPr>
          <w:p>
            <w:pPr>
              <w:pStyle w:val="TableCell"/>
              <w:keepNext/>
            </w:pPr>
            <w:r>
              <w:t xml:space="preserve">0.709 ± 0.027</w:t>
            </w:r>
          </w:p>
        </w:tc>
        <w:tc>
          <w:tcPr>
            <w:tcW w:type="dxa" w:w="1245"/>
          </w:tcPr>
          <w:p>
            <w:pPr>
              <w:pStyle w:val="TableCell"/>
              <w:keepNext/>
            </w:pPr>
            <w:r>
              <w:t xml:space="preserve">0.922 ± 0.010</w:t>
            </w:r>
          </w:p>
        </w:tc>
        <w:tc>
          <w:tcPr>
            <w:tcW w:type="dxa" w:w="2170"/>
          </w:tcPr>
          <w:p>
            <w:pPr>
              <w:pStyle w:val="TableCell"/>
              <w:keepNext/>
            </w:pPr>
            <w:r>
              <w:t xml:space="preserve">0.691 ± 0.014</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0.930 ± 0.011</w:t>
            </w:r>
          </w:p>
        </w:tc>
        <w:tc>
          <w:tcPr>
            <w:tcW w:type="dxa" w:w="1120"/>
          </w:tcPr>
          <w:p>
            <w:pPr>
              <w:pStyle w:val="TableCell"/>
              <w:keepNext/>
            </w:pPr>
            <w:r>
              <w:t xml:space="preserve">0.991 ± 0.008</w:t>
            </w:r>
          </w:p>
        </w:tc>
        <w:tc>
          <w:tcPr>
            <w:tcW w:type="dxa" w:w="1245"/>
          </w:tcPr>
          <w:p>
            <w:pPr>
              <w:pStyle w:val="TableCell"/>
              <w:keepNext/>
            </w:pPr>
            <w:r>
              <w:t xml:space="preserve">0.709 ± 0.019</w:t>
            </w:r>
          </w:p>
        </w:tc>
        <w:tc>
          <w:tcPr>
            <w:tcW w:type="dxa" w:w="1245"/>
          </w:tcPr>
          <w:p>
            <w:pPr>
              <w:pStyle w:val="TableCell"/>
              <w:keepNext/>
            </w:pPr>
            <w:r>
              <w:t xml:space="preserve">0.917 ± 0.005</w:t>
            </w:r>
          </w:p>
        </w:tc>
        <w:tc>
          <w:tcPr>
            <w:tcW w:type="dxa" w:w="2170"/>
          </w:tcPr>
          <w:p>
            <w:pPr>
              <w:pStyle w:val="TableCell"/>
              <w:keepNext/>
            </w:pPr>
            <w:r>
              <w:t xml:space="preserve">0.705 ± 0.022</w:t>
            </w:r>
          </w:p>
        </w:tc>
      </w:tr>
      <w:tr>
        <w:tc>
          <w:tcPr>
            <w:tcW w:type="dxa" w:w="1500"/>
          </w:tcPr>
          <w:p>
            <w:pPr>
              <w:pStyle w:val="TableCell"/>
            </w:pPr>
            <w:r>
              <w:t xml:space="preserve">I-CE (EMA + memory bank)</w:t>
            </w:r>
          </w:p>
        </w:tc>
        <w:tc>
          <w:tcPr>
            <w:tcW w:type="dxa" w:w="1120"/>
          </w:tcPr>
          <w:p>
            <w:pPr>
              <w:pStyle w:val="TableCell"/>
            </w:pPr>
            <w:r>
              <w:t xml:space="preserve">0.936 ± 0.010</w:t>
            </w:r>
          </w:p>
        </w:tc>
        <w:tc>
          <w:tcPr>
            <w:tcW w:type="dxa" w:w="1120"/>
          </w:tcPr>
          <w:p>
            <w:pPr>
              <w:pStyle w:val="TableCell"/>
            </w:pPr>
            <w:r>
              <w:t xml:space="preserve">0.991 ± 0.007</w:t>
            </w:r>
          </w:p>
        </w:tc>
        <w:tc>
          <w:tcPr>
            <w:tcW w:type="dxa" w:w="1245"/>
          </w:tcPr>
          <w:p>
            <w:pPr>
              <w:pStyle w:val="TableCell"/>
            </w:pPr>
            <w:r>
              <w:t xml:space="preserve">0.636 ± 0.016</w:t>
            </w:r>
          </w:p>
        </w:tc>
        <w:tc>
          <w:tcPr>
            <w:tcW w:type="dxa" w:w="1245"/>
          </w:tcPr>
          <w:p>
            <w:pPr>
              <w:pStyle w:val="TableCell"/>
            </w:pPr>
            <w:r>
              <w:t xml:space="preserve">0.881 ± 0.016</w:t>
            </w:r>
          </w:p>
        </w:tc>
        <w:tc>
          <w:tcPr>
            <w:tcW w:type="dxa" w:w="2170"/>
          </w:tcPr>
          <w:p>
            <w:pPr>
              <w:pStyle w:val="TableCell"/>
            </w:pPr>
            <w:r>
              <w:t xml:space="preserve">0.711 ± 0.016</w:t>
            </w:r>
          </w:p>
        </w:tc>
      </w:tr>
    </w:tbl>
    <w:p>
      <w:pPr>
        <w:pStyle w:val="AppendixH1"/>
      </w:pPr>
      <w:r>
        <w:t xml:space="preserve">APPENDIX I: THE DOCUMENT VIEW — PRESENT, ABSENT, REWRITTEN</w:t>
      </w:r>
    </w:p>
    <w:p>
      <w:pPr>
        <w:pStyle w:val="PostHeadPara"/>
      </w:pPr>
      <w:r>
        <w:t xml:space="preserve">The document view is one of the four strong views, and this ablation isolates it at the 512-sentence anchor budget — five folds per cell, seed-paired with the raw-document tower (Table A7). Two verdicts. First, the document view helps, modestly: removing it costs 0.008 Stripped hit@1 and 0.032 Name hit@1, with tag readings flat — the document supplies a cross-register bridge for name-free retrieval, not semantic breadth. Second, and less obviously, rewriting the document is better than keeping it: the LLM-rewritten tower leads the raw-document tower on the stripped columns (+0.008 Stripped hit@1, +0.011 Stripped hit@5) and ties it on the name columns, while reading tags -0.002 higher. This is the contamination of Section 2.2 showing up as a measurable effect rather than a worry. Wikipedia-derived text is exactly the material a public sentence embedder is likely to have memorized, and a memorized document pulls the game’s representation toward a recalled surface instead of the review consensus we want it to summarize; a faithful sentence-wise rewrite preserves the content while breaking the verbatim match, so it acts as a decontaminating filter. The firewall we adopted for safety turns out to pay for itself, and single-split readings of this ablation — which had ranged from apparent parity to an apparent 0.05 collapse depending on the selected checkpoint — are superseded by the fold-level account above.</w:t>
      </w:r>
    </w:p>
    <w:p>
      <w:pPr>
        <w:pStyle w:val="TableCaption"/>
      </w:pPr>
      <w:r>
        <w:t xml:space="preserve">Table A7: The document view — present, absent, rewritten (test-set queries (ts), five-fold mean ± std at the 512-sentence anchor budget, validation-selected checkpoints, zero-shot, seed-paired folds). The document view is worth 0.008 Stripped hit@1 (and 0.032 Name hit@1), and rewriting it helps: the LLM-rewritten row leads raw documents on the stripped columns (+0.008 Stripped hit@1) and ties on the name columns. The firewall is not a cost but a gain.</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rPr>
                <w:b/>
              </w:rPr>
              <w:t xml:space="preserve">I-CE, document view present</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I-CE, no document view</w:t>
            </w:r>
          </w:p>
        </w:tc>
        <w:tc>
          <w:tcPr>
            <w:tcW w:type="dxa" w:w="1120"/>
          </w:tcPr>
          <w:p>
            <w:pPr>
              <w:pStyle w:val="TableCell"/>
              <w:keepNext/>
            </w:pPr>
            <w:r>
              <w:t xml:space="preserve">0.883 ± 0.016</w:t>
            </w:r>
          </w:p>
        </w:tc>
        <w:tc>
          <w:tcPr>
            <w:tcW w:type="dxa" w:w="1120"/>
          </w:tcPr>
          <w:p>
            <w:pPr>
              <w:pStyle w:val="TableCell"/>
              <w:keepNext/>
            </w:pPr>
            <w:r>
              <w:t xml:space="preserve">0.981 ± 0.007</w:t>
            </w:r>
          </w:p>
        </w:tc>
        <w:tc>
          <w:tcPr>
            <w:tcW w:type="dxa" w:w="1245"/>
          </w:tcPr>
          <w:p>
            <w:pPr>
              <w:pStyle w:val="TableCell"/>
              <w:keepNext/>
            </w:pPr>
            <w:r>
              <w:t xml:space="preserve">0.636 ± 0.016</w:t>
            </w:r>
          </w:p>
        </w:tc>
        <w:tc>
          <w:tcPr>
            <w:tcW w:type="dxa" w:w="1245"/>
          </w:tcPr>
          <w:p>
            <w:pPr>
              <w:pStyle w:val="TableCell"/>
              <w:keepNext/>
            </w:pPr>
            <w:r>
              <w:t xml:space="preserve">0.871 ± 0.013</w:t>
            </w:r>
          </w:p>
        </w:tc>
        <w:tc>
          <w:tcPr>
            <w:tcW w:type="dxa" w:w="2170"/>
          </w:tcPr>
          <w:p>
            <w:pPr>
              <w:pStyle w:val="TableCell"/>
              <w:keepNext/>
            </w:pPr>
            <w:r>
              <w:t xml:space="preserve">0.680 ± 0.024</w:t>
            </w:r>
          </w:p>
        </w:tc>
      </w:tr>
      <w:tr>
        <w:tc>
          <w:tcPr>
            <w:tcW w:type="dxa" w:w="1500"/>
          </w:tcPr>
          <w:p>
            <w:pPr>
              <w:pStyle w:val="TableCell"/>
            </w:pPr>
            <w:r>
              <w:t xml:space="preserve">I-CE, LLM-rewritten documents</w:t>
            </w:r>
          </w:p>
        </w:tc>
        <w:tc>
          <w:tcPr>
            <w:tcW w:type="dxa" w:w="1120"/>
          </w:tcPr>
          <w:p>
            <w:pPr>
              <w:pStyle w:val="TableCell"/>
            </w:pPr>
            <w:r>
              <w:t xml:space="preserve">0.914 ± 0.010</w:t>
            </w:r>
          </w:p>
        </w:tc>
        <w:tc>
          <w:tcPr>
            <w:tcW w:type="dxa" w:w="1120"/>
          </w:tcPr>
          <w:p>
            <w:pPr>
              <w:pStyle w:val="TableCell"/>
            </w:pPr>
            <w:r>
              <w:t xml:space="preserve">0.990 ± 0.002</w:t>
            </w:r>
          </w:p>
        </w:tc>
        <w:tc>
          <w:tcPr>
            <w:tcW w:type="dxa" w:w="1245"/>
          </w:tcPr>
          <w:p>
            <w:pPr>
              <w:pStyle w:val="TableCell"/>
            </w:pPr>
            <w:r>
              <w:t xml:space="preserve">0.652 ± 0.023</w:t>
            </w:r>
          </w:p>
        </w:tc>
        <w:tc>
          <w:tcPr>
            <w:tcW w:type="dxa" w:w="1245"/>
          </w:tcPr>
          <w:p>
            <w:pPr>
              <w:pStyle w:val="TableCell"/>
            </w:pPr>
            <w:r>
              <w:t xml:space="preserve">0.882 ± 0.009</w:t>
            </w:r>
          </w:p>
        </w:tc>
        <w:tc>
          <w:tcPr>
            <w:tcW w:type="dxa" w:w="2170"/>
          </w:tcPr>
          <w:p>
            <w:pPr>
              <w:pStyle w:val="TableCell"/>
            </w:pPr>
            <w:r>
              <w:t xml:space="preserve">0.689 ± 0.016</w:t>
            </w:r>
          </w:p>
        </w:tc>
      </w:tr>
    </w:tbl>
    <w:p>
      <w:pPr>
        <w:pStyle w:val="AppendixH1"/>
      </w:pPr>
      <w:r>
        <w:t xml:space="preserve">APPENDIX J: THE WINDOWED TEACHER AND THE WINDOW-SIZE, VICREG, AND TEMPERATURE SWEEPS</w:t>
      </w:r>
    </w:p>
    <w:p>
      <w:pPr>
        <w:pStyle w:val="PostHeadPara"/>
      </w:pPr>
      <w:r>
        <w:t xml:space="preserve">The windowed teacher deferred from Section 4 is specified below, followed by the three sweeps behind design choices. The window-size scan and the VICReg grid are single-split and should be read at the ±0.03 resolution of Section 5; the temperature sweep is five-fold.</w:t>
      </w:r>
    </w:p>
    <w:p>
      <w:pPr>
        <w:pStyle w:val="PostHeadPara"/>
      </w:pPr>
      <w:r>
        <w:t xml:space="preserve">swin-I-CE bounds the fully coupled teacher’s memory ceiling. The catalog is laid out on a ring with a persistent pointer p. Each step runs two micro-passes: micro-pass l ∈ {0, 1} freshly encodes the W = 168 anchors starting at ring position p + l·S (stride S = 84, so consecutive passes overlap by half a window) together with the current batch’s own anchors, forms its own CE partition — every view’s positive sits in the batch block, the window anchors serve as negatives — and backpropagates immediately, freeing the window’s activations before the next pass; the pointer then advances by 2S, sweeping the full catalog every ten steps so that every anchor takes a regular, gradient-coupled turn. Per step this touches about 27% of the gallery with gradient, bounding the gradient-coupled encoding to 22% of the full backward graph (Table A9); the tower, the views, and the invariance term are unchanged. Table A6 quantifies the cost of this variant five-fold; the window-size sweep (W = 84–336) is Table A8.</w:t>
      </w:r>
    </w:p>
    <w:p>
      <w:pPr>
        <w:pStyle w:val="TableCaption"/>
      </w:pPr>
      <w:r>
        <w:t xml:space="preserve">Table A8: The window-size sweep behind the windowed teacher (fixed split, test-set queries (ts) of that split, 4,096-sentence anchors, validation-selected checkpoints; a single anchor draw rather than the ten-draw expectation of the main tables). Coverage counts the training-set anchor packs re-encoded with gradient per step (batch plus the union of the two micro-pass windows). Halving or doubling the window moves nothing beyond single-split noise — the smallest window already holds the plateau, so memory, not coverage, should pick W. Tag readings are the test-set probe of Section 5, recomputed on this split so that they sit on the same scale as the rest of the paper; their spread here is single-split noise, and at fold level swin and full coupling read tags at parity (Table A6, which gives the five-fold account of W = 168).</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swin, W = 84 (step 42, 19.7% coverage)</w:t>
            </w:r>
          </w:p>
        </w:tc>
        <w:tc>
          <w:tcPr>
            <w:tcW w:type="dxa" w:w="1120"/>
          </w:tcPr>
          <w:p>
            <w:pPr>
              <w:pStyle w:val="TableCell"/>
              <w:keepNext/>
            </w:pPr>
            <w:r>
              <w:t xml:space="preserve">0.946</w:t>
            </w:r>
          </w:p>
        </w:tc>
        <w:tc>
          <w:tcPr>
            <w:tcW w:type="dxa" w:w="1120"/>
          </w:tcPr>
          <w:p>
            <w:pPr>
              <w:pStyle w:val="TableCell"/>
              <w:keepNext/>
            </w:pPr>
            <w:r>
              <w:t xml:space="preserve">1.000</w:t>
            </w:r>
          </w:p>
        </w:tc>
        <w:tc>
          <w:tcPr>
            <w:tcW w:type="dxa" w:w="1245"/>
          </w:tcPr>
          <w:p>
            <w:pPr>
              <w:pStyle w:val="TableCell"/>
              <w:keepNext/>
            </w:pPr>
            <w:r>
              <w:t xml:space="preserve">0.691</w:t>
            </w:r>
          </w:p>
        </w:tc>
        <w:tc>
          <w:tcPr>
            <w:tcW w:type="dxa" w:w="1245"/>
          </w:tcPr>
          <w:p>
            <w:pPr>
              <w:pStyle w:val="TableCell"/>
              <w:keepNext/>
            </w:pPr>
            <w:r>
              <w:t xml:space="preserve">0.902</w:t>
            </w:r>
          </w:p>
        </w:tc>
        <w:tc>
          <w:tcPr>
            <w:tcW w:type="dxa" w:w="2170"/>
          </w:tcPr>
          <w:p>
            <w:pPr>
              <w:pStyle w:val="TableCell"/>
              <w:keepNext/>
            </w:pPr>
            <w:r>
              <w:t xml:space="preserve">0.714</w:t>
            </w:r>
          </w:p>
        </w:tc>
      </w:tr>
      <w:tr>
        <w:tc>
          <w:tcPr>
            <w:tcW w:type="dxa" w:w="1500"/>
          </w:tcPr>
          <w:p>
            <w:pPr>
              <w:pStyle w:val="TableCell"/>
              <w:keepNext/>
            </w:pPr>
            <w:r>
              <w:rPr>
                <w:b/>
              </w:rPr>
              <w:t xml:space="preserve">swin, W = 168 (step 84, 27.5% coverage)</w:t>
            </w:r>
          </w:p>
        </w:tc>
        <w:tc>
          <w:tcPr>
            <w:tcW w:type="dxa" w:w="1120"/>
          </w:tcPr>
          <w:p>
            <w:pPr>
              <w:pStyle w:val="TableCell"/>
              <w:keepNext/>
            </w:pPr>
            <w:r>
              <w:rPr>
                <w:b/>
              </w:rPr>
              <w:t xml:space="preserve">0.941</w:t>
            </w:r>
          </w:p>
        </w:tc>
        <w:tc>
          <w:tcPr>
            <w:tcW w:type="dxa" w:w="1120"/>
          </w:tcPr>
          <w:p>
            <w:pPr>
              <w:pStyle w:val="TableCell"/>
              <w:keepNext/>
            </w:pPr>
            <w:r>
              <w:rPr>
                <w:b/>
              </w:rPr>
              <w:t xml:space="preserve">0.995</w:t>
            </w:r>
          </w:p>
        </w:tc>
        <w:tc>
          <w:tcPr>
            <w:tcW w:type="dxa" w:w="1245"/>
          </w:tcPr>
          <w:p>
            <w:pPr>
              <w:pStyle w:val="TableCell"/>
              <w:keepNext/>
            </w:pPr>
            <w:r>
              <w:rPr>
                <w:b/>
              </w:rPr>
              <w:t xml:space="preserve">0.691</w:t>
            </w:r>
          </w:p>
        </w:tc>
        <w:tc>
          <w:tcPr>
            <w:tcW w:type="dxa" w:w="1245"/>
          </w:tcPr>
          <w:p>
            <w:pPr>
              <w:pStyle w:val="TableCell"/>
              <w:keepNext/>
            </w:pPr>
            <w:r>
              <w:rPr>
                <w:b/>
              </w:rPr>
              <w:t xml:space="preserve">0.892</w:t>
            </w:r>
          </w:p>
        </w:tc>
        <w:tc>
          <w:tcPr>
            <w:tcW w:type="dxa" w:w="2170"/>
          </w:tcPr>
          <w:p>
            <w:pPr>
              <w:pStyle w:val="TableCell"/>
              <w:keepNext/>
            </w:pPr>
            <w:r>
              <w:rPr>
                <w:b/>
              </w:rPr>
              <w:t xml:space="preserve">0.704</w:t>
            </w:r>
          </w:p>
        </w:tc>
      </w:tr>
      <w:tr>
        <w:tc>
          <w:tcPr>
            <w:tcW w:type="dxa" w:w="1500"/>
          </w:tcPr>
          <w:p>
            <w:pPr>
              <w:pStyle w:val="TableCell"/>
              <w:keepNext/>
            </w:pPr>
            <w:r>
              <w:t xml:space="preserve">swin, W = 336 (step 168, 43.1% coverage)</w:t>
            </w:r>
          </w:p>
        </w:tc>
        <w:tc>
          <w:tcPr>
            <w:tcW w:type="dxa" w:w="1120"/>
          </w:tcPr>
          <w:p>
            <w:pPr>
              <w:pStyle w:val="TableCell"/>
              <w:keepNext/>
            </w:pPr>
            <w:r>
              <w:t xml:space="preserve">0.941</w:t>
            </w:r>
          </w:p>
        </w:tc>
        <w:tc>
          <w:tcPr>
            <w:tcW w:type="dxa" w:w="1120"/>
          </w:tcPr>
          <w:p>
            <w:pPr>
              <w:pStyle w:val="TableCell"/>
              <w:keepNext/>
            </w:pPr>
            <w:r>
              <w:t xml:space="preserve">1.000</w:t>
            </w:r>
          </w:p>
        </w:tc>
        <w:tc>
          <w:tcPr>
            <w:tcW w:type="dxa" w:w="1245"/>
          </w:tcPr>
          <w:p>
            <w:pPr>
              <w:pStyle w:val="TableCell"/>
              <w:keepNext/>
            </w:pPr>
            <w:r>
              <w:t xml:space="preserve">0.686</w:t>
            </w:r>
          </w:p>
        </w:tc>
        <w:tc>
          <w:tcPr>
            <w:tcW w:type="dxa" w:w="1245"/>
          </w:tcPr>
          <w:p>
            <w:pPr>
              <w:pStyle w:val="TableCell"/>
              <w:keepNext/>
            </w:pPr>
            <w:r>
              <w:t xml:space="preserve">0.897</w:t>
            </w:r>
          </w:p>
        </w:tc>
        <w:tc>
          <w:tcPr>
            <w:tcW w:type="dxa" w:w="2170"/>
          </w:tcPr>
          <w:p>
            <w:pPr>
              <w:pStyle w:val="TableCell"/>
              <w:keepNext/>
            </w:pPr>
            <w:r>
              <w:t xml:space="preserve">0.668</w:t>
            </w:r>
          </w:p>
        </w:tc>
      </w:tr>
      <w:tr>
        <w:tc>
          <w:tcPr>
            <w:tcW w:type="dxa" w:w="1500"/>
          </w:tcPr>
          <w:p>
            <w:pPr>
              <w:pStyle w:val="TableCell"/>
            </w:pPr>
            <w:r>
              <w:rPr>
                <w:b/>
              </w:rPr>
              <w:t xml:space="preserve">I-CE, fully coupled (100% coverage)</w:t>
            </w:r>
          </w:p>
        </w:tc>
        <w:tc>
          <w:tcPr>
            <w:tcW w:type="dxa" w:w="1120"/>
          </w:tcPr>
          <w:p>
            <w:pPr>
              <w:pStyle w:val="TableCell"/>
            </w:pPr>
            <w:r>
              <w:rPr>
                <w:b/>
              </w:rPr>
              <w:t xml:space="preserve">0.951</w:t>
            </w:r>
          </w:p>
        </w:tc>
        <w:tc>
          <w:tcPr>
            <w:tcW w:type="dxa" w:w="1120"/>
          </w:tcPr>
          <w:p>
            <w:pPr>
              <w:pStyle w:val="TableCell"/>
            </w:pPr>
            <w:r>
              <w:rPr>
                <w:b/>
              </w:rPr>
              <w:t xml:space="preserve">1.000</w:t>
            </w:r>
          </w:p>
        </w:tc>
        <w:tc>
          <w:tcPr>
            <w:tcW w:type="dxa" w:w="1245"/>
          </w:tcPr>
          <w:p>
            <w:pPr>
              <w:pStyle w:val="TableCell"/>
            </w:pPr>
            <w:r>
              <w:rPr>
                <w:b/>
              </w:rPr>
              <w:t xml:space="preserve">0.706</w:t>
            </w:r>
          </w:p>
        </w:tc>
        <w:tc>
          <w:tcPr>
            <w:tcW w:type="dxa" w:w="1245"/>
          </w:tcPr>
          <w:p>
            <w:pPr>
              <w:pStyle w:val="TableCell"/>
            </w:pPr>
            <w:r>
              <w:rPr>
                <w:b/>
              </w:rPr>
              <w:t xml:space="preserve">0.917</w:t>
            </w:r>
          </w:p>
        </w:tc>
        <w:tc>
          <w:tcPr>
            <w:tcW w:type="dxa" w:w="2170"/>
          </w:tcPr>
          <w:p>
            <w:pPr>
              <w:pStyle w:val="TableCell"/>
            </w:pPr>
            <w:r>
              <w:rPr>
                <w:b/>
              </w:rPr>
              <w:t xml:space="preserve">0.679</w:t>
            </w:r>
          </w:p>
        </w:tc>
      </w:tr>
    </w:tbl>
    <w:p>
      <w:pPr>
        <w:pStyle w:val="TableCaption"/>
      </w:pPr>
      <w:r>
        <w:t xml:space="preserve">Table A9: What the sliding window bounds. The anchor gallery is the activation ceiling of the fully coupled objective — it re-encodes every training-set anchor pack with gradient at once — whereas swin holds only the batch's own anchors plus one W = 168 window per micro-pass and frees it before the next, so the gradient-coupled encoding at its peak is 360 anchors, 22% of the full graph. Both variants keep the whole catalog resident: swin bounds the activation, not the store, which is why the memory saving is bounded by the persistent ring rather than reaching the full 4.5×. Anchor packs are capped at 4,096 sentences and realized packs are shorter, so the sentence-slot counts are ceilings. Counts are quoted on the fixed split of Appendix J (1,613 training-set games); a five-fold gallery is 1,694 and scales the same way.</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3400"/>
        <w:gridCol w:w="2500"/>
        <w:gridCol w:w="2500"/>
      </w:tblGrid>
      <w:tr>
        <w:tc>
          <w:tcPr>
            <w:tcW w:type="dxa" w:w="3400"/>
          </w:tcPr>
          <w:p>
            <w:pPr>
              <w:pStyle w:val="TableCell"/>
              <w:keepNext/>
            </w:pPr>
            <w:r>
              <w:rPr>
                <w:b/>
              </w:rPr>
            </w:r>
          </w:p>
        </w:tc>
        <w:tc>
          <w:tcPr>
            <w:tcW w:type="dxa" w:w="2500"/>
          </w:tcPr>
          <w:p>
            <w:pPr>
              <w:pStyle w:val="TableCell"/>
              <w:keepNext/>
            </w:pPr>
            <w:r>
              <w:rPr>
                <w:b/>
              </w:rPr>
              <w:t xml:space="preserve">Full-gallery I-CE</w:t>
            </w:r>
          </w:p>
        </w:tc>
        <w:tc>
          <w:tcPr>
            <w:tcW w:type="dxa" w:w="2500"/>
          </w:tcPr>
          <w:p>
            <w:pPr>
              <w:pStyle w:val="TableCell"/>
              <w:keepNext/>
            </w:pPr>
            <w:r>
              <w:rPr>
                <w:b/>
              </w:rPr>
              <w:t xml:space="preserve">swin-I-CE (W = 168)</w:t>
            </w:r>
          </w:p>
        </w:tc>
      </w:tr>
      <w:tr>
        <w:tc>
          <w:tcPr>
            <w:tcW w:type="dxa" w:w="3400"/>
          </w:tcPr>
          <w:p>
            <w:pPr>
              <w:pStyle w:val="TableCell"/>
              <w:keepNext/>
            </w:pPr>
            <w:r>
              <w:rPr>
                <w:b/>
              </w:rPr>
              <w:t xml:space="preserve">Anchors re-encoded with gradient per backward (peak)</w:t>
            </w:r>
          </w:p>
        </w:tc>
        <w:tc>
          <w:tcPr>
            <w:tcW w:type="dxa" w:w="2500"/>
          </w:tcPr>
          <w:p>
            <w:pPr>
              <w:pStyle w:val="TableCell"/>
              <w:keepNext/>
            </w:pPr>
            <w:r>
              <w:t xml:space="preserve">1,613</w:t>
            </w:r>
          </w:p>
        </w:tc>
        <w:tc>
          <w:tcPr>
            <w:tcW w:type="dxa" w:w="2500"/>
          </w:tcPr>
          <w:p>
            <w:pPr>
              <w:pStyle w:val="TableCell"/>
              <w:keepNext/>
            </w:pPr>
            <w:r>
              <w:t xml:space="preserve">360  (192 batch + 168 window)</w:t>
            </w:r>
          </w:p>
        </w:tc>
      </w:tr>
      <w:tr>
        <w:tc>
          <w:tcPr>
            <w:tcW w:type="dxa" w:w="3400"/>
          </w:tcPr>
          <w:p>
            <w:pPr>
              <w:pStyle w:val="TableCell"/>
              <w:keepNext/>
            </w:pPr>
            <w:r>
              <w:rPr>
                <w:b/>
              </w:rPr>
              <w:t xml:space="preserve"> as a fraction of the anchor gallery</w:t>
            </w:r>
          </w:p>
        </w:tc>
        <w:tc>
          <w:tcPr>
            <w:tcW w:type="dxa" w:w="2500"/>
          </w:tcPr>
          <w:p>
            <w:pPr>
              <w:pStyle w:val="TableCell"/>
              <w:keepNext/>
            </w:pPr>
            <w:r>
              <w:t xml:space="preserve">100%</w:t>
            </w:r>
          </w:p>
        </w:tc>
        <w:tc>
          <w:tcPr>
            <w:tcW w:type="dxa" w:w="2500"/>
          </w:tcPr>
          <w:p>
            <w:pPr>
              <w:pStyle w:val="TableCell"/>
              <w:keepNext/>
            </w:pPr>
            <w:r>
              <w:t xml:space="preserve">22%</w:t>
            </w:r>
          </w:p>
        </w:tc>
      </w:tr>
      <w:tr>
        <w:tc>
          <w:tcPr>
            <w:tcW w:type="dxa" w:w="3400"/>
          </w:tcPr>
          <w:p>
            <w:pPr>
              <w:pStyle w:val="TableCell"/>
              <w:keepNext/>
            </w:pPr>
            <w:r>
              <w:rPr>
                <w:b/>
              </w:rPr>
              <w:t xml:space="preserve">Sentence slots in the backward graph (4,096 budget)</w:t>
            </w:r>
          </w:p>
        </w:tc>
        <w:tc>
          <w:tcPr>
            <w:tcW w:type="dxa" w:w="2500"/>
          </w:tcPr>
          <w:p>
            <w:pPr>
              <w:pStyle w:val="TableCell"/>
              <w:keepNext/>
            </w:pPr>
            <w:r>
              <w:t xml:space="preserve">≈ 6.6 M</w:t>
            </w:r>
          </w:p>
        </w:tc>
        <w:tc>
          <w:tcPr>
            <w:tcW w:type="dxa" w:w="2500"/>
          </w:tcPr>
          <w:p>
            <w:pPr>
              <w:pStyle w:val="TableCell"/>
              <w:keepNext/>
            </w:pPr>
            <w:r>
              <w:t xml:space="preserve">≈ 1.5 M</w:t>
            </w:r>
          </w:p>
        </w:tc>
      </w:tr>
      <w:tr>
        <w:tc>
          <w:tcPr>
            <w:tcW w:type="dxa" w:w="3400"/>
          </w:tcPr>
          <w:p>
            <w:pPr>
              <w:pStyle w:val="TableCell"/>
            </w:pPr>
            <w:r>
              <w:rPr>
                <w:b/>
              </w:rPr>
              <w:t xml:space="preserve">Anchor packs held resident (the ring)</w:t>
            </w:r>
          </w:p>
        </w:tc>
        <w:tc>
          <w:tcPr>
            <w:tcW w:type="dxa" w:w="2500"/>
          </w:tcPr>
          <w:p>
            <w:pPr>
              <w:pStyle w:val="TableCell"/>
            </w:pPr>
            <w:r>
              <w:t xml:space="preserve">1,613 (all)</w:t>
            </w:r>
          </w:p>
        </w:tc>
        <w:tc>
          <w:tcPr>
            <w:tcW w:type="dxa" w:w="2500"/>
          </w:tcPr>
          <w:p>
            <w:pPr>
              <w:pStyle w:val="TableCell"/>
            </w:pPr>
            <w:r>
              <w:t xml:space="preserve">1,613 (all)</w:t>
            </w:r>
          </w:p>
        </w:tc>
      </w:tr>
    </w:tbl>
    <w:p>
      <w:pPr>
        <w:pStyle w:val="Para"/>
      </w:pPr>
      <w:r>
        <w:t xml:space="preserve">The VICReg grid below is older than the rest of the protocol: it predates validation selection and its towers were logged only at trajectory peaks, so Table A10 reports each arm's peak Stripped hit@1 and omits tag readings, which cannot be re-scored under the test-set protocol of Section 5.</w:t>
      </w:r>
    </w:p>
    <w:p>
      <w:pPr>
        <w:pStyle w:val="TableCaption"/>
      </w:pPr>
      <w:r>
        <w:t xml:space="preserve">Table A10: The VICReg weight sweep (fixed split, test-set queries (ts) of that split, 512-sentence anchors at evaluation, a single anchor draw; trajectory peaks). All rows use the canonical wiring — variance, invariance, and covariance all on the expander-output pair; the earlier centroid wiring (invariance as an MSE between unit-norm view centroids) collapsed retrieval outright at every view width (hit@1 ≤ 0.03) and is omitted. V/I/C = 20/10/20 is the best cell and the image-domain 25/25/1 trails it. Drawing views for the whole training set per step (batch = all) provides true population moments in the variance term at roughly eight times the step cost; its one completed fold scored within fold noise of the batch-192 recipe (Stripped hit@1 0.387 under the single-draw protocol, against that recipe’s 0.440 ± 0.021 five-fold mean under the averaged-anchor protocol), so the body's five-fold VICReg run (Figure 4) trains at batch 192. I-CE and CE peaks under the same readout anchor the scale.</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993"/>
        <w:gridCol w:w="1347"/>
        <w:gridCol w:w="4060"/>
      </w:tblGrid>
      <w:tr>
        <w:tc>
          <w:tcPr>
            <w:tcW w:type="dxa" w:w="2993"/>
          </w:tcPr>
          <w:p>
            <w:pPr>
              <w:pStyle w:val="TableCell"/>
              <w:keepNext/>
            </w:pPr>
            <w:r>
              <w:rPr>
                <w:b/>
              </w:rPr>
              <w:t xml:space="preserve">Objective</w:t>
            </w:r>
          </w:p>
        </w:tc>
        <w:tc>
          <w:tcPr>
            <w:tcW w:type="dxa" w:w="1347"/>
          </w:tcPr>
          <w:p>
            <w:pPr>
              <w:pStyle w:val="TableCell"/>
              <w:keepNext/>
            </w:pPr>
            <w:r>
              <w:rPr>
                <w:b/>
              </w:rPr>
              <w:t xml:space="preserve">Name hit@1</w:t>
            </w:r>
          </w:p>
        </w:tc>
        <w:tc>
          <w:tcPr>
            <w:tcW w:type="dxa" w:w="4060"/>
          </w:tcPr>
          <w:p>
            <w:pPr>
              <w:pStyle w:val="TableCell"/>
              <w:keepNext/>
            </w:pPr>
            <w:r>
              <w:rPr>
                <w:b/>
              </w:rPr>
              <w:t xml:space="preserve">Stripped hit@1</w:t>
            </w:r>
          </w:p>
        </w:tc>
      </w:tr>
      <w:tr>
        <w:tc>
          <w:tcPr>
            <w:tcW w:type="dxa" w:w="2993"/>
          </w:tcPr>
          <w:p>
            <w:pPr>
              <w:pStyle w:val="TableCell"/>
              <w:keepNext/>
            </w:pPr>
            <w:r>
              <w:t xml:space="preserve">V/I/C = 25/25/1</w:t>
            </w:r>
          </w:p>
        </w:tc>
        <w:tc>
          <w:tcPr>
            <w:tcW w:type="dxa" w:w="1347"/>
          </w:tcPr>
          <w:p>
            <w:pPr>
              <w:pStyle w:val="TableCell"/>
              <w:keepNext/>
            </w:pPr>
            <w:r>
              <w:t xml:space="preserve">0.373</w:t>
            </w:r>
          </w:p>
        </w:tc>
        <w:tc>
          <w:tcPr>
            <w:tcW w:type="dxa" w:w="4060"/>
          </w:tcPr>
          <w:p>
            <w:pPr>
              <w:pStyle w:val="TableCell"/>
              <w:keepNext/>
            </w:pPr>
            <w:r>
              <w:t xml:space="preserve">0.216</w:t>
            </w:r>
          </w:p>
        </w:tc>
      </w:tr>
      <w:tr>
        <w:tc>
          <w:tcPr>
            <w:tcW w:type="dxa" w:w="2993"/>
          </w:tcPr>
          <w:p>
            <w:pPr>
              <w:pStyle w:val="TableCell"/>
              <w:keepNext/>
            </w:pPr>
            <w:r>
              <w:rPr>
                <w:b/>
              </w:rPr>
              <w:t xml:space="preserve">V/I/C = 20/10/20 (recipe weights)</w:t>
            </w:r>
          </w:p>
        </w:tc>
        <w:tc>
          <w:tcPr>
            <w:tcW w:type="dxa" w:w="1347"/>
          </w:tcPr>
          <w:p>
            <w:pPr>
              <w:pStyle w:val="TableCell"/>
              <w:keepNext/>
            </w:pPr>
            <w:r>
              <w:rPr>
                <w:b/>
              </w:rPr>
              <w:t xml:space="preserve">0.578</w:t>
            </w:r>
          </w:p>
        </w:tc>
        <w:tc>
          <w:tcPr>
            <w:tcW w:type="dxa" w:w="4060"/>
          </w:tcPr>
          <w:p>
            <w:pPr>
              <w:pStyle w:val="TableCell"/>
              <w:keepNext/>
            </w:pPr>
            <w:r>
              <w:rPr>
                <w:b/>
              </w:rPr>
              <w:t xml:space="preserve">0.284</w:t>
            </w:r>
          </w:p>
        </w:tc>
      </w:tr>
      <w:tr>
        <w:tc>
          <w:tcPr>
            <w:tcW w:type="dxa" w:w="2993"/>
          </w:tcPr>
          <w:p>
            <w:pPr>
              <w:pStyle w:val="TableCell"/>
              <w:keepNext/>
            </w:pPr>
            <w:r>
              <w:t xml:space="preserve">V/I/C = 20/10/15</w:t>
            </w:r>
          </w:p>
        </w:tc>
        <w:tc>
          <w:tcPr>
            <w:tcW w:type="dxa" w:w="1347"/>
          </w:tcPr>
          <w:p>
            <w:pPr>
              <w:pStyle w:val="TableCell"/>
              <w:keepNext/>
            </w:pPr>
            <w:r>
              <w:t xml:space="preserve">0.574</w:t>
            </w:r>
          </w:p>
        </w:tc>
        <w:tc>
          <w:tcPr>
            <w:tcW w:type="dxa" w:w="4060"/>
          </w:tcPr>
          <w:p>
            <w:pPr>
              <w:pStyle w:val="TableCell"/>
              <w:keepNext/>
            </w:pPr>
            <w:r>
              <w:t xml:space="preserve">0.265</w:t>
            </w:r>
          </w:p>
        </w:tc>
      </w:tr>
      <w:tr>
        <w:tc>
          <w:tcPr>
            <w:tcW w:type="dxa" w:w="2993"/>
          </w:tcPr>
          <w:p>
            <w:pPr>
              <w:pStyle w:val="TableCell"/>
              <w:keepNext/>
            </w:pPr>
            <w:r>
              <w:t xml:space="preserve">25/25/1, batch = all</w:t>
            </w:r>
          </w:p>
        </w:tc>
        <w:tc>
          <w:tcPr>
            <w:tcW w:type="dxa" w:w="1347"/>
          </w:tcPr>
          <w:p>
            <w:pPr>
              <w:pStyle w:val="TableCell"/>
              <w:keepNext/>
            </w:pPr>
            <w:r>
              <w:t xml:space="preserve">0.328</w:t>
            </w:r>
          </w:p>
        </w:tc>
        <w:tc>
          <w:tcPr>
            <w:tcW w:type="dxa" w:w="4060"/>
          </w:tcPr>
          <w:p>
            <w:pPr>
              <w:pStyle w:val="TableCell"/>
              <w:keepNext/>
            </w:pPr>
            <w:r>
              <w:t xml:space="preserve">0.201</w:t>
            </w:r>
          </w:p>
        </w:tc>
      </w:tr>
      <w:tr>
        <w:tc>
          <w:tcPr>
            <w:tcW w:type="dxa" w:w="2993"/>
          </w:tcPr>
          <w:p>
            <w:pPr>
              <w:pStyle w:val="TableCell"/>
              <w:keepNext/>
            </w:pPr>
            <w:r>
              <w:t xml:space="preserve">20/10/20, batch = all</w:t>
            </w:r>
          </w:p>
        </w:tc>
        <w:tc>
          <w:tcPr>
            <w:tcW w:type="dxa" w:w="1347"/>
          </w:tcPr>
          <w:p>
            <w:pPr>
              <w:pStyle w:val="TableCell"/>
              <w:keepNext/>
            </w:pPr>
            <w:r>
              <w:t xml:space="preserve">0.495</w:t>
            </w:r>
          </w:p>
        </w:tc>
        <w:tc>
          <w:tcPr>
            <w:tcW w:type="dxa" w:w="4060"/>
          </w:tcPr>
          <w:p>
            <w:pPr>
              <w:pStyle w:val="TableCell"/>
              <w:keepNext/>
            </w:pPr>
            <w:r>
              <w:t xml:space="preserve">0.250</w:t>
            </w:r>
          </w:p>
        </w:tc>
      </w:tr>
      <w:tr>
        <w:tc>
          <w:tcPr>
            <w:tcW w:type="dxa" w:w="2993"/>
          </w:tcPr>
          <w:p>
            <w:pPr>
              <w:pStyle w:val="TableCell"/>
              <w:keepNext/>
            </w:pPr>
            <w:r>
              <w:rPr>
                <w:b/>
              </w:rPr>
              <w:t xml:space="preserve">I-CE (reference, same readout)</w:t>
            </w:r>
          </w:p>
        </w:tc>
        <w:tc>
          <w:tcPr>
            <w:tcW w:type="dxa" w:w="1347"/>
          </w:tcPr>
          <w:p>
            <w:pPr>
              <w:pStyle w:val="TableCell"/>
              <w:keepNext/>
            </w:pPr>
            <w:r>
              <w:rPr>
                <w:b/>
              </w:rPr>
              <w:t xml:space="preserve">0.926</w:t>
            </w:r>
          </w:p>
        </w:tc>
        <w:tc>
          <w:tcPr>
            <w:tcW w:type="dxa" w:w="4060"/>
          </w:tcPr>
          <w:p>
            <w:pPr>
              <w:pStyle w:val="TableCell"/>
              <w:keepNext/>
            </w:pPr>
            <w:r>
              <w:rPr>
                <w:b/>
              </w:rPr>
              <w:t xml:space="preserve">0.672</w:t>
            </w:r>
          </w:p>
        </w:tc>
      </w:tr>
      <w:tr>
        <w:tc>
          <w:tcPr>
            <w:tcW w:type="dxa" w:w="2993"/>
          </w:tcPr>
          <w:p>
            <w:pPr>
              <w:pStyle w:val="TableCell"/>
            </w:pPr>
            <w:r>
              <w:t xml:space="preserve">CE (reference, same readout)</w:t>
            </w:r>
          </w:p>
        </w:tc>
        <w:tc>
          <w:tcPr>
            <w:tcW w:type="dxa" w:w="1347"/>
          </w:tcPr>
          <w:p>
            <w:pPr>
              <w:pStyle w:val="TableCell"/>
            </w:pPr>
            <w:r>
              <w:t xml:space="preserve">0.922</w:t>
            </w:r>
          </w:p>
        </w:tc>
        <w:tc>
          <w:tcPr>
            <w:tcW w:type="dxa" w:w="4060"/>
          </w:tcPr>
          <w:p>
            <w:pPr>
              <w:pStyle w:val="TableCell"/>
            </w:pPr>
            <w:r>
              <w:t xml:space="preserve">0.618</w:t>
            </w:r>
          </w:p>
        </w:tc>
      </w:tr>
    </w:tbl>
    <w:p>
      <w:pPr>
        <w:pStyle w:val="Para"/>
      </w:pPr>
      <w:r>
        <w:t xml:space="preserve">The temperature sweep, unlike the two scans above, is five-fold and carries the Section 7 verdict directly.</w:t>
      </w:r>
    </w:p>
    <w:p>
      <w:pPr>
        <w:pStyle w:val="TableCaption"/>
      </w:pPr>
      <w:r>
        <w:t xml:space="preserve">Table A11: The temperature sweep behind the Section 7 verdict and the frozen setting of Section 4.2 (test-set queries (ts), five-fold mean ± std at the 512- and 2,048-sentence anchor budgets; the τ = 0.10 cell at 512 has four folds). Among fixed settings τ = 0.02 is retrieval-optimal at both budgets: softening to 0.05/0.10 costs 0.060–0.226 Stripped hit@1, and what it buys is the tag reading — τ = 0.05 lifts it into the negative-light band of Section 6.1 — so on the soft side temperature trades the tag reading against identity. The learnable variant (initialized at 0.02, τ clamped to [0.005, 0.2]) never settles at an interior optimum: in all five folds it sharpens monotonically to the clamp floor within 250 epochs and trains there, an effective fixed τ = 0.005, beating the frozen recipe by 0.010 Stripped hit@1 in five folds of five and by 0.008 on tags — the sharp-side headroom that the frozen-for-comparability setting of Section 4.2 leaves to deployment.</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rPr>
                <w:b/>
              </w:rPr>
              <w:t xml:space="preserve">τ = 0.02 (recipe), 512</w:t>
            </w:r>
          </w:p>
        </w:tc>
        <w:tc>
          <w:tcPr>
            <w:tcW w:type="dxa" w:w="1120"/>
          </w:tcPr>
          <w:p>
            <w:pPr>
              <w:pStyle w:val="TableCell"/>
              <w:keepNext/>
            </w:pPr>
            <w:r>
              <w:rPr>
                <w:b/>
              </w:rPr>
              <w:t xml:space="preserve">0.916 ± 0.009</w:t>
            </w:r>
          </w:p>
        </w:tc>
        <w:tc>
          <w:tcPr>
            <w:tcW w:type="dxa" w:w="1120"/>
          </w:tcPr>
          <w:p>
            <w:pPr>
              <w:pStyle w:val="TableCell"/>
              <w:keepNext/>
            </w:pPr>
            <w:r>
              <w:rPr>
                <w:b/>
              </w:rPr>
              <w:t xml:space="preserve">0.991 ± 0.003</w:t>
            </w:r>
          </w:p>
        </w:tc>
        <w:tc>
          <w:tcPr>
            <w:tcW w:type="dxa" w:w="1245"/>
          </w:tcPr>
          <w:p>
            <w:pPr>
              <w:pStyle w:val="TableCell"/>
              <w:keepNext/>
            </w:pPr>
            <w:r>
              <w:rPr>
                <w:b/>
              </w:rPr>
              <w:t xml:space="preserve">0.644 ± 0.024</w:t>
            </w:r>
          </w:p>
        </w:tc>
        <w:tc>
          <w:tcPr>
            <w:tcW w:type="dxa" w:w="1245"/>
          </w:tcPr>
          <w:p>
            <w:pPr>
              <w:pStyle w:val="TableCell"/>
              <w:keepNext/>
            </w:pPr>
            <w:r>
              <w:rPr>
                <w:b/>
              </w:rPr>
              <w:t xml:space="preserve">0.872 ± 0.010</w:t>
            </w:r>
          </w:p>
        </w:tc>
        <w:tc>
          <w:tcPr>
            <w:tcW w:type="dxa" w:w="2170"/>
          </w:tcPr>
          <w:p>
            <w:pPr>
              <w:pStyle w:val="TableCell"/>
              <w:keepNext/>
            </w:pPr>
            <w:r>
              <w:rPr>
                <w:b/>
              </w:rPr>
              <w:t xml:space="preserve">0.692 ± 0.013</w:t>
            </w:r>
          </w:p>
        </w:tc>
      </w:tr>
      <w:tr>
        <w:tc>
          <w:tcPr>
            <w:tcW w:type="dxa" w:w="1500"/>
          </w:tcPr>
          <w:p>
            <w:pPr>
              <w:pStyle w:val="TableCell"/>
              <w:keepNext/>
            </w:pPr>
            <w:r>
              <w:t xml:space="preserve">τ = 0.05, 512</w:t>
            </w:r>
          </w:p>
        </w:tc>
        <w:tc>
          <w:tcPr>
            <w:tcW w:type="dxa" w:w="1120"/>
          </w:tcPr>
          <w:p>
            <w:pPr>
              <w:pStyle w:val="TableCell"/>
              <w:keepNext/>
            </w:pPr>
            <w:r>
              <w:t xml:space="preserve">0.896 ± 0.017</w:t>
            </w:r>
          </w:p>
        </w:tc>
        <w:tc>
          <w:tcPr>
            <w:tcW w:type="dxa" w:w="1120"/>
          </w:tcPr>
          <w:p>
            <w:pPr>
              <w:pStyle w:val="TableCell"/>
              <w:keepNext/>
            </w:pPr>
            <w:r>
              <w:t xml:space="preserve">0.987 ± 0.007</w:t>
            </w:r>
          </w:p>
        </w:tc>
        <w:tc>
          <w:tcPr>
            <w:tcW w:type="dxa" w:w="1245"/>
          </w:tcPr>
          <w:p>
            <w:pPr>
              <w:pStyle w:val="TableCell"/>
              <w:keepNext/>
            </w:pPr>
            <w:r>
              <w:t xml:space="preserve">0.584 ± 0.021</w:t>
            </w:r>
          </w:p>
        </w:tc>
        <w:tc>
          <w:tcPr>
            <w:tcW w:type="dxa" w:w="1245"/>
          </w:tcPr>
          <w:p>
            <w:pPr>
              <w:pStyle w:val="TableCell"/>
              <w:keepNext/>
            </w:pPr>
            <w:r>
              <w:t xml:space="preserve">0.859 ± 0.014</w:t>
            </w:r>
          </w:p>
        </w:tc>
        <w:tc>
          <w:tcPr>
            <w:tcW w:type="dxa" w:w="2170"/>
          </w:tcPr>
          <w:p>
            <w:pPr>
              <w:pStyle w:val="TableCell"/>
              <w:keepNext/>
            </w:pPr>
            <w:r>
              <w:t xml:space="preserve">0.704 ± 0.017</w:t>
            </w:r>
          </w:p>
        </w:tc>
      </w:tr>
      <w:tr>
        <w:tc>
          <w:tcPr>
            <w:tcW w:type="dxa" w:w="1500"/>
          </w:tcPr>
          <w:p>
            <w:pPr>
              <w:pStyle w:val="TableCell"/>
              <w:keepNext/>
            </w:pPr>
            <w:r>
              <w:t xml:space="preserve">τ = 0.10, 512 (four folds)</w:t>
            </w:r>
          </w:p>
        </w:tc>
        <w:tc>
          <w:tcPr>
            <w:tcW w:type="dxa" w:w="1120"/>
          </w:tcPr>
          <w:p>
            <w:pPr>
              <w:pStyle w:val="TableCell"/>
              <w:keepNext/>
            </w:pPr>
            <w:r>
              <w:t xml:space="preserve">0.828 ± 0.027</w:t>
            </w:r>
          </w:p>
        </w:tc>
        <w:tc>
          <w:tcPr>
            <w:tcW w:type="dxa" w:w="1120"/>
          </w:tcPr>
          <w:p>
            <w:pPr>
              <w:pStyle w:val="TableCell"/>
              <w:keepNext/>
            </w:pPr>
            <w:r>
              <w:t xml:space="preserve">0.956 ± 0.020</w:t>
            </w:r>
          </w:p>
        </w:tc>
        <w:tc>
          <w:tcPr>
            <w:tcW w:type="dxa" w:w="1245"/>
          </w:tcPr>
          <w:p>
            <w:pPr>
              <w:pStyle w:val="TableCell"/>
              <w:keepNext/>
            </w:pPr>
            <w:r>
              <w:t xml:space="preserve">0.490 ± 0.019</w:t>
            </w:r>
          </w:p>
        </w:tc>
        <w:tc>
          <w:tcPr>
            <w:tcW w:type="dxa" w:w="1245"/>
          </w:tcPr>
          <w:p>
            <w:pPr>
              <w:pStyle w:val="TableCell"/>
              <w:keepNext/>
            </w:pPr>
            <w:r>
              <w:t xml:space="preserve">0.770 ± 0.016</w:t>
            </w:r>
          </w:p>
        </w:tc>
        <w:tc>
          <w:tcPr>
            <w:tcW w:type="dxa" w:w="2170"/>
          </w:tcPr>
          <w:p>
            <w:pPr>
              <w:pStyle w:val="TableCell"/>
              <w:keepNext/>
            </w:pPr>
            <w:r>
              <w:t xml:space="preserve">0.701 ± 0.021</w:t>
            </w:r>
          </w:p>
        </w:tc>
      </w:tr>
      <w:tr>
        <w:tc>
          <w:tcPr>
            <w:tcW w:type="dxa" w:w="1500"/>
          </w:tcPr>
          <w:p>
            <w:pPr>
              <w:pStyle w:val="TableCell"/>
              <w:keepNext/>
            </w:pPr>
            <w:r>
              <w:rPr>
                <w:b/>
              </w:rPr>
              <w:t xml:space="preserve">τ = 0.02 (recipe), 2,048</w:t>
            </w:r>
          </w:p>
        </w:tc>
        <w:tc>
          <w:tcPr>
            <w:tcW w:type="dxa" w:w="1120"/>
          </w:tcPr>
          <w:p>
            <w:pPr>
              <w:pStyle w:val="TableCell"/>
              <w:keepNext/>
            </w:pPr>
            <w:r>
              <w:rPr>
                <w:b/>
              </w:rPr>
              <w:t xml:space="preserve">0.947 ± 0.016</w:t>
            </w:r>
          </w:p>
        </w:tc>
        <w:tc>
          <w:tcPr>
            <w:tcW w:type="dxa" w:w="1120"/>
          </w:tcPr>
          <w:p>
            <w:pPr>
              <w:pStyle w:val="TableCell"/>
              <w:keepNext/>
            </w:pPr>
            <w:r>
              <w:rPr>
                <w:b/>
              </w:rPr>
              <w:t xml:space="preserve">0.996 ± 0.003</w:t>
            </w:r>
          </w:p>
        </w:tc>
        <w:tc>
          <w:tcPr>
            <w:tcW w:type="dxa" w:w="1245"/>
          </w:tcPr>
          <w:p>
            <w:pPr>
              <w:pStyle w:val="TableCell"/>
              <w:keepNext/>
            </w:pPr>
            <w:r>
              <w:rPr>
                <w:b/>
              </w:rPr>
              <w:t xml:space="preserve">0.728 ± 0.009</w:t>
            </w:r>
          </w:p>
        </w:tc>
        <w:tc>
          <w:tcPr>
            <w:tcW w:type="dxa" w:w="1245"/>
          </w:tcPr>
          <w:p>
            <w:pPr>
              <w:pStyle w:val="TableCell"/>
              <w:keepNext/>
            </w:pPr>
            <w:r>
              <w:rPr>
                <w:b/>
              </w:rPr>
              <w:t xml:space="preserve">0.918 ± 0.010</w:t>
            </w:r>
          </w:p>
        </w:tc>
        <w:tc>
          <w:tcPr>
            <w:tcW w:type="dxa" w:w="2170"/>
          </w:tcPr>
          <w:p>
            <w:pPr>
              <w:pStyle w:val="TableCell"/>
              <w:keepNext/>
            </w:pPr>
            <w:r>
              <w:rPr>
                <w:b/>
              </w:rPr>
              <w:t xml:space="preserve">0.684 ± 0.013</w:t>
            </w:r>
          </w:p>
        </w:tc>
      </w:tr>
      <w:tr>
        <w:tc>
          <w:tcPr>
            <w:tcW w:type="dxa" w:w="1500"/>
          </w:tcPr>
          <w:p>
            <w:pPr>
              <w:pStyle w:val="TableCell"/>
              <w:keepNext/>
            </w:pPr>
            <w:r>
              <w:t xml:space="preserve">τ = 0.05, 2,048</w:t>
            </w:r>
          </w:p>
        </w:tc>
        <w:tc>
          <w:tcPr>
            <w:tcW w:type="dxa" w:w="1120"/>
          </w:tcPr>
          <w:p>
            <w:pPr>
              <w:pStyle w:val="TableCell"/>
              <w:keepNext/>
            </w:pPr>
            <w:r>
              <w:t xml:space="preserve">0.938 ± 0.018</w:t>
            </w:r>
          </w:p>
        </w:tc>
        <w:tc>
          <w:tcPr>
            <w:tcW w:type="dxa" w:w="1120"/>
          </w:tcPr>
          <w:p>
            <w:pPr>
              <w:pStyle w:val="TableCell"/>
              <w:keepNext/>
            </w:pPr>
            <w:r>
              <w:t xml:space="preserve">0.992 ± 0.004</w:t>
            </w:r>
          </w:p>
        </w:tc>
        <w:tc>
          <w:tcPr>
            <w:tcW w:type="dxa" w:w="1245"/>
          </w:tcPr>
          <w:p>
            <w:pPr>
              <w:pStyle w:val="TableCell"/>
              <w:keepNext/>
            </w:pPr>
            <w:r>
              <w:t xml:space="preserve">0.655 ± 0.027</w:t>
            </w:r>
          </w:p>
        </w:tc>
        <w:tc>
          <w:tcPr>
            <w:tcW w:type="dxa" w:w="1245"/>
          </w:tcPr>
          <w:p>
            <w:pPr>
              <w:pStyle w:val="TableCell"/>
              <w:keepNext/>
            </w:pPr>
            <w:r>
              <w:t xml:space="preserve">0.890 ± 0.015</w:t>
            </w:r>
          </w:p>
        </w:tc>
        <w:tc>
          <w:tcPr>
            <w:tcW w:type="dxa" w:w="2170"/>
          </w:tcPr>
          <w:p>
            <w:pPr>
              <w:pStyle w:val="TableCell"/>
              <w:keepNext/>
            </w:pPr>
            <w:r>
              <w:t xml:space="preserve">0.710 ± 0.015</w:t>
            </w:r>
          </w:p>
        </w:tc>
      </w:tr>
      <w:tr>
        <w:tc>
          <w:tcPr>
            <w:tcW w:type="dxa" w:w="1500"/>
          </w:tcPr>
          <w:p>
            <w:pPr>
              <w:pStyle w:val="TableCell"/>
              <w:keepNext/>
            </w:pPr>
            <w:r>
              <w:t xml:space="preserve">τ = 0.10, 2,048</w:t>
            </w:r>
          </w:p>
        </w:tc>
        <w:tc>
          <w:tcPr>
            <w:tcW w:type="dxa" w:w="1120"/>
          </w:tcPr>
          <w:p>
            <w:pPr>
              <w:pStyle w:val="TableCell"/>
              <w:keepNext/>
            </w:pPr>
            <w:r>
              <w:t xml:space="preserve">0.883 ± 0.032</w:t>
            </w:r>
          </w:p>
        </w:tc>
        <w:tc>
          <w:tcPr>
            <w:tcW w:type="dxa" w:w="1120"/>
          </w:tcPr>
          <w:p>
            <w:pPr>
              <w:pStyle w:val="TableCell"/>
              <w:keepNext/>
            </w:pPr>
            <w:r>
              <w:t xml:space="preserve">0.978 ± 0.014</w:t>
            </w:r>
          </w:p>
        </w:tc>
        <w:tc>
          <w:tcPr>
            <w:tcW w:type="dxa" w:w="1245"/>
          </w:tcPr>
          <w:p>
            <w:pPr>
              <w:pStyle w:val="TableCell"/>
              <w:keepNext/>
            </w:pPr>
            <w:r>
              <w:t xml:space="preserve">0.502 ± 0.012</w:t>
            </w:r>
          </w:p>
        </w:tc>
        <w:tc>
          <w:tcPr>
            <w:tcW w:type="dxa" w:w="1245"/>
          </w:tcPr>
          <w:p>
            <w:pPr>
              <w:pStyle w:val="TableCell"/>
              <w:keepNext/>
            </w:pPr>
            <w:r>
              <w:t xml:space="preserve">0.785 ± 0.012</w:t>
            </w:r>
          </w:p>
        </w:tc>
        <w:tc>
          <w:tcPr>
            <w:tcW w:type="dxa" w:w="2170"/>
          </w:tcPr>
          <w:p>
            <w:pPr>
              <w:pStyle w:val="TableCell"/>
              <w:keepNext/>
            </w:pPr>
            <w:r>
              <w:t xml:space="preserve">0.707 ± 0.015</w:t>
            </w:r>
          </w:p>
        </w:tc>
      </w:tr>
      <w:tr>
        <w:tc>
          <w:tcPr>
            <w:tcW w:type="dxa" w:w="1500"/>
          </w:tcPr>
          <w:p>
            <w:pPr>
              <w:pStyle w:val="TableCell"/>
            </w:pPr>
            <w:r>
              <w:t xml:space="preserve">learnable τ, 2,048</w:t>
            </w:r>
          </w:p>
        </w:tc>
        <w:tc>
          <w:tcPr>
            <w:tcW w:type="dxa" w:w="1120"/>
          </w:tcPr>
          <w:p>
            <w:pPr>
              <w:pStyle w:val="TableCell"/>
            </w:pPr>
            <w:r>
              <w:t xml:space="preserve">0.951 ± 0.008</w:t>
            </w:r>
          </w:p>
        </w:tc>
        <w:tc>
          <w:tcPr>
            <w:tcW w:type="dxa" w:w="1120"/>
          </w:tcPr>
          <w:p>
            <w:pPr>
              <w:pStyle w:val="TableCell"/>
            </w:pPr>
            <w:r>
              <w:t xml:space="preserve">0.995 ± 0.005</w:t>
            </w:r>
          </w:p>
        </w:tc>
        <w:tc>
          <w:tcPr>
            <w:tcW w:type="dxa" w:w="1245"/>
          </w:tcPr>
          <w:p>
            <w:pPr>
              <w:pStyle w:val="TableCell"/>
            </w:pPr>
            <w:r>
              <w:t xml:space="preserve">0.738 ± 0.006</w:t>
            </w:r>
          </w:p>
        </w:tc>
        <w:tc>
          <w:tcPr>
            <w:tcW w:type="dxa" w:w="1245"/>
          </w:tcPr>
          <w:p>
            <w:pPr>
              <w:pStyle w:val="TableCell"/>
            </w:pPr>
            <w:r>
              <w:t xml:space="preserve">0.920 ± 0.015</w:t>
            </w:r>
          </w:p>
        </w:tc>
        <w:tc>
          <w:tcPr>
            <w:tcW w:type="dxa" w:w="2170"/>
          </w:tcPr>
          <w:p>
            <w:pPr>
              <w:pStyle w:val="TableCell"/>
            </w:pPr>
            <w:r>
              <w:t xml:space="preserve">0.693 ± 0.015</w:t>
            </w:r>
          </w:p>
        </w:tc>
      </w:tr>
    </w:tbl>
    <w:p>
      <w:pPr>
        <w:pStyle w:val="AppendixH1"/>
      </w:pPr>
      <w:r>
        <w:t xml:space="preserve">APPENDIX K: THE ANCHOR MUST EXCLUDE THE STRONG VIEWS</w:t>
      </w:r>
    </w:p>
    <w:p>
      <w:pPr>
        <w:pStyle w:val="PostHeadPara"/>
      </w:pPr>
      <w:r>
        <w:t xml:space="preserve">The tag gap of Section 7 invites a softer anchor: if the fixed anchor pack — which never contains the sentences a strong view just read — is what forces the strong view to discard view-specific content, then letting the anchor see those sentences might relax the pressure. We tested exactly this (arm vfa): at every step, each batch game’s anchor pack is opened with the game’s four fresh strong views and the fixed pack fills the remainder, so the anchor pack becomes a superset of the strong view’s evidence; evaluation anchors stay the fixed packs. The result refutes the hypothesis and then some (Table A12). Both retrieval axes collapse — Name hit@1 0.901 → 0.638, Stripped 0.657 → 0.398, zero of five paired folds — and the tag reading falls rather than rises (0.705 → 0.670). The diagnosis is unambiguous: every fold selects the epoch-50 checkpoint, the earliest written, so the tower is already past its best at the first write and degrades monotonically thereafter. The mechanism is positive leakage. Once the anchor vector a_g contains the strong view’s own sentences, the contrastive positive is trivially matched and the softmax stops pushing the strong view to recognize the game from anything else; at evaluation the anchor reverts to the fixed pack the strong view never learned to key on, and identity — with the tag geometry that rides on it — is gone. The anchor must be content the strong view cannot see: this isolation is what lets contrast manufacture identity, and the tag gap is its intrinsic price, not a free lunch a softer anchor can recover.</w:t>
      </w:r>
    </w:p>
    <w:p>
      <w:pPr>
        <w:pStyle w:val="TableCaption"/>
      </w:pPr>
      <w:r>
        <w:t xml:space="preserve">Table A12: Views-first anchors (vfa), a softer anchor that fails. Each batch game’s anchor pack is opened with the strong view’s own four views before the fixed pack; five-fold @512 (test-set queries (ts), a single anchor draw per fold) against the identical-split I-CE reference. Retrieval collapses on both axes (zero of five paired folds) and the tag reading does not rise; every fold selects the epoch-50 checkpoint. The TAG column is the review-probe reading (the @512 references predate the held-out test-set probe), consistent within this table. Both rows also predate the selection rule of Section 5 and share the earlier criterion, so the comparison is internal to the table; the collapse it reports is not a selection artifact, since every fold of the softer anchor picks its earliest checkpoint and degrades from there.</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993"/>
        <w:gridCol w:w="1347"/>
        <w:gridCol w:w="1459"/>
        <w:gridCol w:w="2601"/>
      </w:tblGrid>
      <w:tr>
        <w:tc>
          <w:tcPr>
            <w:tcW w:type="dxa" w:w="2993"/>
          </w:tcPr>
          <w:p>
            <w:pPr>
              <w:pStyle w:val="TableCell"/>
              <w:keepNext/>
            </w:pPr>
            <w:r>
              <w:rPr>
                <w:b/>
              </w:rPr>
              <w:t xml:space="preserve">Objective</w:t>
            </w:r>
          </w:p>
        </w:tc>
        <w:tc>
          <w:tcPr>
            <w:tcW w:type="dxa" w:w="1347"/>
          </w:tcPr>
          <w:p>
            <w:pPr>
              <w:pStyle w:val="TableCell"/>
              <w:keepNext/>
            </w:pPr>
            <w:r>
              <w:rPr>
                <w:b/>
              </w:rPr>
              <w:t xml:space="preserve">Name hit@1</w:t>
            </w:r>
          </w:p>
        </w:tc>
        <w:tc>
          <w:tcPr>
            <w:tcW w:type="dxa" w:w="1459"/>
          </w:tcPr>
          <w:p>
            <w:pPr>
              <w:pStyle w:val="TableCell"/>
              <w:keepNext/>
            </w:pPr>
            <w:r>
              <w:rPr>
                <w:b/>
              </w:rPr>
              <w:t xml:space="preserve">Stripped hit@1</w:t>
            </w:r>
          </w:p>
        </w:tc>
        <w:tc>
          <w:tcPr>
            <w:tcW w:type="dxa" w:w="2601"/>
          </w:tcPr>
          <w:p>
            <w:pPr>
              <w:pStyle w:val="TableCell"/>
              <w:keepNext/>
            </w:pPr>
            <w:r>
              <w:rPr>
                <w:b/>
              </w:rPr>
              <w:t xml:space="preserve">TAG F1</w:t>
            </w:r>
          </w:p>
        </w:tc>
      </w:tr>
      <w:tr>
        <w:tc>
          <w:tcPr>
            <w:tcW w:type="dxa" w:w="2993"/>
          </w:tcPr>
          <w:p>
            <w:pPr>
              <w:pStyle w:val="TableCell"/>
              <w:keepNext/>
            </w:pPr>
            <w:r>
              <w:t xml:space="preserve">Views-first anchors (vfa) @512</w:t>
            </w:r>
          </w:p>
        </w:tc>
        <w:tc>
          <w:tcPr>
            <w:tcW w:type="dxa" w:w="1347"/>
          </w:tcPr>
          <w:p>
            <w:pPr>
              <w:pStyle w:val="TableCell"/>
              <w:keepNext/>
            </w:pPr>
            <w:r>
              <w:t xml:space="preserve">0.638 ± 0.055</w:t>
            </w:r>
          </w:p>
        </w:tc>
        <w:tc>
          <w:tcPr>
            <w:tcW w:type="dxa" w:w="1459"/>
          </w:tcPr>
          <w:p>
            <w:pPr>
              <w:pStyle w:val="TableCell"/>
              <w:keepNext/>
            </w:pPr>
            <w:r>
              <w:t xml:space="preserve">0.398 ± 0.041</w:t>
            </w:r>
          </w:p>
        </w:tc>
        <w:tc>
          <w:tcPr>
            <w:tcW w:type="dxa" w:w="2601"/>
          </w:tcPr>
          <w:p>
            <w:pPr>
              <w:pStyle w:val="TableCell"/>
              <w:keepNext/>
            </w:pPr>
            <w:r>
              <w:t xml:space="preserve">0.670 ± 0.021</w:t>
            </w:r>
          </w:p>
        </w:tc>
      </w:tr>
      <w:tr>
        <w:tc>
          <w:tcPr>
            <w:tcW w:type="dxa" w:w="2993"/>
          </w:tcPr>
          <w:p>
            <w:pPr>
              <w:pStyle w:val="TableCell"/>
            </w:pPr>
            <w:r>
              <w:t xml:space="preserve">I-CE (reference, same split) @512</w:t>
            </w:r>
          </w:p>
        </w:tc>
        <w:tc>
          <w:tcPr>
            <w:tcW w:type="dxa" w:w="1347"/>
          </w:tcPr>
          <w:p>
            <w:pPr>
              <w:pStyle w:val="TableCell"/>
            </w:pPr>
            <w:r>
              <w:t xml:space="preserve">0.901 ± 0.021</w:t>
            </w:r>
          </w:p>
        </w:tc>
        <w:tc>
          <w:tcPr>
            <w:tcW w:type="dxa" w:w="1459"/>
          </w:tcPr>
          <w:p>
            <w:pPr>
              <w:pStyle w:val="TableCell"/>
            </w:pPr>
            <w:r>
              <w:t xml:space="preserve">0.657 ± 0.028</w:t>
            </w:r>
          </w:p>
        </w:tc>
        <w:tc>
          <w:tcPr>
            <w:tcW w:type="dxa" w:w="2601"/>
          </w:tcPr>
          <w:p>
            <w:pPr>
              <w:pStyle w:val="TableCell"/>
            </w:pPr>
            <w:r>
              <w:t xml:space="preserve">0.705 ± 0.015</w:t>
            </w:r>
          </w:p>
        </w:tc>
      </w:tr>
    </w:tbl>
    <w:p>
      <w:pPr>
        <w:pStyle w:val="AppendixH1"/>
      </w:pPr>
      <w:r>
        <w:t xml:space="preserve">APPENDIX L: THE TWO ANCHOR-READING REGIMES</w:t>
      </w:r>
    </w:p>
    <w:p>
      <w:pPr>
        <w:pStyle w:val="PostHeadPara"/>
      </w:pPr>
      <w:r>
        <w:t xml:space="preserve">Anchor packs are drawn, not given: a game's reviews far exceed the 4,096-sentence cap, so each pack is one sample of the game's material (Section 5). This appendix reports every headline tower under both readings of ten such draws. Table A13 is the single-source reading the body uses; Table A14 pools the ten encodings into one index vector first. The ordering of methods, the sign of every paired comparison, and the size of the identity/semantics trade are identical in the two tables; what pooling changes is at most 0.008 Stripped hit@1, on the tower that gains most from averaging its draws.</w:t>
      </w:r>
    </w:p>
    <w:p>
      <w:pPr>
        <w:pStyle w:val="TableCaption"/>
      </w:pPr>
      <w:r>
        <w:t xml:space="preserve">Table A13: The single-source reading — each of the ten anchor packs is scored on its own and the scores are averaged (five-fold mean ± std, test-set queries (ts), 4,096-sentence anchors). This is the protocol of every table in the body, reproduced here for comparison with Table A14.</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(ours)</w:t>
            </w:r>
          </w:p>
        </w:tc>
        <w:tc>
          <w:tcPr>
            <w:tcW w:type="dxa" w:w="1120"/>
          </w:tcPr>
          <w:p>
            <w:pPr>
              <w:pStyle w:val="TableCell"/>
              <w:keepNext/>
            </w:pPr>
            <w:r>
              <w:t xml:space="preserve">0.954 ± 0.013</w:t>
            </w:r>
          </w:p>
        </w:tc>
        <w:tc>
          <w:tcPr>
            <w:tcW w:type="dxa" w:w="1120"/>
          </w:tcPr>
          <w:p>
            <w:pPr>
              <w:pStyle w:val="TableCell"/>
              <w:keepNext/>
            </w:pPr>
            <w:r>
              <w:t xml:space="preserve">0.997 ± 0.004</w:t>
            </w:r>
          </w:p>
        </w:tc>
        <w:tc>
          <w:tcPr>
            <w:tcW w:type="dxa" w:w="1245"/>
          </w:tcPr>
          <w:p>
            <w:pPr>
              <w:pStyle w:val="TableCell"/>
              <w:keepNext/>
            </w:pPr>
            <w:r>
              <w:t xml:space="preserve">0.741 ± 0.018</w:t>
            </w:r>
          </w:p>
        </w:tc>
        <w:tc>
          <w:tcPr>
            <w:tcW w:type="dxa" w:w="1245"/>
          </w:tcPr>
          <w:p>
            <w:pPr>
              <w:pStyle w:val="TableCell"/>
              <w:keepNext/>
            </w:pPr>
            <w:r>
              <w:t xml:space="preserve">0.928 ± 0.020</w:t>
            </w:r>
          </w:p>
        </w:tc>
        <w:tc>
          <w:tcPr>
            <w:tcW w:type="dxa" w:w="2170"/>
          </w:tcPr>
          <w:p>
            <w:pPr>
              <w:pStyle w:val="TableCell"/>
              <w:keepNext/>
            </w:pPr>
            <w:r>
              <w:t xml:space="preserve">0.685 ± 0.019</w:t>
            </w:r>
          </w:p>
        </w:tc>
      </w:tr>
      <w:tr>
        <w:tc>
          <w:tcPr>
            <w:tcW w:type="dxa" w:w="1500"/>
          </w:tcPr>
          <w:p>
            <w:pPr>
              <w:pStyle w:val="TableCell"/>
              <w:keepNext/>
            </w:pPr>
            <w:r>
              <w:t xml:space="preserve">swin-I-CE (~27% gradient window)</w:t>
            </w:r>
          </w:p>
        </w:tc>
        <w:tc>
          <w:tcPr>
            <w:tcW w:type="dxa" w:w="1120"/>
          </w:tcPr>
          <w:p>
            <w:pPr>
              <w:pStyle w:val="TableCell"/>
              <w:keepNext/>
            </w:pPr>
            <w:r>
              <w:t xml:space="preserve">0.934 ± 0.014</w:t>
            </w:r>
          </w:p>
        </w:tc>
        <w:tc>
          <w:tcPr>
            <w:tcW w:type="dxa" w:w="1120"/>
          </w:tcPr>
          <w:p>
            <w:pPr>
              <w:pStyle w:val="TableCell"/>
              <w:keepNext/>
            </w:pPr>
            <w:r>
              <w:t xml:space="preserve">0.994 ± 0.004</w:t>
            </w:r>
          </w:p>
        </w:tc>
        <w:tc>
          <w:tcPr>
            <w:tcW w:type="dxa" w:w="1245"/>
          </w:tcPr>
          <w:p>
            <w:pPr>
              <w:pStyle w:val="TableCell"/>
              <w:keepNext/>
            </w:pPr>
            <w:r>
              <w:t xml:space="preserve">0.709 ± 0.027</w:t>
            </w:r>
          </w:p>
        </w:tc>
        <w:tc>
          <w:tcPr>
            <w:tcW w:type="dxa" w:w="1245"/>
          </w:tcPr>
          <w:p>
            <w:pPr>
              <w:pStyle w:val="TableCell"/>
              <w:keepNext/>
            </w:pPr>
            <w:r>
              <w:t xml:space="preserve">0.922 ± 0.010</w:t>
            </w:r>
          </w:p>
        </w:tc>
        <w:tc>
          <w:tcPr>
            <w:tcW w:type="dxa" w:w="2170"/>
          </w:tcPr>
          <w:p>
            <w:pPr>
              <w:pStyle w:val="TableCell"/>
              <w:keepNext/>
            </w:pPr>
            <w:r>
              <w:t xml:space="preserve">0.691 ± 0.014</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0.930 ± 0.011</w:t>
            </w:r>
          </w:p>
        </w:tc>
        <w:tc>
          <w:tcPr>
            <w:tcW w:type="dxa" w:w="1120"/>
          </w:tcPr>
          <w:p>
            <w:pPr>
              <w:pStyle w:val="TableCell"/>
              <w:keepNext/>
            </w:pPr>
            <w:r>
              <w:t xml:space="preserve">0.991 ± 0.008</w:t>
            </w:r>
          </w:p>
        </w:tc>
        <w:tc>
          <w:tcPr>
            <w:tcW w:type="dxa" w:w="1245"/>
          </w:tcPr>
          <w:p>
            <w:pPr>
              <w:pStyle w:val="TableCell"/>
              <w:keepNext/>
            </w:pPr>
            <w:r>
              <w:t xml:space="preserve">0.709 ± 0.019</w:t>
            </w:r>
          </w:p>
        </w:tc>
        <w:tc>
          <w:tcPr>
            <w:tcW w:type="dxa" w:w="1245"/>
          </w:tcPr>
          <w:p>
            <w:pPr>
              <w:pStyle w:val="TableCell"/>
              <w:keepNext/>
            </w:pPr>
            <w:r>
              <w:t xml:space="preserve">0.917 ± 0.005</w:t>
            </w:r>
          </w:p>
        </w:tc>
        <w:tc>
          <w:tcPr>
            <w:tcW w:type="dxa" w:w="2170"/>
          </w:tcPr>
          <w:p>
            <w:pPr>
              <w:pStyle w:val="TableCell"/>
              <w:keepNext/>
            </w:pPr>
            <w:r>
              <w:t xml:space="preserve">0.705 ± 0.022</w:t>
            </w:r>
          </w:p>
        </w:tc>
      </w:tr>
      <w:tr>
        <w:tc>
          <w:tcPr>
            <w:tcW w:type="dxa" w:w="1500"/>
          </w:tcPr>
          <w:p>
            <w:pPr>
              <w:pStyle w:val="TableCell"/>
              <w:keepNext/>
            </w:pPr>
            <w:r>
              <w:t xml:space="preserve">CE (contrast only)</w:t>
            </w:r>
          </w:p>
        </w:tc>
        <w:tc>
          <w:tcPr>
            <w:tcW w:type="dxa" w:w="1120"/>
          </w:tcPr>
          <w:p>
            <w:pPr>
              <w:pStyle w:val="TableCell"/>
              <w:keepNext/>
            </w:pPr>
            <w:r>
              <w:t xml:space="preserve">0.938 ± 0.013</w:t>
            </w:r>
          </w:p>
        </w:tc>
        <w:tc>
          <w:tcPr>
            <w:tcW w:type="dxa" w:w="1120"/>
          </w:tcPr>
          <w:p>
            <w:pPr>
              <w:pStyle w:val="TableCell"/>
              <w:keepNext/>
            </w:pPr>
            <w:r>
              <w:t xml:space="preserve">0.988 ± 0.010</w:t>
            </w:r>
          </w:p>
        </w:tc>
        <w:tc>
          <w:tcPr>
            <w:tcW w:type="dxa" w:w="1245"/>
          </w:tcPr>
          <w:p>
            <w:pPr>
              <w:pStyle w:val="TableCell"/>
              <w:keepNext/>
            </w:pPr>
            <w:r>
              <w:t xml:space="preserve">0.673 ± 0.014</w:t>
            </w:r>
          </w:p>
        </w:tc>
        <w:tc>
          <w:tcPr>
            <w:tcW w:type="dxa" w:w="1245"/>
          </w:tcPr>
          <w:p>
            <w:pPr>
              <w:pStyle w:val="TableCell"/>
              <w:keepNext/>
            </w:pPr>
            <w:r>
              <w:t xml:space="preserve">0.889 ± 0.011</w:t>
            </w:r>
          </w:p>
        </w:tc>
        <w:tc>
          <w:tcPr>
            <w:tcW w:type="dxa" w:w="2170"/>
          </w:tcPr>
          <w:p>
            <w:pPr>
              <w:pStyle w:val="TableCell"/>
              <w:keepNext/>
            </w:pPr>
            <w:r>
              <w:t xml:space="preserve">0.664 ± 0.016</w:t>
            </w:r>
          </w:p>
        </w:tc>
      </w:tr>
      <w:tr>
        <w:tc>
          <w:tcPr>
            <w:tcW w:type="dxa" w:w="1500"/>
          </w:tcPr>
          <w:p>
            <w:pPr>
              <w:pStyle w:val="TableCell"/>
              <w:keepNext/>
            </w:pPr>
            <w:r>
              <w:t xml:space="preserve">SimCLR-style (in-batch views)</w:t>
            </w:r>
          </w:p>
        </w:tc>
        <w:tc>
          <w:tcPr>
            <w:tcW w:type="dxa" w:w="1120"/>
          </w:tcPr>
          <w:p>
            <w:pPr>
              <w:pStyle w:val="TableCell"/>
              <w:keepNext/>
            </w:pPr>
            <w:r>
              <w:t xml:space="preserve">0.918 ± 0.024</w:t>
            </w:r>
          </w:p>
        </w:tc>
        <w:tc>
          <w:tcPr>
            <w:tcW w:type="dxa" w:w="1120"/>
          </w:tcPr>
          <w:p>
            <w:pPr>
              <w:pStyle w:val="TableCell"/>
              <w:keepNext/>
            </w:pPr>
            <w:r>
              <w:t xml:space="preserve">0.990 ± 0.007</w:t>
            </w:r>
          </w:p>
        </w:tc>
        <w:tc>
          <w:tcPr>
            <w:tcW w:type="dxa" w:w="1245"/>
          </w:tcPr>
          <w:p>
            <w:pPr>
              <w:pStyle w:val="TableCell"/>
              <w:keepNext/>
            </w:pPr>
            <w:r>
              <w:t xml:space="preserve">0.632 ± 0.029</w:t>
            </w:r>
          </w:p>
        </w:tc>
        <w:tc>
          <w:tcPr>
            <w:tcW w:type="dxa" w:w="1245"/>
          </w:tcPr>
          <w:p>
            <w:pPr>
              <w:pStyle w:val="TableCell"/>
              <w:keepNext/>
            </w:pPr>
            <w:r>
              <w:t xml:space="preserve">0.882 ± 0.022</w:t>
            </w:r>
          </w:p>
        </w:tc>
        <w:tc>
          <w:tcPr>
            <w:tcW w:type="dxa" w:w="2170"/>
          </w:tcPr>
          <w:p>
            <w:pPr>
              <w:pStyle w:val="TableCell"/>
              <w:keepNext/>
            </w:pPr>
            <w:r>
              <w:t xml:space="preserve">0.707 ± 0.019</w:t>
            </w:r>
          </w:p>
        </w:tc>
      </w:tr>
      <w:tr>
        <w:tc>
          <w:tcPr>
            <w:tcW w:type="dxa" w:w="1500"/>
          </w:tcPr>
          <w:p>
            <w:pPr>
              <w:pStyle w:val="TableCell"/>
              <w:keepNext/>
            </w:pPr>
            <w:r>
              <w:t xml:space="preserve">I-CE (EMA + memory bank)</w:t>
            </w:r>
          </w:p>
        </w:tc>
        <w:tc>
          <w:tcPr>
            <w:tcW w:type="dxa" w:w="1120"/>
          </w:tcPr>
          <w:p>
            <w:pPr>
              <w:pStyle w:val="TableCell"/>
              <w:keepNext/>
            </w:pPr>
            <w:r>
              <w:t xml:space="preserve">0.936 ± 0.010</w:t>
            </w:r>
          </w:p>
        </w:tc>
        <w:tc>
          <w:tcPr>
            <w:tcW w:type="dxa" w:w="1120"/>
          </w:tcPr>
          <w:p>
            <w:pPr>
              <w:pStyle w:val="TableCell"/>
              <w:keepNext/>
            </w:pPr>
            <w:r>
              <w:t xml:space="preserve">0.991 ± 0.007</w:t>
            </w:r>
          </w:p>
        </w:tc>
        <w:tc>
          <w:tcPr>
            <w:tcW w:type="dxa" w:w="1245"/>
          </w:tcPr>
          <w:p>
            <w:pPr>
              <w:pStyle w:val="TableCell"/>
              <w:keepNext/>
            </w:pPr>
            <w:r>
              <w:t xml:space="preserve">0.636 ± 0.016</w:t>
            </w:r>
          </w:p>
        </w:tc>
        <w:tc>
          <w:tcPr>
            <w:tcW w:type="dxa" w:w="1245"/>
          </w:tcPr>
          <w:p>
            <w:pPr>
              <w:pStyle w:val="TableCell"/>
              <w:keepNext/>
            </w:pPr>
            <w:r>
              <w:t xml:space="preserve">0.881 ± 0.016</w:t>
            </w:r>
          </w:p>
        </w:tc>
        <w:tc>
          <w:tcPr>
            <w:tcW w:type="dxa" w:w="2170"/>
          </w:tcPr>
          <w:p>
            <w:pPr>
              <w:pStyle w:val="TableCell"/>
              <w:keepNext/>
            </w:pPr>
            <w:r>
              <w:t xml:space="preserve">0.711 ± 0.016</w:t>
            </w:r>
          </w:p>
        </w:tc>
      </w:tr>
      <w:tr>
        <w:tc>
          <w:tcPr>
            <w:tcW w:type="dxa" w:w="1500"/>
          </w:tcPr>
          <w:p>
            <w:pPr>
              <w:pStyle w:val="TableCell"/>
              <w:keepNext/>
            </w:pPr>
            <w:r>
              <w:t xml:space="preserve">VICReg (expander wiring, v/i/c = 20/10/20)</w:t>
            </w:r>
          </w:p>
        </w:tc>
        <w:tc>
          <w:tcPr>
            <w:tcW w:type="dxa" w:w="1120"/>
          </w:tcPr>
          <w:p>
            <w:pPr>
              <w:pStyle w:val="TableCell"/>
              <w:keepNext/>
            </w:pPr>
            <w:r>
              <w:t xml:space="preserve">0.823 ± 0.010</w:t>
            </w:r>
          </w:p>
        </w:tc>
        <w:tc>
          <w:tcPr>
            <w:tcW w:type="dxa" w:w="1120"/>
          </w:tcPr>
          <w:p>
            <w:pPr>
              <w:pStyle w:val="TableCell"/>
              <w:keepNext/>
            </w:pPr>
            <w:r>
              <w:t xml:space="preserve">0.960 ± 0.016</w:t>
            </w:r>
          </w:p>
        </w:tc>
        <w:tc>
          <w:tcPr>
            <w:tcW w:type="dxa" w:w="1245"/>
          </w:tcPr>
          <w:p>
            <w:pPr>
              <w:pStyle w:val="TableCell"/>
              <w:keepNext/>
            </w:pPr>
            <w:r>
              <w:t xml:space="preserve">0.451 ± 0.017</w:t>
            </w:r>
          </w:p>
        </w:tc>
        <w:tc>
          <w:tcPr>
            <w:tcW w:type="dxa" w:w="1245"/>
          </w:tcPr>
          <w:p>
            <w:pPr>
              <w:pStyle w:val="TableCell"/>
              <w:keepNext/>
            </w:pPr>
            <w:r>
              <w:t xml:space="preserve">0.729 ± 0.033</w:t>
            </w:r>
          </w:p>
        </w:tc>
        <w:tc>
          <w:tcPr>
            <w:tcW w:type="dxa" w:w="2170"/>
          </w:tcPr>
          <w:p>
            <w:pPr>
              <w:pStyle w:val="TableCell"/>
              <w:keepNext/>
            </w:pPr>
            <w:r>
              <w:t xml:space="preserve">0.708 ± 0.022</w:t>
            </w:r>
          </w:p>
        </w:tc>
      </w:tr>
      <w:tr>
        <w:tc>
          <w:tcPr>
            <w:tcW w:type="dxa" w:w="1500"/>
          </w:tcPr>
          <w:p>
            <w:pPr>
              <w:pStyle w:val="TableCell"/>
              <w:keepNext/>
            </w:pPr>
            <w:r>
              <w:t xml:space="preserve">BYOL</w:t>
            </w:r>
          </w:p>
        </w:tc>
        <w:tc>
          <w:tcPr>
            <w:tcW w:type="dxa" w:w="1120"/>
          </w:tcPr>
          <w:p>
            <w:pPr>
              <w:pStyle w:val="TableCell"/>
              <w:keepNext/>
            </w:pPr>
            <w:r>
              <w:t xml:space="preserve">0.441 ± 0.033</w:t>
            </w:r>
          </w:p>
        </w:tc>
        <w:tc>
          <w:tcPr>
            <w:tcW w:type="dxa" w:w="1120"/>
          </w:tcPr>
          <w:p>
            <w:pPr>
              <w:pStyle w:val="TableCell"/>
              <w:keepNext/>
            </w:pPr>
            <w:r>
              <w:t xml:space="preserve">0.737 ± 0.026</w:t>
            </w:r>
          </w:p>
        </w:tc>
        <w:tc>
          <w:tcPr>
            <w:tcW w:type="dxa" w:w="1245"/>
          </w:tcPr>
          <w:p>
            <w:pPr>
              <w:pStyle w:val="TableCell"/>
              <w:keepNext/>
            </w:pPr>
            <w:r>
              <w:t xml:space="preserve">0.284 ± 0.017</w:t>
            </w:r>
          </w:p>
        </w:tc>
        <w:tc>
          <w:tcPr>
            <w:tcW w:type="dxa" w:w="1245"/>
          </w:tcPr>
          <w:p>
            <w:pPr>
              <w:pStyle w:val="TableCell"/>
              <w:keepNext/>
            </w:pPr>
            <w:r>
              <w:t xml:space="preserve">0.553 ± 0.043</w:t>
            </w:r>
          </w:p>
        </w:tc>
        <w:tc>
          <w:tcPr>
            <w:tcW w:type="dxa" w:w="2170"/>
          </w:tcPr>
          <w:p>
            <w:pPr>
              <w:pStyle w:val="TableCell"/>
              <w:keepNext/>
            </w:pPr>
            <w:r>
              <w:t xml:space="preserve">0.712 ± 0.017</w:t>
            </w:r>
          </w:p>
        </w:tc>
      </w:tr>
      <w:tr>
        <w:tc>
          <w:tcPr>
            <w:tcW w:type="dxa" w:w="1500"/>
          </w:tcPr>
          <w:p>
            <w:pPr>
              <w:pStyle w:val="TableCell"/>
            </w:pPr>
            <w:r>
              <w:t xml:space="preserve">Frozen embedder (mean pool)</w:t>
            </w:r>
          </w:p>
        </w:tc>
        <w:tc>
          <w:tcPr>
            <w:tcW w:type="dxa" w:w="1120"/>
          </w:tcPr>
          <w:p>
            <w:pPr>
              <w:pStyle w:val="TableCell"/>
            </w:pPr>
            <w:r>
              <w:t xml:space="preserve">0.425 ± 0.033</w:t>
            </w:r>
          </w:p>
        </w:tc>
        <w:tc>
          <w:tcPr>
            <w:tcW w:type="dxa" w:w="1120"/>
          </w:tcPr>
          <w:p>
            <w:pPr>
              <w:pStyle w:val="TableCell"/>
            </w:pPr>
            <w:r>
              <w:t xml:space="preserve">0.626 ± 0.014</w:t>
            </w:r>
          </w:p>
        </w:tc>
        <w:tc>
          <w:tcPr>
            <w:tcW w:type="dxa" w:w="1245"/>
          </w:tcPr>
          <w:p>
            <w:pPr>
              <w:pStyle w:val="TableCell"/>
            </w:pPr>
            <w:r>
              <w:t xml:space="preserve">0.209 ± 0.020</w:t>
            </w:r>
          </w:p>
        </w:tc>
        <w:tc>
          <w:tcPr>
            <w:tcW w:type="dxa" w:w="1245"/>
          </w:tcPr>
          <w:p>
            <w:pPr>
              <w:pStyle w:val="TableCell"/>
            </w:pPr>
            <w:r>
              <w:t xml:space="preserve">0.380 ± 0.031</w:t>
            </w:r>
          </w:p>
        </w:tc>
        <w:tc>
          <w:tcPr>
            <w:tcW w:type="dxa" w:w="2170"/>
          </w:tcPr>
          <w:p>
            <w:pPr>
              <w:pStyle w:val="TableCell"/>
            </w:pPr>
            <w:r>
              <w:t xml:space="preserve">0.588 ± 0.009</w:t>
            </w:r>
          </w:p>
        </w:tc>
      </w:tr>
    </w:tbl>
    <w:p>
      <w:pPr>
        <w:pStyle w:val="TableCaption"/>
      </w:pPr>
      <w:r>
        <w:t xml:space="preserve">Table A14: The merged-index reading — the ten anchor encodings are averaged into one index vector per game before scoring (same towers, folds and test-set queries (ts) as Table A13). Pooling adds at most 0.008 Stripped hit@1 and no method changes rank.</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2170"/>
      </w:tblGrid>
      <w:tr>
        <w:tc>
          <w:tcPr>
            <w:tcW w:type="dxa" w:w="1500"/>
          </w:tcPr>
          <w:p>
            <w:pPr>
              <w:pStyle w:val="TableCell"/>
              <w:keepNext/>
            </w:pPr>
            <w:r>
              <w:rPr>
                <w:b/>
              </w:rPr>
              <w:t xml:space="preserve">Objective</w:t>
            </w:r>
          </w:p>
        </w:tc>
        <w:tc>
          <w:tcPr>
            <w:tcW w:type="dxa" w:w="1120"/>
          </w:tcPr>
          <w:p>
            <w:pPr>
              <w:pStyle w:val="TableCell"/>
              <w:keepNext/>
            </w:pPr>
            <w:r>
              <w:rPr>
                <w:b/>
              </w:rPr>
              <w:t xml:space="preserve">Name hit@1</w:t>
            </w:r>
          </w:p>
        </w:tc>
        <w:tc>
          <w:tcPr>
            <w:tcW w:type="dxa" w:w="1120"/>
          </w:tcPr>
          <w:p>
            <w:pPr>
              <w:pStyle w:val="TableCell"/>
              <w:keepNext/>
            </w:pPr>
            <w:r>
              <w:rPr>
                <w:b/>
              </w:rPr>
              <w:t xml:space="preserve">Name hit@5</w:t>
            </w:r>
          </w:p>
        </w:tc>
        <w:tc>
          <w:tcPr>
            <w:tcW w:type="dxa" w:w="1245"/>
          </w:tcPr>
          <w:p>
            <w:pPr>
              <w:pStyle w:val="TableCell"/>
              <w:keepNext/>
            </w:pPr>
            <w:r>
              <w:rPr>
                <w:b/>
              </w:rPr>
              <w:t xml:space="preserve">Stripped hit@1</w:t>
            </w:r>
          </w:p>
        </w:tc>
        <w:tc>
          <w:tcPr>
            <w:tcW w:type="dxa" w:w="1245"/>
          </w:tcPr>
          <w:p>
            <w:pPr>
              <w:pStyle w:val="TableCell"/>
              <w:keepNext/>
            </w:pPr>
            <w:r>
              <w:rPr>
                <w:b/>
              </w:rPr>
              <w:t xml:space="preserve">Stripped hit@5</w:t>
            </w:r>
          </w:p>
        </w:tc>
        <w:tc>
          <w:tcPr>
            <w:tcW w:type="dxa" w:w="2170"/>
          </w:tcPr>
          <w:p>
            <w:pPr>
              <w:pStyle w:val="TableCell"/>
              <w:keepNext/>
            </w:pPr>
            <w:r>
              <w:rPr>
                <w:b/>
              </w:rPr>
              <w:t xml:space="preserve">Test-set TAG F1</w:t>
            </w:r>
          </w:p>
        </w:tc>
      </w:tr>
      <w:tr>
        <w:tc>
          <w:tcPr>
            <w:tcW w:type="dxa" w:w="1500"/>
          </w:tcPr>
          <w:p>
            <w:pPr>
              <w:pStyle w:val="TableCell"/>
              <w:keepNext/>
            </w:pPr>
            <w:r>
              <w:t xml:space="preserve">I-CE (ours)</w:t>
            </w:r>
          </w:p>
        </w:tc>
        <w:tc>
          <w:tcPr>
            <w:tcW w:type="dxa" w:w="1120"/>
          </w:tcPr>
          <w:p>
            <w:pPr>
              <w:pStyle w:val="TableCell"/>
              <w:keepNext/>
            </w:pPr>
            <w:r>
              <w:t xml:space="preserve">0.956 ± 0.019</w:t>
            </w:r>
          </w:p>
        </w:tc>
        <w:tc>
          <w:tcPr>
            <w:tcW w:type="dxa" w:w="1120"/>
          </w:tcPr>
          <w:p>
            <w:pPr>
              <w:pStyle w:val="TableCell"/>
              <w:keepNext/>
            </w:pPr>
            <w:r>
              <w:t xml:space="preserve">0.996 ± 0.005</w:t>
            </w:r>
          </w:p>
        </w:tc>
        <w:tc>
          <w:tcPr>
            <w:tcW w:type="dxa" w:w="1245"/>
          </w:tcPr>
          <w:p>
            <w:pPr>
              <w:pStyle w:val="TableCell"/>
              <w:keepNext/>
            </w:pPr>
            <w:r>
              <w:t xml:space="preserve">0.747 ± 0.021</w:t>
            </w:r>
          </w:p>
        </w:tc>
        <w:tc>
          <w:tcPr>
            <w:tcW w:type="dxa" w:w="1245"/>
          </w:tcPr>
          <w:p>
            <w:pPr>
              <w:pStyle w:val="TableCell"/>
              <w:keepNext/>
            </w:pPr>
            <w:r>
              <w:t xml:space="preserve">0.931 ± 0.020</w:t>
            </w:r>
          </w:p>
        </w:tc>
        <w:tc>
          <w:tcPr>
            <w:tcW w:type="dxa" w:w="2170"/>
          </w:tcPr>
          <w:p>
            <w:pPr>
              <w:pStyle w:val="TableCell"/>
              <w:keepNext/>
            </w:pPr>
            <w:r>
              <w:t xml:space="preserve">0.684 ± 0.026</w:t>
            </w:r>
          </w:p>
        </w:tc>
      </w:tr>
      <w:tr>
        <w:tc>
          <w:tcPr>
            <w:tcW w:type="dxa" w:w="1500"/>
          </w:tcPr>
          <w:p>
            <w:pPr>
              <w:pStyle w:val="TableCell"/>
              <w:keepNext/>
            </w:pPr>
            <w:r>
              <w:t xml:space="preserve">swin-I-CE (~27% gradient window)</w:t>
            </w:r>
          </w:p>
        </w:tc>
        <w:tc>
          <w:tcPr>
            <w:tcW w:type="dxa" w:w="1120"/>
          </w:tcPr>
          <w:p>
            <w:pPr>
              <w:pStyle w:val="TableCell"/>
              <w:keepNext/>
            </w:pPr>
            <w:r>
              <w:t xml:space="preserve">0.941 ± 0.018</w:t>
            </w:r>
          </w:p>
        </w:tc>
        <w:tc>
          <w:tcPr>
            <w:tcW w:type="dxa" w:w="1120"/>
          </w:tcPr>
          <w:p>
            <w:pPr>
              <w:pStyle w:val="TableCell"/>
              <w:keepNext/>
            </w:pPr>
            <w:r>
              <w:t xml:space="preserve">0.994 ± 0.004</w:t>
            </w:r>
          </w:p>
        </w:tc>
        <w:tc>
          <w:tcPr>
            <w:tcW w:type="dxa" w:w="1245"/>
          </w:tcPr>
          <w:p>
            <w:pPr>
              <w:pStyle w:val="TableCell"/>
              <w:keepNext/>
            </w:pPr>
            <w:r>
              <w:t xml:space="preserve">0.716 ± 0.026</w:t>
            </w:r>
          </w:p>
        </w:tc>
        <w:tc>
          <w:tcPr>
            <w:tcW w:type="dxa" w:w="1245"/>
          </w:tcPr>
          <w:p>
            <w:pPr>
              <w:pStyle w:val="TableCell"/>
              <w:keepNext/>
            </w:pPr>
            <w:r>
              <w:t xml:space="preserve">0.926 ± 0.011</w:t>
            </w:r>
          </w:p>
        </w:tc>
        <w:tc>
          <w:tcPr>
            <w:tcW w:type="dxa" w:w="2170"/>
          </w:tcPr>
          <w:p>
            <w:pPr>
              <w:pStyle w:val="TableCell"/>
              <w:keepNext/>
            </w:pPr>
            <w:r>
              <w:t xml:space="preserve">0.681 ± 0.019</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0.932 ± 0.014</w:t>
            </w:r>
          </w:p>
        </w:tc>
        <w:tc>
          <w:tcPr>
            <w:tcW w:type="dxa" w:w="1120"/>
          </w:tcPr>
          <w:p>
            <w:pPr>
              <w:pStyle w:val="TableCell"/>
              <w:keepNext/>
            </w:pPr>
            <w:r>
              <w:t xml:space="preserve">0.991 ± 0.008</w:t>
            </w:r>
          </w:p>
        </w:tc>
        <w:tc>
          <w:tcPr>
            <w:tcW w:type="dxa" w:w="1245"/>
          </w:tcPr>
          <w:p>
            <w:pPr>
              <w:pStyle w:val="TableCell"/>
              <w:keepNext/>
            </w:pPr>
            <w:r>
              <w:t xml:space="preserve">0.716 ± 0.019</w:t>
            </w:r>
          </w:p>
        </w:tc>
        <w:tc>
          <w:tcPr>
            <w:tcW w:type="dxa" w:w="1245"/>
          </w:tcPr>
          <w:p>
            <w:pPr>
              <w:pStyle w:val="TableCell"/>
              <w:keepNext/>
            </w:pPr>
            <w:r>
              <w:t xml:space="preserve">0.920 ± 0.005</w:t>
            </w:r>
          </w:p>
        </w:tc>
        <w:tc>
          <w:tcPr>
            <w:tcW w:type="dxa" w:w="2170"/>
          </w:tcPr>
          <w:p>
            <w:pPr>
              <w:pStyle w:val="TableCell"/>
              <w:keepNext/>
            </w:pPr>
            <w:r>
              <w:t xml:space="preserve">0.706 ± 0.020</w:t>
            </w:r>
          </w:p>
        </w:tc>
      </w:tr>
      <w:tr>
        <w:tc>
          <w:tcPr>
            <w:tcW w:type="dxa" w:w="1500"/>
          </w:tcPr>
          <w:p>
            <w:pPr>
              <w:pStyle w:val="TableCell"/>
              <w:keepNext/>
            </w:pPr>
            <w:r>
              <w:t xml:space="preserve">CE (contrast only)</w:t>
            </w:r>
          </w:p>
        </w:tc>
        <w:tc>
          <w:tcPr>
            <w:tcW w:type="dxa" w:w="1120"/>
          </w:tcPr>
          <w:p>
            <w:pPr>
              <w:pStyle w:val="TableCell"/>
              <w:keepNext/>
            </w:pPr>
            <w:r>
              <w:t xml:space="preserve">0.950 ± 0.012</w:t>
            </w:r>
          </w:p>
        </w:tc>
        <w:tc>
          <w:tcPr>
            <w:tcW w:type="dxa" w:w="1120"/>
          </w:tcPr>
          <w:p>
            <w:pPr>
              <w:pStyle w:val="TableCell"/>
              <w:keepNext/>
            </w:pPr>
            <w:r>
              <w:t xml:space="preserve">0.989 ± 0.008</w:t>
            </w:r>
          </w:p>
        </w:tc>
        <w:tc>
          <w:tcPr>
            <w:tcW w:type="dxa" w:w="1245"/>
          </w:tcPr>
          <w:p>
            <w:pPr>
              <w:pStyle w:val="TableCell"/>
              <w:keepNext/>
            </w:pPr>
            <w:r>
              <w:t xml:space="preserve">0.678 ± 0.019</w:t>
            </w:r>
          </w:p>
        </w:tc>
        <w:tc>
          <w:tcPr>
            <w:tcW w:type="dxa" w:w="1245"/>
          </w:tcPr>
          <w:p>
            <w:pPr>
              <w:pStyle w:val="TableCell"/>
              <w:keepNext/>
            </w:pPr>
            <w:r>
              <w:t xml:space="preserve">0.893 ± 0.013</w:t>
            </w:r>
          </w:p>
        </w:tc>
        <w:tc>
          <w:tcPr>
            <w:tcW w:type="dxa" w:w="2170"/>
          </w:tcPr>
          <w:p>
            <w:pPr>
              <w:pStyle w:val="TableCell"/>
              <w:keepNext/>
            </w:pPr>
            <w:r>
              <w:t xml:space="preserve">0.658 ± 0.020</w:t>
            </w:r>
          </w:p>
        </w:tc>
      </w:tr>
      <w:tr>
        <w:tc>
          <w:tcPr>
            <w:tcW w:type="dxa" w:w="1500"/>
          </w:tcPr>
          <w:p>
            <w:pPr>
              <w:pStyle w:val="TableCell"/>
              <w:keepNext/>
            </w:pPr>
            <w:r>
              <w:t xml:space="preserve">SimCLR-style (in-batch views)</w:t>
            </w:r>
          </w:p>
        </w:tc>
        <w:tc>
          <w:tcPr>
            <w:tcW w:type="dxa" w:w="1120"/>
          </w:tcPr>
          <w:p>
            <w:pPr>
              <w:pStyle w:val="TableCell"/>
              <w:keepNext/>
            </w:pPr>
            <w:r>
              <w:t xml:space="preserve">0.919 ± 0.027</w:t>
            </w:r>
          </w:p>
        </w:tc>
        <w:tc>
          <w:tcPr>
            <w:tcW w:type="dxa" w:w="1120"/>
          </w:tcPr>
          <w:p>
            <w:pPr>
              <w:pStyle w:val="TableCell"/>
              <w:keepNext/>
            </w:pPr>
            <w:r>
              <w:t xml:space="preserve">0.990 ± 0.006</w:t>
            </w:r>
          </w:p>
        </w:tc>
        <w:tc>
          <w:tcPr>
            <w:tcW w:type="dxa" w:w="1245"/>
          </w:tcPr>
          <w:p>
            <w:pPr>
              <w:pStyle w:val="TableCell"/>
              <w:keepNext/>
            </w:pPr>
            <w:r>
              <w:t xml:space="preserve">0.634 ± 0.027</w:t>
            </w:r>
          </w:p>
        </w:tc>
        <w:tc>
          <w:tcPr>
            <w:tcW w:type="dxa" w:w="1245"/>
          </w:tcPr>
          <w:p>
            <w:pPr>
              <w:pStyle w:val="TableCell"/>
              <w:keepNext/>
            </w:pPr>
            <w:r>
              <w:t xml:space="preserve">0.886 ± 0.021</w:t>
            </w:r>
          </w:p>
        </w:tc>
        <w:tc>
          <w:tcPr>
            <w:tcW w:type="dxa" w:w="2170"/>
          </w:tcPr>
          <w:p>
            <w:pPr>
              <w:pStyle w:val="TableCell"/>
              <w:keepNext/>
            </w:pPr>
            <w:r>
              <w:t xml:space="preserve">0.704 ± 0.021</w:t>
            </w:r>
          </w:p>
        </w:tc>
      </w:tr>
      <w:tr>
        <w:tc>
          <w:tcPr>
            <w:tcW w:type="dxa" w:w="1500"/>
          </w:tcPr>
          <w:p>
            <w:pPr>
              <w:pStyle w:val="TableCell"/>
              <w:keepNext/>
            </w:pPr>
            <w:r>
              <w:t xml:space="preserve">I-CE (EMA + memory bank)</w:t>
            </w:r>
          </w:p>
        </w:tc>
        <w:tc>
          <w:tcPr>
            <w:tcW w:type="dxa" w:w="1120"/>
          </w:tcPr>
          <w:p>
            <w:pPr>
              <w:pStyle w:val="TableCell"/>
              <w:keepNext/>
            </w:pPr>
            <w:r>
              <w:t xml:space="preserve">0.944 ± 0.013</w:t>
            </w:r>
          </w:p>
        </w:tc>
        <w:tc>
          <w:tcPr>
            <w:tcW w:type="dxa" w:w="1120"/>
          </w:tcPr>
          <w:p>
            <w:pPr>
              <w:pStyle w:val="TableCell"/>
              <w:keepNext/>
            </w:pPr>
            <w:r>
              <w:t xml:space="preserve">0.993 ± 0.006</w:t>
            </w:r>
          </w:p>
        </w:tc>
        <w:tc>
          <w:tcPr>
            <w:tcW w:type="dxa" w:w="1245"/>
          </w:tcPr>
          <w:p>
            <w:pPr>
              <w:pStyle w:val="TableCell"/>
              <w:keepNext/>
            </w:pPr>
            <w:r>
              <w:t xml:space="preserve">0.641 ± 0.012</w:t>
            </w:r>
          </w:p>
        </w:tc>
        <w:tc>
          <w:tcPr>
            <w:tcW w:type="dxa" w:w="1245"/>
          </w:tcPr>
          <w:p>
            <w:pPr>
              <w:pStyle w:val="TableCell"/>
              <w:keepNext/>
            </w:pPr>
            <w:r>
              <w:t xml:space="preserve">0.887 ± 0.013</w:t>
            </w:r>
          </w:p>
        </w:tc>
        <w:tc>
          <w:tcPr>
            <w:tcW w:type="dxa" w:w="2170"/>
          </w:tcPr>
          <w:p>
            <w:pPr>
              <w:pStyle w:val="TableCell"/>
              <w:keepNext/>
            </w:pPr>
            <w:r>
              <w:t xml:space="preserve">0.717 ± 0.014</w:t>
            </w:r>
          </w:p>
        </w:tc>
      </w:tr>
      <w:tr>
        <w:tc>
          <w:tcPr>
            <w:tcW w:type="dxa" w:w="1500"/>
          </w:tcPr>
          <w:p>
            <w:pPr>
              <w:pStyle w:val="TableCell"/>
              <w:keepNext/>
            </w:pPr>
            <w:r>
              <w:t xml:space="preserve">VICReg (expander wiring, v/i/c = 20/10/20)</w:t>
            </w:r>
          </w:p>
        </w:tc>
        <w:tc>
          <w:tcPr>
            <w:tcW w:type="dxa" w:w="1120"/>
          </w:tcPr>
          <w:p>
            <w:pPr>
              <w:pStyle w:val="TableCell"/>
              <w:keepNext/>
            </w:pPr>
            <w:r>
              <w:t xml:space="preserve">0.830 ± 0.012</w:t>
            </w:r>
          </w:p>
        </w:tc>
        <w:tc>
          <w:tcPr>
            <w:tcW w:type="dxa" w:w="1120"/>
          </w:tcPr>
          <w:p>
            <w:pPr>
              <w:pStyle w:val="TableCell"/>
              <w:keepNext/>
            </w:pPr>
            <w:r>
              <w:t xml:space="preserve">0.962 ± 0.020</w:t>
            </w:r>
          </w:p>
        </w:tc>
        <w:tc>
          <w:tcPr>
            <w:tcW w:type="dxa" w:w="1245"/>
          </w:tcPr>
          <w:p>
            <w:pPr>
              <w:pStyle w:val="TableCell"/>
              <w:keepNext/>
            </w:pPr>
            <w:r>
              <w:t xml:space="preserve">0.453 ± 0.014</w:t>
            </w:r>
          </w:p>
        </w:tc>
        <w:tc>
          <w:tcPr>
            <w:tcW w:type="dxa" w:w="1245"/>
          </w:tcPr>
          <w:p>
            <w:pPr>
              <w:pStyle w:val="TableCell"/>
              <w:keepNext/>
            </w:pPr>
            <w:r>
              <w:t xml:space="preserve">0.735 ± 0.037</w:t>
            </w:r>
          </w:p>
        </w:tc>
        <w:tc>
          <w:tcPr>
            <w:tcW w:type="dxa" w:w="2170"/>
          </w:tcPr>
          <w:p>
            <w:pPr>
              <w:pStyle w:val="TableCell"/>
              <w:keepNext/>
            </w:pPr>
            <w:r>
              <w:t xml:space="preserve">0.705 ± 0.025</w:t>
            </w:r>
          </w:p>
        </w:tc>
      </w:tr>
      <w:tr>
        <w:tc>
          <w:tcPr>
            <w:tcW w:type="dxa" w:w="1500"/>
          </w:tcPr>
          <w:p>
            <w:pPr>
              <w:pStyle w:val="TableCell"/>
              <w:keepNext/>
            </w:pPr>
            <w:r>
              <w:t xml:space="preserve">BYOL</w:t>
            </w:r>
          </w:p>
        </w:tc>
        <w:tc>
          <w:tcPr>
            <w:tcW w:type="dxa" w:w="1120"/>
          </w:tcPr>
          <w:p>
            <w:pPr>
              <w:pStyle w:val="TableCell"/>
              <w:keepNext/>
            </w:pPr>
            <w:r>
              <w:t xml:space="preserve">0.447 ± 0.034</w:t>
            </w:r>
          </w:p>
        </w:tc>
        <w:tc>
          <w:tcPr>
            <w:tcW w:type="dxa" w:w="1120"/>
          </w:tcPr>
          <w:p>
            <w:pPr>
              <w:pStyle w:val="TableCell"/>
              <w:keepNext/>
            </w:pPr>
            <w:r>
              <w:t xml:space="preserve">0.743 ± 0.022</w:t>
            </w:r>
          </w:p>
        </w:tc>
        <w:tc>
          <w:tcPr>
            <w:tcW w:type="dxa" w:w="1245"/>
          </w:tcPr>
          <w:p>
            <w:pPr>
              <w:pStyle w:val="TableCell"/>
              <w:keepNext/>
            </w:pPr>
            <w:r>
              <w:t xml:space="preserve">0.284 ± 0.014</w:t>
            </w:r>
          </w:p>
        </w:tc>
        <w:tc>
          <w:tcPr>
            <w:tcW w:type="dxa" w:w="1245"/>
          </w:tcPr>
          <w:p>
            <w:pPr>
              <w:pStyle w:val="TableCell"/>
              <w:keepNext/>
            </w:pPr>
            <w:r>
              <w:t xml:space="preserve">0.554 ± 0.046</w:t>
            </w:r>
          </w:p>
        </w:tc>
        <w:tc>
          <w:tcPr>
            <w:tcW w:type="dxa" w:w="2170"/>
          </w:tcPr>
          <w:p>
            <w:pPr>
              <w:pStyle w:val="TableCell"/>
              <w:keepNext/>
            </w:pPr>
            <w:r>
              <w:t xml:space="preserve">0.715 ± 0.020</w:t>
            </w:r>
          </w:p>
        </w:tc>
      </w:tr>
      <w:tr>
        <w:tc>
          <w:tcPr>
            <w:tcW w:type="dxa" w:w="1500"/>
          </w:tcPr>
          <w:p>
            <w:pPr>
              <w:pStyle w:val="TableCell"/>
            </w:pPr>
            <w:r>
              <w:t xml:space="preserve">Frozen embedder (mean pool)</w:t>
            </w:r>
          </w:p>
        </w:tc>
        <w:tc>
          <w:tcPr>
            <w:tcW w:type="dxa" w:w="1120"/>
          </w:tcPr>
          <w:p>
            <w:pPr>
              <w:pStyle w:val="TableCell"/>
            </w:pPr>
            <w:r>
              <w:t xml:space="preserve">0.450 ± 0.034</w:t>
            </w:r>
          </w:p>
        </w:tc>
        <w:tc>
          <w:tcPr>
            <w:tcW w:type="dxa" w:w="1120"/>
          </w:tcPr>
          <w:p>
            <w:pPr>
              <w:pStyle w:val="TableCell"/>
            </w:pPr>
            <w:r>
              <w:t xml:space="preserve">0.642 ± 0.015</w:t>
            </w:r>
          </w:p>
        </w:tc>
        <w:tc>
          <w:tcPr>
            <w:tcW w:type="dxa" w:w="1245"/>
          </w:tcPr>
          <w:p>
            <w:pPr>
              <w:pStyle w:val="TableCell"/>
            </w:pPr>
            <w:r>
              <w:t xml:space="preserve">0.215 ± 0.031</w:t>
            </w:r>
          </w:p>
        </w:tc>
        <w:tc>
          <w:tcPr>
            <w:tcW w:type="dxa" w:w="1245"/>
          </w:tcPr>
          <w:p>
            <w:pPr>
              <w:pStyle w:val="TableCell"/>
            </w:pPr>
            <w:r>
              <w:t xml:space="preserve">0.393 ± 0.035</w:t>
            </w:r>
          </w:p>
        </w:tc>
        <w:tc>
          <w:tcPr>
            <w:tcW w:type="dxa" w:w="2170"/>
          </w:tcPr>
          <w:p>
            <w:pPr>
              <w:pStyle w:val="TableCell"/>
            </w:pPr>
            <w:r>
              <w:t xml:space="preserve">0.578 ± 0.015</w:t>
            </w:r>
          </w:p>
        </w:tc>
      </w:tr>
    </w:tbl>
    <w:p>
      <w:pPr>
        <w:pStyle w:val="AppendixH1"/>
      </w:pPr>
      <w:r>
        <w:t xml:space="preserve">APPENDIX M: TRAINING-SET VERSUS TEST-SET QUERIES</w:t>
      </w:r>
    </w:p>
    <w:p>
      <w:pPr>
        <w:pStyle w:val="PostHeadPara"/>
      </w:pPr>
      <w:r>
        <w:t xml:space="preserve">Every headline number in this paper is measured on test-set queries (ts) — games held out of the fold the tower trained on. Because the 814-game evaluation universe also contains games inside the training set, the same measurement can be repeated on training-set queries (tr): about 488 per fold against 163 test-set queries, ranked against the same 2,020 candidates by the same finished tower. The difference is a generalization gap, and the frozen embedder anchors its interpretation: having trained on nothing, it scores identically on both populations (0.425 / 0.425), so any gap a trained tower shows is what training memorized rather than what the queries happen to ask. Table A15 gives both populations for every headline tower.</w:t>
      </w:r>
    </w:p>
    <w:p>
      <w:pPr>
        <w:pStyle w:val="TableCaption"/>
      </w:pPr>
      <w:r>
        <w:t xml:space="preserve">Table A15: Retrieval on training-set queries (tr) versus test-set queries (ts), five-fold means at the 4,096-sentence anchor budget, single-source reading. Gap = (tr) − (ts). The frozen row is the control: no training, no gap.</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1500"/>
        <w:gridCol w:w="1120"/>
        <w:gridCol w:w="1120"/>
        <w:gridCol w:w="1245"/>
        <w:gridCol w:w="1245"/>
        <w:gridCol w:w="925"/>
        <w:gridCol w:w="1245"/>
      </w:tblGrid>
      <w:tr>
        <w:tc>
          <w:tcPr>
            <w:tcW w:type="dxa" w:w="1500"/>
          </w:tcPr>
          <w:p>
            <w:pPr>
              <w:pStyle w:val="TableCell"/>
              <w:keepNext/>
            </w:pPr>
            <w:r>
              <w:rPr>
                <w:b/>
              </w:rPr>
              <w:t xml:space="preserve">Objective</w:t>
            </w:r>
          </w:p>
        </w:tc>
        <w:tc>
          <w:tcPr>
            <w:tcW w:type="dxa" w:w="1120"/>
          </w:tcPr>
          <w:p>
            <w:pPr>
              <w:pStyle w:val="TableCell"/>
              <w:keepNext/>
            </w:pPr>
            <w:r>
              <w:rPr>
                <w:b/>
              </w:rPr>
              <w:t xml:space="preserve">Name hit@1 (tr)</w:t>
            </w:r>
          </w:p>
        </w:tc>
        <w:tc>
          <w:tcPr>
            <w:tcW w:type="dxa" w:w="1120"/>
          </w:tcPr>
          <w:p>
            <w:pPr>
              <w:pStyle w:val="TableCell"/>
              <w:keepNext/>
            </w:pPr>
            <w:r>
              <w:rPr>
                <w:b/>
              </w:rPr>
              <w:t xml:space="preserve">Name hit@1 (ts)</w:t>
            </w:r>
          </w:p>
        </w:tc>
        <w:tc>
          <w:tcPr>
            <w:tcW w:type="dxa" w:w="1245"/>
          </w:tcPr>
          <w:p>
            <w:pPr>
              <w:pStyle w:val="TableCell"/>
              <w:keepNext/>
            </w:pPr>
            <w:r>
              <w:rPr>
                <w:b/>
              </w:rPr>
              <w:t xml:space="preserve">Gap</w:t>
            </w:r>
          </w:p>
        </w:tc>
        <w:tc>
          <w:tcPr>
            <w:tcW w:type="dxa" w:w="1245"/>
          </w:tcPr>
          <w:p>
            <w:pPr>
              <w:pStyle w:val="TableCell"/>
              <w:keepNext/>
            </w:pPr>
            <w:r>
              <w:rPr>
                <w:b/>
              </w:rPr>
              <w:t xml:space="preserve">Stripped hit@1 (tr)</w:t>
            </w:r>
          </w:p>
        </w:tc>
        <w:tc>
          <w:tcPr>
            <w:tcW w:type="dxa" w:w="925"/>
          </w:tcPr>
          <w:p>
            <w:pPr>
              <w:pStyle w:val="TableCell"/>
              <w:keepNext/>
            </w:pPr>
            <w:r>
              <w:rPr>
                <w:b/>
              </w:rPr>
              <w:t xml:space="preserve">Stripped hit@1 (ts)</w:t>
            </w:r>
          </w:p>
        </w:tc>
        <w:tc>
          <w:tcPr>
            <w:tcW w:type="dxa" w:w="1245"/>
          </w:tcPr>
          <w:p>
            <w:pPr>
              <w:pStyle w:val="TableCell"/>
              <w:keepNext/>
            </w:pPr>
            <w:r>
              <w:rPr>
                <w:b/>
              </w:rPr>
              <w:t xml:space="preserve">Gap</w:t>
            </w:r>
          </w:p>
        </w:tc>
      </w:tr>
      <w:tr>
        <w:tc>
          <w:tcPr>
            <w:tcW w:type="dxa" w:w="1500"/>
          </w:tcPr>
          <w:p>
            <w:pPr>
              <w:pStyle w:val="TableCell"/>
              <w:keepNext/>
            </w:pPr>
            <w:r>
              <w:t xml:space="preserve">I-CE (ours)</w:t>
            </w:r>
          </w:p>
        </w:tc>
        <w:tc>
          <w:tcPr>
            <w:tcW w:type="dxa" w:w="1120"/>
          </w:tcPr>
          <w:p>
            <w:pPr>
              <w:pStyle w:val="TableCell"/>
              <w:keepNext/>
            </w:pPr>
            <w:r>
              <w:t xml:space="preserve">0.991</w:t>
            </w:r>
          </w:p>
        </w:tc>
        <w:tc>
          <w:tcPr>
            <w:tcW w:type="dxa" w:w="1120"/>
          </w:tcPr>
          <w:p>
            <w:pPr>
              <w:pStyle w:val="TableCell"/>
              <w:keepNext/>
            </w:pPr>
            <w:r>
              <w:t xml:space="preserve">0.954</w:t>
            </w:r>
          </w:p>
        </w:tc>
        <w:tc>
          <w:tcPr>
            <w:tcW w:type="dxa" w:w="1245"/>
          </w:tcPr>
          <w:p>
            <w:pPr>
              <w:pStyle w:val="TableCell"/>
              <w:keepNext/>
            </w:pPr>
            <w:r>
              <w:t xml:space="preserve">+0.037</w:t>
            </w:r>
          </w:p>
        </w:tc>
        <w:tc>
          <w:tcPr>
            <w:tcW w:type="dxa" w:w="1245"/>
          </w:tcPr>
          <w:p>
            <w:pPr>
              <w:pStyle w:val="TableCell"/>
              <w:keepNext/>
            </w:pPr>
            <w:r>
              <w:t xml:space="preserve">0.740</w:t>
            </w:r>
          </w:p>
        </w:tc>
        <w:tc>
          <w:tcPr>
            <w:tcW w:type="dxa" w:w="925"/>
          </w:tcPr>
          <w:p>
            <w:pPr>
              <w:pStyle w:val="TableCell"/>
              <w:keepNext/>
            </w:pPr>
            <w:r>
              <w:t xml:space="preserve">0.741</w:t>
            </w:r>
          </w:p>
        </w:tc>
        <w:tc>
          <w:tcPr>
            <w:tcW w:type="dxa" w:w="1245"/>
          </w:tcPr>
          <w:p>
            <w:pPr>
              <w:pStyle w:val="TableCell"/>
              <w:keepNext/>
            </w:pPr>
            <w:r>
              <w:t xml:space="preserve">-0.002</w:t>
            </w:r>
          </w:p>
        </w:tc>
      </w:tr>
      <w:tr>
        <w:tc>
          <w:tcPr>
            <w:tcW w:type="dxa" w:w="1500"/>
          </w:tcPr>
          <w:p>
            <w:pPr>
              <w:pStyle w:val="TableCell"/>
              <w:keepNext/>
            </w:pPr>
            <w:r>
              <w:t xml:space="preserve">swin-I-CE (~27% gradient window)</w:t>
            </w:r>
          </w:p>
        </w:tc>
        <w:tc>
          <w:tcPr>
            <w:tcW w:type="dxa" w:w="1120"/>
          </w:tcPr>
          <w:p>
            <w:pPr>
              <w:pStyle w:val="TableCell"/>
              <w:keepNext/>
            </w:pPr>
            <w:r>
              <w:t xml:space="preserve">0.983</w:t>
            </w:r>
          </w:p>
        </w:tc>
        <w:tc>
          <w:tcPr>
            <w:tcW w:type="dxa" w:w="1120"/>
          </w:tcPr>
          <w:p>
            <w:pPr>
              <w:pStyle w:val="TableCell"/>
              <w:keepNext/>
            </w:pPr>
            <w:r>
              <w:t xml:space="preserve">0.934</w:t>
            </w:r>
          </w:p>
        </w:tc>
        <w:tc>
          <w:tcPr>
            <w:tcW w:type="dxa" w:w="1245"/>
          </w:tcPr>
          <w:p>
            <w:pPr>
              <w:pStyle w:val="TableCell"/>
              <w:keepNext/>
            </w:pPr>
            <w:r>
              <w:t xml:space="preserve">+0.049</w:t>
            </w:r>
          </w:p>
        </w:tc>
        <w:tc>
          <w:tcPr>
            <w:tcW w:type="dxa" w:w="1245"/>
          </w:tcPr>
          <w:p>
            <w:pPr>
              <w:pStyle w:val="TableCell"/>
              <w:keepNext/>
            </w:pPr>
            <w:r>
              <w:t xml:space="preserve">0.716</w:t>
            </w:r>
          </w:p>
        </w:tc>
        <w:tc>
          <w:tcPr>
            <w:tcW w:type="dxa" w:w="925"/>
          </w:tcPr>
          <w:p>
            <w:pPr>
              <w:pStyle w:val="TableCell"/>
              <w:keepNext/>
            </w:pPr>
            <w:r>
              <w:t xml:space="preserve">0.709</w:t>
            </w:r>
          </w:p>
        </w:tc>
        <w:tc>
          <w:tcPr>
            <w:tcW w:type="dxa" w:w="1245"/>
          </w:tcPr>
          <w:p>
            <w:pPr>
              <w:pStyle w:val="TableCell"/>
              <w:keepNext/>
            </w:pPr>
            <w:r>
              <w:t xml:space="preserve">+0.007</w:t>
            </w:r>
          </w:p>
        </w:tc>
      </w:tr>
      <w:tr>
        <w:tc>
          <w:tcPr>
            <w:tcW w:type="dxa" w:w="1500"/>
          </w:tcPr>
          <w:p>
            <w:pPr>
              <w:pStyle w:val="TableCell"/>
              <w:keepNext/>
            </w:pPr>
            <w:r>
              <w:t xml:space="preserve">Two-stage: BYOL warm start → windowed, 600 ep</w:t>
            </w:r>
          </w:p>
        </w:tc>
        <w:tc>
          <w:tcPr>
            <w:tcW w:type="dxa" w:w="1120"/>
          </w:tcPr>
          <w:p>
            <w:pPr>
              <w:pStyle w:val="TableCell"/>
              <w:keepNext/>
            </w:pPr>
            <w:r>
              <w:t xml:space="preserve">0.979</w:t>
            </w:r>
          </w:p>
        </w:tc>
        <w:tc>
          <w:tcPr>
            <w:tcW w:type="dxa" w:w="1120"/>
          </w:tcPr>
          <w:p>
            <w:pPr>
              <w:pStyle w:val="TableCell"/>
              <w:keepNext/>
            </w:pPr>
            <w:r>
              <w:t xml:space="preserve">0.930</w:t>
            </w:r>
          </w:p>
        </w:tc>
        <w:tc>
          <w:tcPr>
            <w:tcW w:type="dxa" w:w="1245"/>
          </w:tcPr>
          <w:p>
            <w:pPr>
              <w:pStyle w:val="TableCell"/>
              <w:keepNext/>
            </w:pPr>
            <w:r>
              <w:t xml:space="preserve">+0.049</w:t>
            </w:r>
          </w:p>
        </w:tc>
        <w:tc>
          <w:tcPr>
            <w:tcW w:type="dxa" w:w="1245"/>
          </w:tcPr>
          <w:p>
            <w:pPr>
              <w:pStyle w:val="TableCell"/>
              <w:keepNext/>
            </w:pPr>
            <w:r>
              <w:t xml:space="preserve">0.708</w:t>
            </w:r>
          </w:p>
        </w:tc>
        <w:tc>
          <w:tcPr>
            <w:tcW w:type="dxa" w:w="925"/>
          </w:tcPr>
          <w:p>
            <w:pPr>
              <w:pStyle w:val="TableCell"/>
              <w:keepNext/>
            </w:pPr>
            <w:r>
              <w:t xml:space="preserve">0.709</w:t>
            </w:r>
          </w:p>
        </w:tc>
        <w:tc>
          <w:tcPr>
            <w:tcW w:type="dxa" w:w="1245"/>
          </w:tcPr>
          <w:p>
            <w:pPr>
              <w:pStyle w:val="TableCell"/>
              <w:keepNext/>
            </w:pPr>
            <w:r>
              <w:t xml:space="preserve">-0.000</w:t>
            </w:r>
          </w:p>
        </w:tc>
      </w:tr>
      <w:tr>
        <w:tc>
          <w:tcPr>
            <w:tcW w:type="dxa" w:w="1500"/>
          </w:tcPr>
          <w:p>
            <w:pPr>
              <w:pStyle w:val="TableCell"/>
              <w:keepNext/>
            </w:pPr>
            <w:r>
              <w:t xml:space="preserve">CE (contrast only)</w:t>
            </w:r>
          </w:p>
        </w:tc>
        <w:tc>
          <w:tcPr>
            <w:tcW w:type="dxa" w:w="1120"/>
          </w:tcPr>
          <w:p>
            <w:pPr>
              <w:pStyle w:val="TableCell"/>
              <w:keepNext/>
            </w:pPr>
            <w:r>
              <w:t xml:space="preserve">0.986</w:t>
            </w:r>
          </w:p>
        </w:tc>
        <w:tc>
          <w:tcPr>
            <w:tcW w:type="dxa" w:w="1120"/>
          </w:tcPr>
          <w:p>
            <w:pPr>
              <w:pStyle w:val="TableCell"/>
              <w:keepNext/>
            </w:pPr>
            <w:r>
              <w:t xml:space="preserve">0.938</w:t>
            </w:r>
          </w:p>
        </w:tc>
        <w:tc>
          <w:tcPr>
            <w:tcW w:type="dxa" w:w="1245"/>
          </w:tcPr>
          <w:p>
            <w:pPr>
              <w:pStyle w:val="TableCell"/>
              <w:keepNext/>
            </w:pPr>
            <w:r>
              <w:t xml:space="preserve">+0.048</w:t>
            </w:r>
          </w:p>
        </w:tc>
        <w:tc>
          <w:tcPr>
            <w:tcW w:type="dxa" w:w="1245"/>
          </w:tcPr>
          <w:p>
            <w:pPr>
              <w:pStyle w:val="TableCell"/>
              <w:keepNext/>
            </w:pPr>
            <w:r>
              <w:t xml:space="preserve">0.735</w:t>
            </w:r>
          </w:p>
        </w:tc>
        <w:tc>
          <w:tcPr>
            <w:tcW w:type="dxa" w:w="925"/>
          </w:tcPr>
          <w:p>
            <w:pPr>
              <w:pStyle w:val="TableCell"/>
              <w:keepNext/>
            </w:pPr>
            <w:r>
              <w:t xml:space="preserve">0.673</w:t>
            </w:r>
          </w:p>
        </w:tc>
        <w:tc>
          <w:tcPr>
            <w:tcW w:type="dxa" w:w="1245"/>
          </w:tcPr>
          <w:p>
            <w:pPr>
              <w:pStyle w:val="TableCell"/>
              <w:keepNext/>
            </w:pPr>
            <w:r>
              <w:t xml:space="preserve">+0.062</w:t>
            </w:r>
          </w:p>
        </w:tc>
      </w:tr>
      <w:tr>
        <w:tc>
          <w:tcPr>
            <w:tcW w:type="dxa" w:w="1500"/>
          </w:tcPr>
          <w:p>
            <w:pPr>
              <w:pStyle w:val="TableCell"/>
              <w:keepNext/>
            </w:pPr>
            <w:r>
              <w:t xml:space="preserve">SimCLR-style (in-batch views)</w:t>
            </w:r>
          </w:p>
        </w:tc>
        <w:tc>
          <w:tcPr>
            <w:tcW w:type="dxa" w:w="1120"/>
          </w:tcPr>
          <w:p>
            <w:pPr>
              <w:pStyle w:val="TableCell"/>
              <w:keepNext/>
            </w:pPr>
            <w:r>
              <w:t xml:space="preserve">0.987</w:t>
            </w:r>
          </w:p>
        </w:tc>
        <w:tc>
          <w:tcPr>
            <w:tcW w:type="dxa" w:w="1120"/>
          </w:tcPr>
          <w:p>
            <w:pPr>
              <w:pStyle w:val="TableCell"/>
              <w:keepNext/>
            </w:pPr>
            <w:r>
              <w:t xml:space="preserve">0.918</w:t>
            </w:r>
          </w:p>
        </w:tc>
        <w:tc>
          <w:tcPr>
            <w:tcW w:type="dxa" w:w="1245"/>
          </w:tcPr>
          <w:p>
            <w:pPr>
              <w:pStyle w:val="TableCell"/>
              <w:keepNext/>
            </w:pPr>
            <w:r>
              <w:t xml:space="preserve">+0.069</w:t>
            </w:r>
          </w:p>
        </w:tc>
        <w:tc>
          <w:tcPr>
            <w:tcW w:type="dxa" w:w="1245"/>
          </w:tcPr>
          <w:p>
            <w:pPr>
              <w:pStyle w:val="TableCell"/>
              <w:keepNext/>
            </w:pPr>
            <w:r>
              <w:t xml:space="preserve">0.655</w:t>
            </w:r>
          </w:p>
        </w:tc>
        <w:tc>
          <w:tcPr>
            <w:tcW w:type="dxa" w:w="925"/>
          </w:tcPr>
          <w:p>
            <w:pPr>
              <w:pStyle w:val="TableCell"/>
              <w:keepNext/>
            </w:pPr>
            <w:r>
              <w:t xml:space="preserve">0.632</w:t>
            </w:r>
          </w:p>
        </w:tc>
        <w:tc>
          <w:tcPr>
            <w:tcW w:type="dxa" w:w="1245"/>
          </w:tcPr>
          <w:p>
            <w:pPr>
              <w:pStyle w:val="TableCell"/>
              <w:keepNext/>
            </w:pPr>
            <w:r>
              <w:t xml:space="preserve">+0.023</w:t>
            </w:r>
          </w:p>
        </w:tc>
      </w:tr>
      <w:tr>
        <w:tc>
          <w:tcPr>
            <w:tcW w:type="dxa" w:w="1500"/>
          </w:tcPr>
          <w:p>
            <w:pPr>
              <w:pStyle w:val="TableCell"/>
              <w:keepNext/>
            </w:pPr>
            <w:r>
              <w:t xml:space="preserve">I-CE (EMA + memory bank)</w:t>
            </w:r>
          </w:p>
        </w:tc>
        <w:tc>
          <w:tcPr>
            <w:tcW w:type="dxa" w:w="1120"/>
          </w:tcPr>
          <w:p>
            <w:pPr>
              <w:pStyle w:val="TableCell"/>
              <w:keepNext/>
            </w:pPr>
            <w:r>
              <w:t xml:space="preserve">0.978</w:t>
            </w:r>
          </w:p>
        </w:tc>
        <w:tc>
          <w:tcPr>
            <w:tcW w:type="dxa" w:w="1120"/>
          </w:tcPr>
          <w:p>
            <w:pPr>
              <w:pStyle w:val="TableCell"/>
              <w:keepNext/>
            </w:pPr>
            <w:r>
              <w:t xml:space="preserve">0.936</w:t>
            </w:r>
          </w:p>
        </w:tc>
        <w:tc>
          <w:tcPr>
            <w:tcW w:type="dxa" w:w="1245"/>
          </w:tcPr>
          <w:p>
            <w:pPr>
              <w:pStyle w:val="TableCell"/>
              <w:keepNext/>
            </w:pPr>
            <w:r>
              <w:t xml:space="preserve">+0.042</w:t>
            </w:r>
          </w:p>
        </w:tc>
        <w:tc>
          <w:tcPr>
            <w:tcW w:type="dxa" w:w="1245"/>
          </w:tcPr>
          <w:p>
            <w:pPr>
              <w:pStyle w:val="TableCell"/>
              <w:keepNext/>
            </w:pPr>
            <w:r>
              <w:t xml:space="preserve">0.613</w:t>
            </w:r>
          </w:p>
        </w:tc>
        <w:tc>
          <w:tcPr>
            <w:tcW w:type="dxa" w:w="925"/>
          </w:tcPr>
          <w:p>
            <w:pPr>
              <w:pStyle w:val="TableCell"/>
              <w:keepNext/>
            </w:pPr>
            <w:r>
              <w:t xml:space="preserve">0.636</w:t>
            </w:r>
          </w:p>
        </w:tc>
        <w:tc>
          <w:tcPr>
            <w:tcW w:type="dxa" w:w="1245"/>
          </w:tcPr>
          <w:p>
            <w:pPr>
              <w:pStyle w:val="TableCell"/>
              <w:keepNext/>
            </w:pPr>
            <w:r>
              <w:t xml:space="preserve">-0.024</w:t>
            </w:r>
          </w:p>
        </w:tc>
      </w:tr>
      <w:tr>
        <w:tc>
          <w:tcPr>
            <w:tcW w:type="dxa" w:w="1500"/>
          </w:tcPr>
          <w:p>
            <w:pPr>
              <w:pStyle w:val="TableCell"/>
              <w:keepNext/>
            </w:pPr>
            <w:r>
              <w:t xml:space="preserve">VICReg (expander wiring, v/i/c = 20/10/20)</w:t>
            </w:r>
          </w:p>
        </w:tc>
        <w:tc>
          <w:tcPr>
            <w:tcW w:type="dxa" w:w="1120"/>
          </w:tcPr>
          <w:p>
            <w:pPr>
              <w:pStyle w:val="TableCell"/>
              <w:keepNext/>
            </w:pPr>
            <w:r>
              <w:t xml:space="preserve">0.902</w:t>
            </w:r>
          </w:p>
        </w:tc>
        <w:tc>
          <w:tcPr>
            <w:tcW w:type="dxa" w:w="1120"/>
          </w:tcPr>
          <w:p>
            <w:pPr>
              <w:pStyle w:val="TableCell"/>
              <w:keepNext/>
            </w:pPr>
            <w:r>
              <w:t xml:space="preserve">0.823</w:t>
            </w:r>
          </w:p>
        </w:tc>
        <w:tc>
          <w:tcPr>
            <w:tcW w:type="dxa" w:w="1245"/>
          </w:tcPr>
          <w:p>
            <w:pPr>
              <w:pStyle w:val="TableCell"/>
              <w:keepNext/>
            </w:pPr>
            <w:r>
              <w:t xml:space="preserve">+0.079</w:t>
            </w:r>
          </w:p>
        </w:tc>
        <w:tc>
          <w:tcPr>
            <w:tcW w:type="dxa" w:w="1245"/>
          </w:tcPr>
          <w:p>
            <w:pPr>
              <w:pStyle w:val="TableCell"/>
              <w:keepNext/>
            </w:pPr>
            <w:r>
              <w:t xml:space="preserve">0.480</w:t>
            </w:r>
          </w:p>
        </w:tc>
        <w:tc>
          <w:tcPr>
            <w:tcW w:type="dxa" w:w="925"/>
          </w:tcPr>
          <w:p>
            <w:pPr>
              <w:pStyle w:val="TableCell"/>
              <w:keepNext/>
            </w:pPr>
            <w:r>
              <w:t xml:space="preserve">0.451</w:t>
            </w:r>
          </w:p>
        </w:tc>
        <w:tc>
          <w:tcPr>
            <w:tcW w:type="dxa" w:w="1245"/>
          </w:tcPr>
          <w:p>
            <w:pPr>
              <w:pStyle w:val="TableCell"/>
              <w:keepNext/>
            </w:pPr>
            <w:r>
              <w:t xml:space="preserve">+0.029</w:t>
            </w:r>
          </w:p>
        </w:tc>
      </w:tr>
      <w:tr>
        <w:tc>
          <w:tcPr>
            <w:tcW w:type="dxa" w:w="1500"/>
          </w:tcPr>
          <w:p>
            <w:pPr>
              <w:pStyle w:val="TableCell"/>
              <w:keepNext/>
            </w:pPr>
            <w:r>
              <w:t xml:space="preserve">BYOL</w:t>
            </w:r>
          </w:p>
        </w:tc>
        <w:tc>
          <w:tcPr>
            <w:tcW w:type="dxa" w:w="1120"/>
          </w:tcPr>
          <w:p>
            <w:pPr>
              <w:pStyle w:val="TableCell"/>
              <w:keepNext/>
            </w:pPr>
            <w:r>
              <w:t xml:space="preserve">0.732</w:t>
            </w:r>
          </w:p>
        </w:tc>
        <w:tc>
          <w:tcPr>
            <w:tcW w:type="dxa" w:w="1120"/>
          </w:tcPr>
          <w:p>
            <w:pPr>
              <w:pStyle w:val="TableCell"/>
              <w:keepNext/>
            </w:pPr>
            <w:r>
              <w:t xml:space="preserve">0.441</w:t>
            </w:r>
          </w:p>
        </w:tc>
        <w:tc>
          <w:tcPr>
            <w:tcW w:type="dxa" w:w="1245"/>
          </w:tcPr>
          <w:p>
            <w:pPr>
              <w:pStyle w:val="TableCell"/>
              <w:keepNext/>
            </w:pPr>
            <w:r>
              <w:t xml:space="preserve">+0.291</w:t>
            </w:r>
          </w:p>
        </w:tc>
        <w:tc>
          <w:tcPr>
            <w:tcW w:type="dxa" w:w="1245"/>
          </w:tcPr>
          <w:p>
            <w:pPr>
              <w:pStyle w:val="TableCell"/>
              <w:keepNext/>
            </w:pPr>
            <w:r>
              <w:t xml:space="preserve">0.355</w:t>
            </w:r>
          </w:p>
        </w:tc>
        <w:tc>
          <w:tcPr>
            <w:tcW w:type="dxa" w:w="925"/>
          </w:tcPr>
          <w:p>
            <w:pPr>
              <w:pStyle w:val="TableCell"/>
              <w:keepNext/>
            </w:pPr>
            <w:r>
              <w:t xml:space="preserve">0.284</w:t>
            </w:r>
          </w:p>
        </w:tc>
        <w:tc>
          <w:tcPr>
            <w:tcW w:type="dxa" w:w="1245"/>
          </w:tcPr>
          <w:p>
            <w:pPr>
              <w:pStyle w:val="TableCell"/>
              <w:keepNext/>
            </w:pPr>
            <w:r>
              <w:t xml:space="preserve">+0.072</w:t>
            </w:r>
          </w:p>
        </w:tc>
      </w:tr>
      <w:tr>
        <w:tc>
          <w:tcPr>
            <w:tcW w:type="dxa" w:w="1500"/>
          </w:tcPr>
          <w:p>
            <w:pPr>
              <w:pStyle w:val="TableCell"/>
            </w:pPr>
            <w:r>
              <w:t xml:space="preserve">Frozen embedder (mean pool)</w:t>
            </w:r>
          </w:p>
        </w:tc>
        <w:tc>
          <w:tcPr>
            <w:tcW w:type="dxa" w:w="1120"/>
          </w:tcPr>
          <w:p>
            <w:pPr>
              <w:pStyle w:val="TableCell"/>
            </w:pPr>
            <w:r>
              <w:t xml:space="preserve">0.425</w:t>
            </w:r>
          </w:p>
        </w:tc>
        <w:tc>
          <w:tcPr>
            <w:tcW w:type="dxa" w:w="1120"/>
          </w:tcPr>
          <w:p>
            <w:pPr>
              <w:pStyle w:val="TableCell"/>
            </w:pPr>
            <w:r>
              <w:t xml:space="preserve">0.425</w:t>
            </w:r>
          </w:p>
        </w:tc>
        <w:tc>
          <w:tcPr>
            <w:tcW w:type="dxa" w:w="1245"/>
          </w:tcPr>
          <w:p>
            <w:pPr>
              <w:pStyle w:val="TableCell"/>
            </w:pPr>
            <w:r>
              <w:t xml:space="preserve">+0.000</w:t>
            </w:r>
          </w:p>
        </w:tc>
        <w:tc>
          <w:tcPr>
            <w:tcW w:type="dxa" w:w="1245"/>
          </w:tcPr>
          <w:p>
            <w:pPr>
              <w:pStyle w:val="TableCell"/>
            </w:pPr>
            <w:r>
              <w:t xml:space="preserve">0.209</w:t>
            </w:r>
          </w:p>
        </w:tc>
        <w:tc>
          <w:tcPr>
            <w:tcW w:type="dxa" w:w="925"/>
          </w:tcPr>
          <w:p>
            <w:pPr>
              <w:pStyle w:val="TableCell"/>
            </w:pPr>
            <w:r>
              <w:t xml:space="preserve">0.209</w:t>
            </w:r>
          </w:p>
        </w:tc>
        <w:tc>
          <w:tcPr>
            <w:tcW w:type="dxa" w:w="1245"/>
          </w:tcPr>
          <w:p>
            <w:pPr>
              <w:pStyle w:val="TableCell"/>
            </w:pPr>
            <w:r>
              <w:t xml:space="preserve">-0.000</w:t>
            </w:r>
          </w:p>
        </w:tc>
      </w:tr>
    </w:tbl>
    <w:p>
      <w:pPr>
        <w:pStyle w:val="Para"/>
      </w:pPr>
      <w:r>
        <w:t xml:space="preserve">Two readings stand out. On name-intact queries every trained tower gives something back when the game is new — from 0.037 for I-CE to 0.291 for BYOL — and the ordering of that gap tracks how much of a tower's identity resolution is anchored rather than remembered. On name-stripped queries the contrast is sharper still: plain CE scores 0.735 on games it trained on but only 0.673 on held-out ones, a 0.062 gap, while I-CE reads 0.740 and 0.741 — no gap at all. The invariance term raises the name-stripped score and simultaneously removes the memorization component from it.</w:t>
      </w:r>
    </w:p>
    <w:sectPr w:rsidR="001E46A4" w:rsidRPr="001E46A4" w:rsidSect="000C6221">
      <w:footerReference w:type="default" r:id="rId20"/>
      <w:footerReference w:type="first" r:id="rId21"/>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C6F531" w14:textId="77777777" w:rsidR="00914E45" w:rsidRDefault="00914E45" w:rsidP="0008602E">
      <w:r>
        <w:separator/>
      </w:r>
    </w:p>
  </w:endnote>
  <w:endnote w:type="continuationSeparator" w:id="0">
    <w:p w14:paraId="48211A0F" w14:textId="77777777" w:rsidR="00914E45" w:rsidRDefault="00914E45" w:rsidP="0008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nux Libertine O">
    <w:altName w:val="Arial"/>
    <w:panose1 w:val="00000000000000000000"/>
    <w:charset w:val="00"/>
    <w:family w:val="auto"/>
    <w:notTrueType/>
    <w:pitch w:val="variable"/>
    <w:sig w:usb0="E0000AFF" w:usb1="5200E5FB" w:usb2="02000020" w:usb3="00000000" w:csb0="000001BF" w:csb1="00000000"/>
  </w:font>
  <w:font w:name="Linux Biolinum O">
    <w:altName w:val="Arial"/>
    <w:panose1 w:val="00000000000000000000"/>
    <w:charset w:val="00"/>
    <w:family w:val="auto"/>
    <w:notTrueType/>
    <w:pitch w:val="variable"/>
    <w:sig w:usb0="E0000AFF" w:usb1="5000E5FB" w:usb2="00000020" w:usb3="00000000" w:csb0="000001B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D11DE" w14:textId="031539C3" w:rsidR="00894B43" w:rsidRDefault="00894B43" w:rsidP="00894B43">
    <w:pPr>
      <w:pStyle w:val="af"/>
      <w:jc w:val="center"/>
    </w:pPr>
    <w:r>
      <w:fldChar w:fldCharType="begin"/>
    </w:r>
    <w:r>
      <w:instrText xml:space="preserve"> PAGE   \* MERGEFORMAT </w:instrText>
    </w:r>
    <w:r>
      <w:fldChar w:fldCharType="separate"/>
    </w:r>
    <w:r w:rsidR="00D646AF">
      <w:rPr>
        <w:noProof/>
      </w:rPr>
      <w:t>12</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00A9D" w14:textId="77777777" w:rsidR="000C6221" w:rsidRDefault="000C6221">
    <w:pPr>
      <w:pStyle w:val="af"/>
    </w:pPr>
  </w:p>
  <w:p w14:paraId="7A29722F" w14:textId="77777777" w:rsidR="000C6221" w:rsidRDefault="000C6221">
    <w:pPr>
      <w:pStyle w:val="af"/>
    </w:pPr>
  </w:p>
  <w:p w14:paraId="79DEB755" w14:textId="77777777" w:rsidR="000C6221" w:rsidRDefault="000C6221">
    <w:pPr>
      <w:pStyle w:val="af"/>
    </w:pPr>
  </w:p>
  <w:p w14:paraId="68BB8E9E" w14:textId="77777777" w:rsidR="000C6221" w:rsidRDefault="000C6221">
    <w:pPr>
      <w:pStyle w:val="af"/>
    </w:pPr>
  </w:p>
  <w:p w14:paraId="09E1EECD" w14:textId="77777777" w:rsidR="000C6221" w:rsidRDefault="000C6221">
    <w:pPr>
      <w:pStyle w:val="af"/>
    </w:pPr>
  </w:p>
  <w:p w14:paraId="0B100EAE" w14:textId="77777777" w:rsidR="000C6221" w:rsidRDefault="000C6221">
    <w:pPr>
      <w:pStyle w:val="af"/>
    </w:pPr>
  </w:p>
  <w:p w14:paraId="35C5DB48" w14:textId="77777777" w:rsidR="000C6221" w:rsidRDefault="000C6221">
    <w:pPr>
      <w:pStyle w:val="af"/>
    </w:pPr>
  </w:p>
  <w:p w14:paraId="2553C5B1" w14:textId="77777777" w:rsidR="000C6221" w:rsidRDefault="000C6221">
    <w:pPr>
      <w:pStyle w:val="af"/>
    </w:pPr>
  </w:p>
  <w:p w14:paraId="715E4BB1" w14:textId="77777777" w:rsidR="000C6221" w:rsidRDefault="000C6221">
    <w:pPr>
      <w:pStyle w:val="af"/>
    </w:pPr>
  </w:p>
  <w:p w14:paraId="6AC5033F" w14:textId="77777777" w:rsidR="000C6221" w:rsidRDefault="000C6221">
    <w:pPr>
      <w:pStyle w:val="af"/>
    </w:pPr>
  </w:p>
  <w:p w14:paraId="4AF516C3" w14:textId="77777777" w:rsidR="000C6221" w:rsidRDefault="000C6221">
    <w:pPr>
      <w:pStyle w:val="af"/>
    </w:pPr>
  </w:p>
  <w:p w14:paraId="6D3ADB38" w14:textId="77777777" w:rsidR="000C6221" w:rsidRDefault="000C6221">
    <w:pPr>
      <w:pStyle w:val="af"/>
    </w:pPr>
  </w:p>
  <w:p w14:paraId="36572510" w14:textId="77777777" w:rsidR="000C6221" w:rsidRDefault="000C6221">
    <w:pPr>
      <w:pStyle w:val="af"/>
    </w:pPr>
  </w:p>
  <w:p w14:paraId="4F875FAD" w14:textId="77777777" w:rsidR="000C6221" w:rsidRDefault="000C6221">
    <w:pPr>
      <w:pStyle w:val="af"/>
    </w:pPr>
  </w:p>
  <w:p w14:paraId="7BDA2472" w14:textId="77777777" w:rsidR="000C6221" w:rsidRDefault="000C6221">
    <w:pPr>
      <w:pStyle w:val="af"/>
    </w:pPr>
  </w:p>
  <w:p w14:paraId="1010A67F" w14:textId="77777777" w:rsidR="000C6221" w:rsidRDefault="000C6221">
    <w:pPr>
      <w:pStyle w:val="af"/>
    </w:pPr>
  </w:p>
  <w:p w14:paraId="16AD449E" w14:textId="7AB515C2" w:rsidR="001E2D05" w:rsidRDefault="001E2D05">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CFC9F8" w14:textId="77777777" w:rsidR="00914E45" w:rsidRDefault="00914E45" w:rsidP="0008602E">
      <w:r>
        <w:separator/>
      </w:r>
    </w:p>
  </w:footnote>
  <w:footnote w:type="continuationSeparator" w:id="0">
    <w:p w14:paraId="5086B8FF" w14:textId="77777777" w:rsidR="00914E45" w:rsidRDefault="00914E45" w:rsidP="0008602E">
      <w:r>
        <w:continuationSeparator/>
      </w:r>
    </w:p>
  </w:footnote>
  <w:footnote w:id="1">
    <w:p w14:paraId="3B1217BF" w14:textId="77777777" w:rsidR="00B1638F" w:rsidRDefault="00B1638F" w:rsidP="00B1638F">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97EE4E8"/>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876A7710"/>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43D4B31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9C644BE0"/>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4F7EF6A4"/>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31227F6"/>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29E004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48A6712"/>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27EF8AC"/>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D86A037C"/>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1082DED"/>
    <w:multiLevelType w:val="multilevel"/>
    <w:tmpl w:val="538A5336"/>
    <w:lvl w:ilvl="0">
      <w:start w:val="1"/>
      <w:numFmt w:val="decimal"/>
      <w:pStyle w:val="Head1"/>
      <w:lvlText w:val="%1"/>
      <w:lvlJc w:val="left"/>
      <w:pPr>
        <w:ind w:left="432" w:hanging="432"/>
      </w:pPr>
      <w:rPr>
        <w:rFonts w:hint="default"/>
      </w:rPr>
    </w:lvl>
    <w:lvl w:ilvl="1">
      <w:start w:val="1"/>
      <w:numFmt w:val="decimal"/>
      <w:pStyle w:val="Head2"/>
      <w:lvlText w:val="%1.%2"/>
      <w:lvlJc w:val="left"/>
      <w:pPr>
        <w:ind w:left="576" w:hanging="576"/>
      </w:pPr>
      <w:rPr>
        <w:rFonts w:hint="default"/>
      </w:rPr>
    </w:lvl>
    <w:lvl w:ilvl="2">
      <w:start w:val="1"/>
      <w:numFmt w:val="decimal"/>
      <w:pStyle w:val="Head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017F0B4D"/>
    <w:multiLevelType w:val="multilevel"/>
    <w:tmpl w:val="4D6825E8"/>
    <w:numStyleLink w:val="111111"/>
  </w:abstractNum>
  <w:abstractNum w:abstractNumId="12" w15:restartNumberingAfterBreak="0">
    <w:nsid w:val="075B5D21"/>
    <w:multiLevelType w:val="hybridMultilevel"/>
    <w:tmpl w:val="19369706"/>
    <w:lvl w:ilvl="0" w:tplc="40090011">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3" w15:restartNumberingAfterBreak="0">
    <w:nsid w:val="089D2BEA"/>
    <w:multiLevelType w:val="hybridMultilevel"/>
    <w:tmpl w:val="EEA0064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15:restartNumberingAfterBreak="0">
    <w:nsid w:val="0ED06B09"/>
    <w:multiLevelType w:val="multilevel"/>
    <w:tmpl w:val="E060657E"/>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6F574C0"/>
    <w:multiLevelType w:val="multilevel"/>
    <w:tmpl w:val="7610B170"/>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FBB11D1"/>
    <w:multiLevelType w:val="hybridMultilevel"/>
    <w:tmpl w:val="24149EBA"/>
    <w:lvl w:ilvl="0" w:tplc="E3888CF8">
      <w:start w:val="1"/>
      <w:numFmt w:val="decimal"/>
      <w:lvlText w:val="%1."/>
      <w:lvlJc w:val="left"/>
      <w:pPr>
        <w:ind w:left="360" w:hanging="360"/>
      </w:pPr>
      <w:rPr>
        <w:rFonts w:hint="default"/>
      </w:rPr>
    </w:lvl>
    <w:lvl w:ilvl="1" w:tplc="9DF097F6">
      <w:start w:val="1"/>
      <w:numFmt w:val="decimal"/>
      <w:lvlText w:val="%2."/>
      <w:lvlJc w:val="left"/>
      <w:pPr>
        <w:tabs>
          <w:tab w:val="num" w:pos="1440"/>
        </w:tabs>
        <w:ind w:left="1440" w:hanging="360"/>
      </w:pPr>
    </w:lvl>
    <w:lvl w:ilvl="2" w:tplc="4D760110">
      <w:start w:val="1"/>
      <w:numFmt w:val="decimal"/>
      <w:lvlText w:val="%3."/>
      <w:lvlJc w:val="left"/>
      <w:pPr>
        <w:tabs>
          <w:tab w:val="num" w:pos="2160"/>
        </w:tabs>
        <w:ind w:left="2160" w:hanging="360"/>
      </w:pPr>
    </w:lvl>
    <w:lvl w:ilvl="3" w:tplc="418295F6">
      <w:start w:val="1"/>
      <w:numFmt w:val="decimal"/>
      <w:lvlText w:val="%4."/>
      <w:lvlJc w:val="left"/>
      <w:pPr>
        <w:tabs>
          <w:tab w:val="num" w:pos="2880"/>
        </w:tabs>
        <w:ind w:left="2880" w:hanging="360"/>
      </w:pPr>
    </w:lvl>
    <w:lvl w:ilvl="4" w:tplc="986CCDE8">
      <w:start w:val="1"/>
      <w:numFmt w:val="decimal"/>
      <w:lvlText w:val="%5."/>
      <w:lvlJc w:val="left"/>
      <w:pPr>
        <w:tabs>
          <w:tab w:val="num" w:pos="3600"/>
        </w:tabs>
        <w:ind w:left="3600" w:hanging="360"/>
      </w:pPr>
    </w:lvl>
    <w:lvl w:ilvl="5" w:tplc="E2849C60">
      <w:start w:val="1"/>
      <w:numFmt w:val="decimal"/>
      <w:lvlText w:val="%6."/>
      <w:lvlJc w:val="left"/>
      <w:pPr>
        <w:tabs>
          <w:tab w:val="num" w:pos="4320"/>
        </w:tabs>
        <w:ind w:left="4320" w:hanging="360"/>
      </w:pPr>
    </w:lvl>
    <w:lvl w:ilvl="6" w:tplc="BFEEB9A4">
      <w:start w:val="1"/>
      <w:numFmt w:val="decimal"/>
      <w:lvlText w:val="%7."/>
      <w:lvlJc w:val="left"/>
      <w:pPr>
        <w:tabs>
          <w:tab w:val="num" w:pos="5040"/>
        </w:tabs>
        <w:ind w:left="5040" w:hanging="360"/>
      </w:pPr>
    </w:lvl>
    <w:lvl w:ilvl="7" w:tplc="5DFCE162">
      <w:start w:val="1"/>
      <w:numFmt w:val="decimal"/>
      <w:lvlText w:val="%8."/>
      <w:lvlJc w:val="left"/>
      <w:pPr>
        <w:tabs>
          <w:tab w:val="num" w:pos="5760"/>
        </w:tabs>
        <w:ind w:left="5760" w:hanging="360"/>
      </w:pPr>
    </w:lvl>
    <w:lvl w:ilvl="8" w:tplc="02F26E1A">
      <w:start w:val="1"/>
      <w:numFmt w:val="decimal"/>
      <w:lvlText w:val="%9."/>
      <w:lvlJc w:val="left"/>
      <w:pPr>
        <w:tabs>
          <w:tab w:val="num" w:pos="6480"/>
        </w:tabs>
        <w:ind w:left="6480" w:hanging="360"/>
      </w:pPr>
    </w:lvl>
  </w:abstractNum>
  <w:abstractNum w:abstractNumId="17" w15:restartNumberingAfterBreak="0">
    <w:nsid w:val="2096534E"/>
    <w:multiLevelType w:val="hybridMultilevel"/>
    <w:tmpl w:val="67A6AD88"/>
    <w:lvl w:ilvl="0" w:tplc="9386DF58">
      <w:start w:val="1"/>
      <w:numFmt w:val="decimal"/>
      <w:lvlText w:val="%1."/>
      <w:lvlJc w:val="left"/>
      <w:pPr>
        <w:ind w:left="720" w:hanging="360"/>
      </w:pPr>
      <w:rPr>
        <w:rFont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8" w15:restartNumberingAfterBreak="0">
    <w:nsid w:val="20B90ECF"/>
    <w:multiLevelType w:val="multilevel"/>
    <w:tmpl w:val="4D6825E8"/>
    <w:numStyleLink w:val="111111"/>
  </w:abstractNum>
  <w:abstractNum w:abstractNumId="19"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20" w15:restartNumberingAfterBreak="0">
    <w:nsid w:val="36662F61"/>
    <w:multiLevelType w:val="singleLevel"/>
    <w:tmpl w:val="40090019"/>
    <w:lvl w:ilvl="0">
      <w:start w:val="1"/>
      <w:numFmt w:val="decimal"/>
      <w:pStyle w:val="a1"/>
      <w:lvlText w:val="%1."/>
      <w:lvlJc w:val="left"/>
      <w:pPr>
        <w:ind w:left="480" w:hanging="240"/>
      </w:pPr>
      <w:rPr>
        <w:rFonts w:hint="default"/>
      </w:rPr>
    </w:lvl>
  </w:abstractNum>
  <w:abstractNum w:abstractNumId="21" w15:restartNumberingAfterBreak="0">
    <w:nsid w:val="367D177E"/>
    <w:multiLevelType w:val="multilevel"/>
    <w:tmpl w:val="0CF676C6"/>
    <w:styleLink w:val="NormalNumberedList"/>
    <w:lvl w:ilvl="0">
      <w:start w:val="1"/>
      <w:numFmt w:val="decimal"/>
      <w:lvlText w:val="(%1)"/>
      <w:lvlJc w:val="left"/>
      <w:pPr>
        <w:ind w:left="480" w:hanging="240"/>
      </w:pPr>
      <w:rPr>
        <w:rFonts w:ascii="Linux Libertine O" w:hAnsi="Linux Libertine O" w:cs="Linux Libertine O" w:hint="default"/>
      </w:rPr>
    </w:lvl>
    <w:lvl w:ilvl="1">
      <w:start w:val="1"/>
      <w:numFmt w:val="lowerLetter"/>
      <w:lvlText w:val="%2)"/>
      <w:lvlJc w:val="left"/>
      <w:pPr>
        <w:ind w:left="720" w:hanging="240"/>
      </w:pPr>
      <w:rPr>
        <w:rFonts w:hint="default"/>
      </w:rPr>
    </w:lvl>
    <w:lvl w:ilvl="2">
      <w:start w:val="1"/>
      <w:numFmt w:val="lowerRoman"/>
      <w:lvlText w:val="%3)"/>
      <w:lvlJc w:val="left"/>
      <w:pPr>
        <w:ind w:left="960" w:hanging="240"/>
      </w:pPr>
      <w:rPr>
        <w:rFonts w:hint="default"/>
      </w:rPr>
    </w:lvl>
    <w:lvl w:ilvl="3">
      <w:start w:val="1"/>
      <w:numFmt w:val="decimal"/>
      <w:lvlText w:val="(%4)"/>
      <w:lvlJc w:val="left"/>
      <w:pPr>
        <w:ind w:left="1200" w:hanging="240"/>
      </w:pPr>
      <w:rPr>
        <w:rFonts w:hint="default"/>
      </w:rPr>
    </w:lvl>
    <w:lvl w:ilvl="4">
      <w:start w:val="1"/>
      <w:numFmt w:val="lowerLetter"/>
      <w:lvlText w:val="(%5)"/>
      <w:lvlJc w:val="left"/>
      <w:pPr>
        <w:ind w:left="1440" w:hanging="240"/>
      </w:pPr>
      <w:rPr>
        <w:rFonts w:hint="default"/>
      </w:rPr>
    </w:lvl>
    <w:lvl w:ilvl="5">
      <w:start w:val="1"/>
      <w:numFmt w:val="lowerRoman"/>
      <w:lvlText w:val="(%6)"/>
      <w:lvlJc w:val="left"/>
      <w:pPr>
        <w:ind w:left="1680" w:hanging="240"/>
      </w:pPr>
      <w:rPr>
        <w:rFonts w:hint="default"/>
      </w:rPr>
    </w:lvl>
    <w:lvl w:ilvl="6">
      <w:start w:val="1"/>
      <w:numFmt w:val="decimal"/>
      <w:lvlText w:val="%7."/>
      <w:lvlJc w:val="left"/>
      <w:pPr>
        <w:ind w:left="1920" w:hanging="240"/>
      </w:pPr>
      <w:rPr>
        <w:rFonts w:hint="default"/>
      </w:rPr>
    </w:lvl>
    <w:lvl w:ilvl="7">
      <w:start w:val="1"/>
      <w:numFmt w:val="lowerLetter"/>
      <w:lvlText w:val="%8."/>
      <w:lvlJc w:val="left"/>
      <w:pPr>
        <w:ind w:left="2160" w:hanging="240"/>
      </w:pPr>
      <w:rPr>
        <w:rFonts w:hint="default"/>
      </w:rPr>
    </w:lvl>
    <w:lvl w:ilvl="8">
      <w:start w:val="1"/>
      <w:numFmt w:val="lowerRoman"/>
      <w:lvlText w:val="%9."/>
      <w:lvlJc w:val="left"/>
      <w:pPr>
        <w:ind w:left="2400" w:hanging="240"/>
      </w:pPr>
      <w:rPr>
        <w:rFonts w:hint="default"/>
      </w:rPr>
    </w:lvl>
  </w:abstractNum>
  <w:abstractNum w:abstractNumId="22"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23" w15:restartNumberingAfterBreak="0">
    <w:nsid w:val="4561501A"/>
    <w:multiLevelType w:val="hybridMultilevel"/>
    <w:tmpl w:val="E0F25574"/>
    <w:lvl w:ilvl="0" w:tplc="8B744792">
      <w:start w:val="1"/>
      <w:numFmt w:val="bullet"/>
      <w:lvlText w:val=""/>
      <w:lvlJc w:val="left"/>
      <w:pPr>
        <w:ind w:left="720" w:hanging="360"/>
      </w:pPr>
      <w:rPr>
        <w:rFonts w:ascii="Symbol" w:hAnsi="Symbol" w:hint="default"/>
      </w:rPr>
    </w:lvl>
    <w:lvl w:ilvl="1" w:tplc="38BAA9BC">
      <w:start w:val="1"/>
      <w:numFmt w:val="decimal"/>
      <w:lvlText w:val="%2."/>
      <w:lvlJc w:val="left"/>
      <w:pPr>
        <w:tabs>
          <w:tab w:val="num" w:pos="1440"/>
        </w:tabs>
        <w:ind w:left="1440" w:hanging="360"/>
      </w:pPr>
    </w:lvl>
    <w:lvl w:ilvl="2" w:tplc="2B8E58BC">
      <w:start w:val="1"/>
      <w:numFmt w:val="decimal"/>
      <w:lvlText w:val="%3."/>
      <w:lvlJc w:val="left"/>
      <w:pPr>
        <w:tabs>
          <w:tab w:val="num" w:pos="2160"/>
        </w:tabs>
        <w:ind w:left="2160" w:hanging="360"/>
      </w:pPr>
    </w:lvl>
    <w:lvl w:ilvl="3" w:tplc="A744858A">
      <w:start w:val="1"/>
      <w:numFmt w:val="decimal"/>
      <w:lvlText w:val="%4."/>
      <w:lvlJc w:val="left"/>
      <w:pPr>
        <w:tabs>
          <w:tab w:val="num" w:pos="2880"/>
        </w:tabs>
        <w:ind w:left="2880" w:hanging="360"/>
      </w:pPr>
    </w:lvl>
    <w:lvl w:ilvl="4" w:tplc="6A467A94">
      <w:start w:val="1"/>
      <w:numFmt w:val="decimal"/>
      <w:lvlText w:val="%5."/>
      <w:lvlJc w:val="left"/>
      <w:pPr>
        <w:tabs>
          <w:tab w:val="num" w:pos="3600"/>
        </w:tabs>
        <w:ind w:left="3600" w:hanging="360"/>
      </w:pPr>
    </w:lvl>
    <w:lvl w:ilvl="5" w:tplc="F1804222">
      <w:start w:val="1"/>
      <w:numFmt w:val="decimal"/>
      <w:lvlText w:val="%6."/>
      <w:lvlJc w:val="left"/>
      <w:pPr>
        <w:tabs>
          <w:tab w:val="num" w:pos="4320"/>
        </w:tabs>
        <w:ind w:left="4320" w:hanging="360"/>
      </w:pPr>
    </w:lvl>
    <w:lvl w:ilvl="6" w:tplc="7108C3E4">
      <w:start w:val="1"/>
      <w:numFmt w:val="decimal"/>
      <w:lvlText w:val="%7."/>
      <w:lvlJc w:val="left"/>
      <w:pPr>
        <w:tabs>
          <w:tab w:val="num" w:pos="5040"/>
        </w:tabs>
        <w:ind w:left="5040" w:hanging="360"/>
      </w:pPr>
    </w:lvl>
    <w:lvl w:ilvl="7" w:tplc="87CC1F74">
      <w:start w:val="1"/>
      <w:numFmt w:val="decimal"/>
      <w:lvlText w:val="%8."/>
      <w:lvlJc w:val="left"/>
      <w:pPr>
        <w:tabs>
          <w:tab w:val="num" w:pos="5760"/>
        </w:tabs>
        <w:ind w:left="5760" w:hanging="360"/>
      </w:pPr>
    </w:lvl>
    <w:lvl w:ilvl="8" w:tplc="186E99DC">
      <w:start w:val="1"/>
      <w:numFmt w:val="decimal"/>
      <w:lvlText w:val="%9."/>
      <w:lvlJc w:val="left"/>
      <w:pPr>
        <w:tabs>
          <w:tab w:val="num" w:pos="6480"/>
        </w:tabs>
        <w:ind w:left="6480" w:hanging="360"/>
      </w:pPr>
    </w:lvl>
  </w:abstractNum>
  <w:abstractNum w:abstractNumId="24" w15:restartNumberingAfterBreak="0">
    <w:nsid w:val="47B82382"/>
    <w:multiLevelType w:val="multilevel"/>
    <w:tmpl w:val="0409001D"/>
    <w:styleLink w:val="1111110"/>
    <w:lvl w:ilvl="0">
      <w:start w:val="1"/>
      <w:numFmt w:val="decimal"/>
      <w:lvlText w:val="%1)"/>
      <w:lvlJc w:val="left"/>
      <w:pPr>
        <w:ind w:left="360" w:hanging="360"/>
      </w:pPr>
      <w:rPr>
        <w:rFonts w:ascii="Linux Biolinum O" w:hAnsi="Linux Biolinum O" w:cs="Linux Biolinum 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26" w15:restartNumberingAfterBreak="0">
    <w:nsid w:val="485F27EF"/>
    <w:multiLevelType w:val="hybridMultilevel"/>
    <w:tmpl w:val="6B02A0FA"/>
    <w:lvl w:ilvl="0" w:tplc="9474CC76">
      <w:start w:val="1"/>
      <w:numFmt w:val="decimal"/>
      <w:lvlText w:val="%1."/>
      <w:lvlJc w:val="left"/>
      <w:pPr>
        <w:ind w:left="720" w:hanging="360"/>
      </w:pPr>
      <w:rPr>
        <w:rFonts w:hint="default"/>
      </w:rPr>
    </w:lvl>
    <w:lvl w:ilvl="1" w:tplc="54604FFA">
      <w:start w:val="1"/>
      <w:numFmt w:val="decimal"/>
      <w:lvlText w:val="%2."/>
      <w:lvlJc w:val="left"/>
      <w:pPr>
        <w:tabs>
          <w:tab w:val="num" w:pos="1440"/>
        </w:tabs>
        <w:ind w:left="1440" w:hanging="360"/>
      </w:pPr>
    </w:lvl>
    <w:lvl w:ilvl="2" w:tplc="ABD48BDE">
      <w:start w:val="1"/>
      <w:numFmt w:val="decimal"/>
      <w:lvlText w:val="%3."/>
      <w:lvlJc w:val="left"/>
      <w:pPr>
        <w:tabs>
          <w:tab w:val="num" w:pos="2160"/>
        </w:tabs>
        <w:ind w:left="2160" w:hanging="360"/>
      </w:pPr>
    </w:lvl>
    <w:lvl w:ilvl="3" w:tplc="5C36E274">
      <w:start w:val="1"/>
      <w:numFmt w:val="decimal"/>
      <w:lvlText w:val="%4."/>
      <w:lvlJc w:val="left"/>
      <w:pPr>
        <w:tabs>
          <w:tab w:val="num" w:pos="2880"/>
        </w:tabs>
        <w:ind w:left="2880" w:hanging="360"/>
      </w:pPr>
    </w:lvl>
    <w:lvl w:ilvl="4" w:tplc="36C4667A">
      <w:start w:val="1"/>
      <w:numFmt w:val="decimal"/>
      <w:lvlText w:val="%5."/>
      <w:lvlJc w:val="left"/>
      <w:pPr>
        <w:tabs>
          <w:tab w:val="num" w:pos="3600"/>
        </w:tabs>
        <w:ind w:left="3600" w:hanging="360"/>
      </w:pPr>
    </w:lvl>
    <w:lvl w:ilvl="5" w:tplc="D1B83EDA">
      <w:start w:val="1"/>
      <w:numFmt w:val="decimal"/>
      <w:lvlText w:val="%6."/>
      <w:lvlJc w:val="left"/>
      <w:pPr>
        <w:tabs>
          <w:tab w:val="num" w:pos="4320"/>
        </w:tabs>
        <w:ind w:left="4320" w:hanging="360"/>
      </w:pPr>
    </w:lvl>
    <w:lvl w:ilvl="6" w:tplc="93C2FDE0">
      <w:start w:val="1"/>
      <w:numFmt w:val="decimal"/>
      <w:lvlText w:val="%7."/>
      <w:lvlJc w:val="left"/>
      <w:pPr>
        <w:tabs>
          <w:tab w:val="num" w:pos="5040"/>
        </w:tabs>
        <w:ind w:left="5040" w:hanging="360"/>
      </w:pPr>
    </w:lvl>
    <w:lvl w:ilvl="7" w:tplc="2A3C9852">
      <w:start w:val="1"/>
      <w:numFmt w:val="decimal"/>
      <w:lvlText w:val="%8."/>
      <w:lvlJc w:val="left"/>
      <w:pPr>
        <w:tabs>
          <w:tab w:val="num" w:pos="5760"/>
        </w:tabs>
        <w:ind w:left="5760" w:hanging="360"/>
      </w:pPr>
    </w:lvl>
    <w:lvl w:ilvl="8" w:tplc="1DB298D2">
      <w:start w:val="1"/>
      <w:numFmt w:val="decimal"/>
      <w:lvlText w:val="%9."/>
      <w:lvlJc w:val="left"/>
      <w:pPr>
        <w:tabs>
          <w:tab w:val="num" w:pos="6480"/>
        </w:tabs>
        <w:ind w:left="6480" w:hanging="360"/>
      </w:pPr>
    </w:lvl>
  </w:abstractNum>
  <w:abstractNum w:abstractNumId="27"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8" w15:restartNumberingAfterBreak="0">
    <w:nsid w:val="632C682A"/>
    <w:multiLevelType w:val="multilevel"/>
    <w:tmpl w:val="04090023"/>
    <w:styleLink w:val="a2"/>
    <w:lvl w:ilvl="0">
      <w:start w:val="1"/>
      <w:numFmt w:val="upperRoman"/>
      <w:lvlText w:val="Article %1."/>
      <w:lvlJc w:val="left"/>
      <w:pPr>
        <w:ind w:left="0" w:firstLine="0"/>
      </w:pPr>
      <w:rPr>
        <w:rFonts w:ascii="Linux Biolinum O" w:hAnsi="Linux Biolinum O" w:cs="Linux Biolinum O"/>
      </w:rPr>
    </w:lvl>
    <w:lvl w:ilvl="1">
      <w:start w:val="1"/>
      <w:numFmt w:val="decimalZero"/>
      <w:isLgl/>
      <w:lvlText w:val="Section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30"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B8450BC"/>
    <w:multiLevelType w:val="hybridMultilevel"/>
    <w:tmpl w:val="20D017B2"/>
    <w:lvl w:ilvl="0" w:tplc="41629886">
      <w:start w:val="1"/>
      <w:numFmt w:val="decimal"/>
      <w:lvlText w:val="%1."/>
      <w:lvlJc w:val="left"/>
      <w:pPr>
        <w:ind w:left="720" w:hanging="360"/>
      </w:pPr>
    </w:lvl>
    <w:lvl w:ilvl="1" w:tplc="ECBED676">
      <w:start w:val="1"/>
      <w:numFmt w:val="decimal"/>
      <w:lvlText w:val="%2."/>
      <w:lvlJc w:val="left"/>
      <w:pPr>
        <w:tabs>
          <w:tab w:val="num" w:pos="1440"/>
        </w:tabs>
        <w:ind w:left="1440" w:hanging="360"/>
      </w:pPr>
    </w:lvl>
    <w:lvl w:ilvl="2" w:tplc="17DEE1F2">
      <w:start w:val="1"/>
      <w:numFmt w:val="decimal"/>
      <w:lvlText w:val="%3."/>
      <w:lvlJc w:val="left"/>
      <w:pPr>
        <w:tabs>
          <w:tab w:val="num" w:pos="2160"/>
        </w:tabs>
        <w:ind w:left="2160" w:hanging="360"/>
      </w:pPr>
    </w:lvl>
    <w:lvl w:ilvl="3" w:tplc="BEDC9614">
      <w:start w:val="1"/>
      <w:numFmt w:val="decimal"/>
      <w:lvlText w:val="%4."/>
      <w:lvlJc w:val="left"/>
      <w:pPr>
        <w:tabs>
          <w:tab w:val="num" w:pos="2880"/>
        </w:tabs>
        <w:ind w:left="2880" w:hanging="360"/>
      </w:pPr>
    </w:lvl>
    <w:lvl w:ilvl="4" w:tplc="20C469D4">
      <w:start w:val="1"/>
      <w:numFmt w:val="decimal"/>
      <w:lvlText w:val="%5."/>
      <w:lvlJc w:val="left"/>
      <w:pPr>
        <w:tabs>
          <w:tab w:val="num" w:pos="3600"/>
        </w:tabs>
        <w:ind w:left="3600" w:hanging="360"/>
      </w:pPr>
    </w:lvl>
    <w:lvl w:ilvl="5" w:tplc="422AD9BE">
      <w:start w:val="1"/>
      <w:numFmt w:val="decimal"/>
      <w:lvlText w:val="%6."/>
      <w:lvlJc w:val="left"/>
      <w:pPr>
        <w:tabs>
          <w:tab w:val="num" w:pos="4320"/>
        </w:tabs>
        <w:ind w:left="4320" w:hanging="360"/>
      </w:pPr>
    </w:lvl>
    <w:lvl w:ilvl="6" w:tplc="F56E17E8">
      <w:start w:val="1"/>
      <w:numFmt w:val="decimal"/>
      <w:lvlText w:val="%7."/>
      <w:lvlJc w:val="left"/>
      <w:pPr>
        <w:tabs>
          <w:tab w:val="num" w:pos="5040"/>
        </w:tabs>
        <w:ind w:left="5040" w:hanging="360"/>
      </w:pPr>
    </w:lvl>
    <w:lvl w:ilvl="7" w:tplc="97566606">
      <w:start w:val="1"/>
      <w:numFmt w:val="decimal"/>
      <w:lvlText w:val="%8."/>
      <w:lvlJc w:val="left"/>
      <w:pPr>
        <w:tabs>
          <w:tab w:val="num" w:pos="5760"/>
        </w:tabs>
        <w:ind w:left="5760" w:hanging="360"/>
      </w:pPr>
    </w:lvl>
    <w:lvl w:ilvl="8" w:tplc="8692217E">
      <w:start w:val="1"/>
      <w:numFmt w:val="decimal"/>
      <w:lvlText w:val="%9."/>
      <w:lvlJc w:val="left"/>
      <w:pPr>
        <w:tabs>
          <w:tab w:val="num" w:pos="6480"/>
        </w:tabs>
        <w:ind w:left="6480" w:hanging="360"/>
      </w:pPr>
    </w:lvl>
  </w:abstractNum>
  <w:abstractNum w:abstractNumId="32" w15:restartNumberingAfterBreak="0">
    <w:nsid w:val="7E544166"/>
    <w:multiLevelType w:val="multilevel"/>
    <w:tmpl w:val="4D6825E8"/>
    <w:numStyleLink w:val="111111"/>
  </w:abstractNum>
  <w:num w:numId="1" w16cid:durableId="101445832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332236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01504043">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75176063">
    <w:abstractNumId w:val="16"/>
  </w:num>
  <w:num w:numId="5" w16cid:durableId="397478589">
    <w:abstractNumId w:val="10"/>
  </w:num>
  <w:num w:numId="6" w16cid:durableId="251740450">
    <w:abstractNumId w:val="0"/>
  </w:num>
  <w:num w:numId="7" w16cid:durableId="688722827">
    <w:abstractNumId w:val="1"/>
  </w:num>
  <w:num w:numId="8" w16cid:durableId="1800297441">
    <w:abstractNumId w:val="2"/>
  </w:num>
  <w:num w:numId="9" w16cid:durableId="395930497">
    <w:abstractNumId w:val="3"/>
  </w:num>
  <w:num w:numId="10" w16cid:durableId="1288243071">
    <w:abstractNumId w:val="8"/>
  </w:num>
  <w:num w:numId="11" w16cid:durableId="487937070">
    <w:abstractNumId w:val="4"/>
  </w:num>
  <w:num w:numId="12" w16cid:durableId="1643388039">
    <w:abstractNumId w:val="5"/>
  </w:num>
  <w:num w:numId="13" w16cid:durableId="905191474">
    <w:abstractNumId w:val="6"/>
  </w:num>
  <w:num w:numId="14" w16cid:durableId="272369836">
    <w:abstractNumId w:val="7"/>
  </w:num>
  <w:num w:numId="15" w16cid:durableId="1960990631">
    <w:abstractNumId w:val="9"/>
  </w:num>
  <w:num w:numId="16" w16cid:durableId="1228805823">
    <w:abstractNumId w:val="30"/>
  </w:num>
  <w:num w:numId="17" w16cid:durableId="376590714">
    <w:abstractNumId w:val="24"/>
  </w:num>
  <w:num w:numId="18" w16cid:durableId="1052271427">
    <w:abstractNumId w:val="28"/>
  </w:num>
  <w:num w:numId="19" w16cid:durableId="1931504280">
    <w:abstractNumId w:val="10"/>
  </w:num>
  <w:num w:numId="20" w16cid:durableId="154229297">
    <w:abstractNumId w:val="27"/>
  </w:num>
  <w:num w:numId="21" w16cid:durableId="918170979">
    <w:abstractNumId w:val="16"/>
    <w:lvlOverride w:ilvl="0">
      <w:startOverride w:val="1"/>
    </w:lvlOverride>
  </w:num>
  <w:num w:numId="22" w16cid:durableId="864632546">
    <w:abstractNumId w:val="16"/>
    <w:lvlOverride w:ilvl="0">
      <w:startOverride w:val="1"/>
    </w:lvlOverride>
  </w:num>
  <w:num w:numId="23" w16cid:durableId="1614629629">
    <w:abstractNumId w:val="23"/>
  </w:num>
  <w:num w:numId="24" w16cid:durableId="1158152654">
    <w:abstractNumId w:val="26"/>
  </w:num>
  <w:num w:numId="25" w16cid:durableId="145167183">
    <w:abstractNumId w:val="11"/>
  </w:num>
  <w:num w:numId="26" w16cid:durableId="1739479448">
    <w:abstractNumId w:val="23"/>
  </w:num>
  <w:num w:numId="27" w16cid:durableId="1714576191">
    <w:abstractNumId w:val="14"/>
  </w:num>
  <w:num w:numId="28" w16cid:durableId="699279860">
    <w:abstractNumId w:val="11"/>
    <w:lvlOverride w:ilvl="0">
      <w:startOverride w:val="1"/>
    </w:lvlOverride>
  </w:num>
  <w:num w:numId="29" w16cid:durableId="583339816">
    <w:abstractNumId w:val="15"/>
  </w:num>
  <w:num w:numId="30" w16cid:durableId="1896892550">
    <w:abstractNumId w:val="11"/>
    <w:lvlOverride w:ilvl="0">
      <w:startOverride w:val="1"/>
    </w:lvlOverride>
  </w:num>
  <w:num w:numId="31" w16cid:durableId="2002343236">
    <w:abstractNumId w:val="11"/>
  </w:num>
  <w:num w:numId="32" w16cid:durableId="1016150049">
    <w:abstractNumId w:val="12"/>
  </w:num>
  <w:num w:numId="33" w16cid:durableId="287394588">
    <w:abstractNumId w:val="11"/>
    <w:lvlOverride w:ilvl="0">
      <w:startOverride w:val="1"/>
    </w:lvlOverride>
  </w:num>
  <w:num w:numId="34" w16cid:durableId="901794877">
    <w:abstractNumId w:val="17"/>
  </w:num>
  <w:num w:numId="35" w16cid:durableId="1164247843">
    <w:abstractNumId w:val="32"/>
  </w:num>
  <w:num w:numId="36" w16cid:durableId="1177423646">
    <w:abstractNumId w:val="18"/>
  </w:num>
  <w:num w:numId="37" w16cid:durableId="941376156">
    <w:abstractNumId w:val="21"/>
  </w:num>
  <w:num w:numId="38" w16cid:durableId="18455969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19358132">
    <w:abstractNumId w:val="20"/>
  </w:num>
  <w:num w:numId="40" w16cid:durableId="1741171739">
    <w:abstractNumId w:val="22"/>
  </w:num>
  <w:num w:numId="41" w16cid:durableId="999112159">
    <w:abstractNumId w:val="29"/>
  </w:num>
  <w:num w:numId="42" w16cid:durableId="379675583">
    <w:abstractNumId w:val="19"/>
  </w:num>
  <w:num w:numId="43" w16cid:durableId="754280002">
    <w:abstractNumId w:val="13"/>
  </w:num>
  <w:num w:numId="44" w16cid:durableId="2121341422">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UyNjYxsbAwNjE0MDdW0lEKTi0uzszPAykwMqwFAJ2CFWctAAAA"/>
  </w:docVars>
  <w:rsids>
    <w:rsidRoot w:val="0008602E"/>
    <w:rsid w:val="000039B9"/>
    <w:rsid w:val="00012038"/>
    <w:rsid w:val="00016A42"/>
    <w:rsid w:val="00026F05"/>
    <w:rsid w:val="00030078"/>
    <w:rsid w:val="0004530F"/>
    <w:rsid w:val="00056759"/>
    <w:rsid w:val="00071858"/>
    <w:rsid w:val="000723E6"/>
    <w:rsid w:val="0007457F"/>
    <w:rsid w:val="000852CB"/>
    <w:rsid w:val="0008602E"/>
    <w:rsid w:val="00094CDC"/>
    <w:rsid w:val="00095C5D"/>
    <w:rsid w:val="00097023"/>
    <w:rsid w:val="00097C6B"/>
    <w:rsid w:val="000B263B"/>
    <w:rsid w:val="000B40B0"/>
    <w:rsid w:val="000B66C4"/>
    <w:rsid w:val="000B69BC"/>
    <w:rsid w:val="000C43BD"/>
    <w:rsid w:val="000C6221"/>
    <w:rsid w:val="000E65D7"/>
    <w:rsid w:val="000E7A86"/>
    <w:rsid w:val="000F27EC"/>
    <w:rsid w:val="00133DB7"/>
    <w:rsid w:val="001419C7"/>
    <w:rsid w:val="00143408"/>
    <w:rsid w:val="001464FF"/>
    <w:rsid w:val="001609FD"/>
    <w:rsid w:val="00165CFE"/>
    <w:rsid w:val="00171F58"/>
    <w:rsid w:val="00175D35"/>
    <w:rsid w:val="00184F3C"/>
    <w:rsid w:val="00187EEE"/>
    <w:rsid w:val="001A2505"/>
    <w:rsid w:val="001B0568"/>
    <w:rsid w:val="001B1C82"/>
    <w:rsid w:val="001B690F"/>
    <w:rsid w:val="001D2DB8"/>
    <w:rsid w:val="001E2551"/>
    <w:rsid w:val="001E2D05"/>
    <w:rsid w:val="001E46A4"/>
    <w:rsid w:val="001E59C7"/>
    <w:rsid w:val="001F5542"/>
    <w:rsid w:val="0022435E"/>
    <w:rsid w:val="00226946"/>
    <w:rsid w:val="0023173D"/>
    <w:rsid w:val="00232507"/>
    <w:rsid w:val="002375A6"/>
    <w:rsid w:val="00241FC3"/>
    <w:rsid w:val="00245F36"/>
    <w:rsid w:val="00256D26"/>
    <w:rsid w:val="00264A4B"/>
    <w:rsid w:val="00272049"/>
    <w:rsid w:val="002813B9"/>
    <w:rsid w:val="00282050"/>
    <w:rsid w:val="0028733C"/>
    <w:rsid w:val="002B7BDE"/>
    <w:rsid w:val="002C4ACC"/>
    <w:rsid w:val="002D27B4"/>
    <w:rsid w:val="002E3C76"/>
    <w:rsid w:val="002E4BBC"/>
    <w:rsid w:val="002E613F"/>
    <w:rsid w:val="0030123F"/>
    <w:rsid w:val="00307806"/>
    <w:rsid w:val="00325075"/>
    <w:rsid w:val="0034440B"/>
    <w:rsid w:val="00345FD1"/>
    <w:rsid w:val="00346032"/>
    <w:rsid w:val="00347097"/>
    <w:rsid w:val="0035027B"/>
    <w:rsid w:val="00355041"/>
    <w:rsid w:val="00357AFE"/>
    <w:rsid w:val="00360455"/>
    <w:rsid w:val="00382673"/>
    <w:rsid w:val="003970AA"/>
    <w:rsid w:val="003A2157"/>
    <w:rsid w:val="003A5268"/>
    <w:rsid w:val="003A540F"/>
    <w:rsid w:val="003B13D2"/>
    <w:rsid w:val="003B418C"/>
    <w:rsid w:val="003B75C2"/>
    <w:rsid w:val="003C3AB4"/>
    <w:rsid w:val="003C532D"/>
    <w:rsid w:val="003D6F43"/>
    <w:rsid w:val="003E025A"/>
    <w:rsid w:val="003E2301"/>
    <w:rsid w:val="003F3514"/>
    <w:rsid w:val="003F6914"/>
    <w:rsid w:val="0040379A"/>
    <w:rsid w:val="00411515"/>
    <w:rsid w:val="00414235"/>
    <w:rsid w:val="00427741"/>
    <w:rsid w:val="00441C11"/>
    <w:rsid w:val="00442A1A"/>
    <w:rsid w:val="00444018"/>
    <w:rsid w:val="00447643"/>
    <w:rsid w:val="0045056A"/>
    <w:rsid w:val="004564EC"/>
    <w:rsid w:val="00456D82"/>
    <w:rsid w:val="00471F13"/>
    <w:rsid w:val="00496E20"/>
    <w:rsid w:val="004B0079"/>
    <w:rsid w:val="004B380B"/>
    <w:rsid w:val="004B4437"/>
    <w:rsid w:val="004C31B4"/>
    <w:rsid w:val="004C3570"/>
    <w:rsid w:val="004E7CE0"/>
    <w:rsid w:val="004F1F77"/>
    <w:rsid w:val="004F297F"/>
    <w:rsid w:val="00501023"/>
    <w:rsid w:val="00523880"/>
    <w:rsid w:val="00530374"/>
    <w:rsid w:val="0054003C"/>
    <w:rsid w:val="005447E5"/>
    <w:rsid w:val="00544B8C"/>
    <w:rsid w:val="0054701D"/>
    <w:rsid w:val="00551592"/>
    <w:rsid w:val="00560F83"/>
    <w:rsid w:val="00565836"/>
    <w:rsid w:val="005670C2"/>
    <w:rsid w:val="005722C7"/>
    <w:rsid w:val="005804EB"/>
    <w:rsid w:val="0058050A"/>
    <w:rsid w:val="0058251A"/>
    <w:rsid w:val="0059056E"/>
    <w:rsid w:val="00593E4E"/>
    <w:rsid w:val="005B128B"/>
    <w:rsid w:val="005C5AC4"/>
    <w:rsid w:val="005E7B80"/>
    <w:rsid w:val="00604CA3"/>
    <w:rsid w:val="00605A08"/>
    <w:rsid w:val="00614A19"/>
    <w:rsid w:val="006156D8"/>
    <w:rsid w:val="00617243"/>
    <w:rsid w:val="006267A7"/>
    <w:rsid w:val="00630604"/>
    <w:rsid w:val="00636000"/>
    <w:rsid w:val="00651D2F"/>
    <w:rsid w:val="006552C5"/>
    <w:rsid w:val="00660075"/>
    <w:rsid w:val="006731E1"/>
    <w:rsid w:val="00682D23"/>
    <w:rsid w:val="00695442"/>
    <w:rsid w:val="006A6DF0"/>
    <w:rsid w:val="006C2A3C"/>
    <w:rsid w:val="006C413E"/>
    <w:rsid w:val="006C6C2F"/>
    <w:rsid w:val="006D0A6D"/>
    <w:rsid w:val="006D76F7"/>
    <w:rsid w:val="006E6F2A"/>
    <w:rsid w:val="006F02D2"/>
    <w:rsid w:val="00713A03"/>
    <w:rsid w:val="007419B5"/>
    <w:rsid w:val="00746BCA"/>
    <w:rsid w:val="007545FA"/>
    <w:rsid w:val="00754EA8"/>
    <w:rsid w:val="00755A25"/>
    <w:rsid w:val="00763F53"/>
    <w:rsid w:val="007679F3"/>
    <w:rsid w:val="00771D0F"/>
    <w:rsid w:val="00772A08"/>
    <w:rsid w:val="00772D8F"/>
    <w:rsid w:val="007753FC"/>
    <w:rsid w:val="0078683C"/>
    <w:rsid w:val="007918B0"/>
    <w:rsid w:val="007A23DA"/>
    <w:rsid w:val="007B7078"/>
    <w:rsid w:val="007C3AD8"/>
    <w:rsid w:val="007C57D2"/>
    <w:rsid w:val="0082298C"/>
    <w:rsid w:val="008275CB"/>
    <w:rsid w:val="0083613D"/>
    <w:rsid w:val="00840E46"/>
    <w:rsid w:val="0084185F"/>
    <w:rsid w:val="00860B1D"/>
    <w:rsid w:val="008645B1"/>
    <w:rsid w:val="00884239"/>
    <w:rsid w:val="008855AE"/>
    <w:rsid w:val="00887B7D"/>
    <w:rsid w:val="008924A5"/>
    <w:rsid w:val="00894B43"/>
    <w:rsid w:val="008A70B8"/>
    <w:rsid w:val="008A7B2D"/>
    <w:rsid w:val="008C40F0"/>
    <w:rsid w:val="008D3252"/>
    <w:rsid w:val="008D5155"/>
    <w:rsid w:val="008E02DD"/>
    <w:rsid w:val="008F5A4A"/>
    <w:rsid w:val="00906FA6"/>
    <w:rsid w:val="009132D2"/>
    <w:rsid w:val="00914E45"/>
    <w:rsid w:val="00923F1F"/>
    <w:rsid w:val="00925CE4"/>
    <w:rsid w:val="00954449"/>
    <w:rsid w:val="0096469A"/>
    <w:rsid w:val="009666F6"/>
    <w:rsid w:val="00976834"/>
    <w:rsid w:val="0098316C"/>
    <w:rsid w:val="00983E7F"/>
    <w:rsid w:val="00984078"/>
    <w:rsid w:val="009907FC"/>
    <w:rsid w:val="00991E32"/>
    <w:rsid w:val="00996EF9"/>
    <w:rsid w:val="009A05BE"/>
    <w:rsid w:val="009B5CDC"/>
    <w:rsid w:val="009D1F50"/>
    <w:rsid w:val="009D632E"/>
    <w:rsid w:val="009E0815"/>
    <w:rsid w:val="009E27B2"/>
    <w:rsid w:val="009E3487"/>
    <w:rsid w:val="009F6659"/>
    <w:rsid w:val="00A02ED8"/>
    <w:rsid w:val="00A074E3"/>
    <w:rsid w:val="00A170CF"/>
    <w:rsid w:val="00A53CA0"/>
    <w:rsid w:val="00A62D4B"/>
    <w:rsid w:val="00A65ADA"/>
    <w:rsid w:val="00A70723"/>
    <w:rsid w:val="00A70C11"/>
    <w:rsid w:val="00A81938"/>
    <w:rsid w:val="00A8296F"/>
    <w:rsid w:val="00A87EFD"/>
    <w:rsid w:val="00A91516"/>
    <w:rsid w:val="00A96468"/>
    <w:rsid w:val="00AA345B"/>
    <w:rsid w:val="00AA6E11"/>
    <w:rsid w:val="00AB385B"/>
    <w:rsid w:val="00AB49A2"/>
    <w:rsid w:val="00AB6464"/>
    <w:rsid w:val="00AD2B71"/>
    <w:rsid w:val="00AF34BE"/>
    <w:rsid w:val="00AF529F"/>
    <w:rsid w:val="00B04738"/>
    <w:rsid w:val="00B10F73"/>
    <w:rsid w:val="00B1638F"/>
    <w:rsid w:val="00B16D13"/>
    <w:rsid w:val="00B21A8E"/>
    <w:rsid w:val="00B25EC5"/>
    <w:rsid w:val="00B309CD"/>
    <w:rsid w:val="00B32DED"/>
    <w:rsid w:val="00B464E9"/>
    <w:rsid w:val="00B47F28"/>
    <w:rsid w:val="00B50C8A"/>
    <w:rsid w:val="00B52B86"/>
    <w:rsid w:val="00B64A8C"/>
    <w:rsid w:val="00B65892"/>
    <w:rsid w:val="00B7329F"/>
    <w:rsid w:val="00B73374"/>
    <w:rsid w:val="00B73A7F"/>
    <w:rsid w:val="00B73DAA"/>
    <w:rsid w:val="00B747C3"/>
    <w:rsid w:val="00BA2BA2"/>
    <w:rsid w:val="00BB707F"/>
    <w:rsid w:val="00BC1284"/>
    <w:rsid w:val="00BD1209"/>
    <w:rsid w:val="00BD529B"/>
    <w:rsid w:val="00BE10C8"/>
    <w:rsid w:val="00BE6AC7"/>
    <w:rsid w:val="00BF6A11"/>
    <w:rsid w:val="00C12895"/>
    <w:rsid w:val="00C13C4C"/>
    <w:rsid w:val="00C14AD6"/>
    <w:rsid w:val="00C24C41"/>
    <w:rsid w:val="00C31821"/>
    <w:rsid w:val="00C36157"/>
    <w:rsid w:val="00C42C2E"/>
    <w:rsid w:val="00C525D7"/>
    <w:rsid w:val="00C562CF"/>
    <w:rsid w:val="00C57AA7"/>
    <w:rsid w:val="00C61C71"/>
    <w:rsid w:val="00C85D5B"/>
    <w:rsid w:val="00C86697"/>
    <w:rsid w:val="00CA1E28"/>
    <w:rsid w:val="00CB3E5C"/>
    <w:rsid w:val="00CC1C8C"/>
    <w:rsid w:val="00CC1ECE"/>
    <w:rsid w:val="00CD6BEE"/>
    <w:rsid w:val="00CE09D7"/>
    <w:rsid w:val="00CE5EA4"/>
    <w:rsid w:val="00CE687A"/>
    <w:rsid w:val="00CE6F4E"/>
    <w:rsid w:val="00CF5162"/>
    <w:rsid w:val="00D02F71"/>
    <w:rsid w:val="00D04CEC"/>
    <w:rsid w:val="00D05B86"/>
    <w:rsid w:val="00D05B93"/>
    <w:rsid w:val="00D1477A"/>
    <w:rsid w:val="00D25BDB"/>
    <w:rsid w:val="00D26753"/>
    <w:rsid w:val="00D26E14"/>
    <w:rsid w:val="00D315A5"/>
    <w:rsid w:val="00D32C9E"/>
    <w:rsid w:val="00D4116C"/>
    <w:rsid w:val="00D41A16"/>
    <w:rsid w:val="00D458D0"/>
    <w:rsid w:val="00D646AF"/>
    <w:rsid w:val="00D75782"/>
    <w:rsid w:val="00D81AE6"/>
    <w:rsid w:val="00D92A3B"/>
    <w:rsid w:val="00DA5AB4"/>
    <w:rsid w:val="00DB1127"/>
    <w:rsid w:val="00DB176D"/>
    <w:rsid w:val="00DC6044"/>
    <w:rsid w:val="00DD4AD3"/>
    <w:rsid w:val="00DD4D76"/>
    <w:rsid w:val="00DD5CB7"/>
    <w:rsid w:val="00DF0BA4"/>
    <w:rsid w:val="00E00E3A"/>
    <w:rsid w:val="00E02C38"/>
    <w:rsid w:val="00E03AF6"/>
    <w:rsid w:val="00E31A15"/>
    <w:rsid w:val="00E51565"/>
    <w:rsid w:val="00E62682"/>
    <w:rsid w:val="00EA155B"/>
    <w:rsid w:val="00EA39C9"/>
    <w:rsid w:val="00EA5ED5"/>
    <w:rsid w:val="00EB17F1"/>
    <w:rsid w:val="00EC59D4"/>
    <w:rsid w:val="00ED01B9"/>
    <w:rsid w:val="00ED07F9"/>
    <w:rsid w:val="00ED2C80"/>
    <w:rsid w:val="00EE2E4F"/>
    <w:rsid w:val="00EE4FEB"/>
    <w:rsid w:val="00EF18AD"/>
    <w:rsid w:val="00EF2F35"/>
    <w:rsid w:val="00EF634C"/>
    <w:rsid w:val="00F040F5"/>
    <w:rsid w:val="00F05498"/>
    <w:rsid w:val="00F06DDF"/>
    <w:rsid w:val="00F50A91"/>
    <w:rsid w:val="00F542FA"/>
    <w:rsid w:val="00F64D59"/>
    <w:rsid w:val="00FA3C9C"/>
    <w:rsid w:val="00FB74C1"/>
    <w:rsid w:val="00FC3AB0"/>
    <w:rsid w:val="00FC5B00"/>
    <w:rsid w:val="00FD48C2"/>
    <w:rsid w:val="00FE5E64"/>
    <w:rsid w:val="00FF447D"/>
    <w:rsid w:val="00FF7EB2"/>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76E1420B"/>
  <w15:docId w15:val="{8DFD3AE9-43A3-4C65-9F9C-3B18ED2D0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8C40F0"/>
    <w:rPr>
      <w:rFonts w:ascii="Times New Roman" w:eastAsia="Times New Roman" w:hAnsi="Times New Roman"/>
      <w:sz w:val="24"/>
      <w:szCs w:val="24"/>
      <w:lang w:val="en-GB" w:eastAsia="en-GB"/>
    </w:rPr>
  </w:style>
  <w:style w:type="paragraph" w:styleId="1">
    <w:name w:val="heading 1"/>
    <w:basedOn w:val="a3"/>
    <w:next w:val="a3"/>
    <w:link w:val="10"/>
    <w:uiPriority w:val="9"/>
    <w:qFormat/>
    <w:rsid w:val="00EF2F35"/>
    <w:pPr>
      <w:keepNext/>
      <w:keepLines/>
      <w:spacing w:before="240"/>
      <w:outlineLvl w:val="0"/>
    </w:pPr>
    <w:rPr>
      <w:rFonts w:ascii="Linux Libertine O" w:eastAsiaTheme="majorEastAsia" w:hAnsi="Linux Libertine O" w:cs="Linux Libertine O"/>
      <w:color w:val="365F91" w:themeColor="accent1" w:themeShade="BF"/>
      <w:sz w:val="32"/>
      <w:szCs w:val="32"/>
      <w:lang w:val="en-US" w:eastAsia="ja-JP"/>
    </w:rPr>
  </w:style>
  <w:style w:type="paragraph" w:styleId="21">
    <w:name w:val="heading 2"/>
    <w:basedOn w:val="a3"/>
    <w:next w:val="a3"/>
    <w:link w:val="22"/>
    <w:uiPriority w:val="9"/>
    <w:unhideWhenUsed/>
    <w:qFormat/>
    <w:rsid w:val="00EF2F35"/>
    <w:pPr>
      <w:keepNext/>
      <w:keepLines/>
      <w:spacing w:before="40"/>
      <w:outlineLvl w:val="1"/>
    </w:pPr>
    <w:rPr>
      <w:rFonts w:ascii="Linux Libertine O" w:eastAsiaTheme="majorEastAsia" w:hAnsi="Linux Libertine O" w:cs="Linux Libertine O"/>
      <w:color w:val="365F91" w:themeColor="accent1" w:themeShade="BF"/>
      <w:sz w:val="26"/>
      <w:szCs w:val="26"/>
      <w:lang w:val="en-US" w:eastAsia="ja-JP"/>
    </w:rPr>
  </w:style>
  <w:style w:type="paragraph" w:styleId="31">
    <w:name w:val="heading 3"/>
    <w:basedOn w:val="a3"/>
    <w:next w:val="a3"/>
    <w:link w:val="32"/>
    <w:uiPriority w:val="9"/>
    <w:semiHidden/>
    <w:unhideWhenUsed/>
    <w:qFormat/>
    <w:rsid w:val="00EA5ED5"/>
    <w:pPr>
      <w:keepNext/>
      <w:keepLines/>
      <w:numPr>
        <w:ilvl w:val="2"/>
        <w:numId w:val="18"/>
      </w:numPr>
      <w:spacing w:before="40"/>
      <w:outlineLvl w:val="2"/>
    </w:pPr>
    <w:rPr>
      <w:rFonts w:ascii="Linux Libertine O" w:eastAsiaTheme="majorEastAsia" w:hAnsi="Linux Libertine O" w:cs="Linux Libertine O"/>
      <w:color w:val="243F60" w:themeColor="accent1" w:themeShade="7F"/>
      <w:lang w:val="en-US" w:eastAsia="ja-JP"/>
    </w:rPr>
  </w:style>
  <w:style w:type="paragraph" w:styleId="41">
    <w:name w:val="heading 4"/>
    <w:basedOn w:val="a3"/>
    <w:next w:val="a3"/>
    <w:link w:val="42"/>
    <w:uiPriority w:val="9"/>
    <w:semiHidden/>
    <w:unhideWhenUsed/>
    <w:qFormat/>
    <w:rsid w:val="00EA5ED5"/>
    <w:pPr>
      <w:keepNext/>
      <w:keepLines/>
      <w:numPr>
        <w:ilvl w:val="3"/>
        <w:numId w:val="18"/>
      </w:numPr>
      <w:spacing w:before="40"/>
      <w:outlineLvl w:val="3"/>
    </w:pPr>
    <w:rPr>
      <w:rFonts w:ascii="Linux Libertine O" w:eastAsiaTheme="majorEastAsia" w:hAnsi="Linux Libertine O" w:cs="Linux Libertine O"/>
      <w:i/>
      <w:iCs/>
      <w:color w:val="365F91" w:themeColor="accent1" w:themeShade="BF"/>
      <w:sz w:val="18"/>
      <w:lang w:val="en-US" w:eastAsia="ja-JP"/>
    </w:rPr>
  </w:style>
  <w:style w:type="paragraph" w:styleId="51">
    <w:name w:val="heading 5"/>
    <w:basedOn w:val="a3"/>
    <w:next w:val="a3"/>
    <w:link w:val="52"/>
    <w:uiPriority w:val="9"/>
    <w:semiHidden/>
    <w:unhideWhenUsed/>
    <w:qFormat/>
    <w:rsid w:val="00EA5ED5"/>
    <w:pPr>
      <w:keepNext/>
      <w:keepLines/>
      <w:numPr>
        <w:ilvl w:val="4"/>
        <w:numId w:val="18"/>
      </w:numPr>
      <w:spacing w:before="40"/>
      <w:outlineLvl w:val="4"/>
    </w:pPr>
    <w:rPr>
      <w:rFonts w:ascii="Linux Libertine O" w:eastAsiaTheme="majorEastAsia" w:hAnsi="Linux Libertine O" w:cs="Linux Libertine O"/>
      <w:color w:val="365F91" w:themeColor="accent1" w:themeShade="BF"/>
      <w:sz w:val="18"/>
      <w:lang w:val="en-US" w:eastAsia="ja-JP"/>
    </w:rPr>
  </w:style>
  <w:style w:type="paragraph" w:styleId="6">
    <w:name w:val="heading 6"/>
    <w:basedOn w:val="a3"/>
    <w:next w:val="a3"/>
    <w:link w:val="60"/>
    <w:uiPriority w:val="9"/>
    <w:semiHidden/>
    <w:unhideWhenUsed/>
    <w:qFormat/>
    <w:rsid w:val="00EA5ED5"/>
    <w:pPr>
      <w:keepNext/>
      <w:keepLines/>
      <w:numPr>
        <w:ilvl w:val="5"/>
        <w:numId w:val="18"/>
      </w:numPr>
      <w:spacing w:before="40"/>
      <w:outlineLvl w:val="5"/>
    </w:pPr>
    <w:rPr>
      <w:rFonts w:ascii="Linux Libertine O" w:eastAsiaTheme="majorEastAsia" w:hAnsi="Linux Libertine O" w:cs="Linux Libertine O"/>
      <w:color w:val="243F60" w:themeColor="accent1" w:themeShade="7F"/>
      <w:sz w:val="18"/>
      <w:lang w:val="en-US" w:eastAsia="ja-JP"/>
    </w:rPr>
  </w:style>
  <w:style w:type="paragraph" w:styleId="7">
    <w:name w:val="heading 7"/>
    <w:basedOn w:val="a3"/>
    <w:next w:val="a3"/>
    <w:link w:val="70"/>
    <w:uiPriority w:val="9"/>
    <w:semiHidden/>
    <w:unhideWhenUsed/>
    <w:qFormat/>
    <w:rsid w:val="00EA5ED5"/>
    <w:pPr>
      <w:keepNext/>
      <w:keepLines/>
      <w:numPr>
        <w:ilvl w:val="6"/>
        <w:numId w:val="18"/>
      </w:numPr>
      <w:spacing w:before="40"/>
      <w:outlineLvl w:val="6"/>
    </w:pPr>
    <w:rPr>
      <w:rFonts w:ascii="Linux Libertine O" w:eastAsiaTheme="majorEastAsia" w:hAnsi="Linux Libertine O" w:cs="Linux Libertine O"/>
      <w:i/>
      <w:iCs/>
      <w:color w:val="243F60" w:themeColor="accent1" w:themeShade="7F"/>
      <w:sz w:val="18"/>
      <w:lang w:val="en-US" w:eastAsia="ja-JP"/>
    </w:rPr>
  </w:style>
  <w:style w:type="paragraph" w:styleId="8">
    <w:name w:val="heading 8"/>
    <w:basedOn w:val="a3"/>
    <w:next w:val="a3"/>
    <w:link w:val="80"/>
    <w:uiPriority w:val="9"/>
    <w:semiHidden/>
    <w:unhideWhenUsed/>
    <w:qFormat/>
    <w:rsid w:val="00EA5ED5"/>
    <w:pPr>
      <w:keepNext/>
      <w:keepLines/>
      <w:numPr>
        <w:ilvl w:val="7"/>
        <w:numId w:val="18"/>
      </w:numPr>
      <w:spacing w:before="40"/>
      <w:outlineLvl w:val="7"/>
    </w:pPr>
    <w:rPr>
      <w:rFonts w:ascii="Linux Libertine O" w:eastAsiaTheme="majorEastAsia" w:hAnsi="Linux Libertine O" w:cs="Linux Libertine O"/>
      <w:color w:val="272727" w:themeColor="text1" w:themeTint="D8"/>
      <w:sz w:val="21"/>
      <w:szCs w:val="21"/>
      <w:lang w:val="en-US" w:eastAsia="ja-JP"/>
    </w:rPr>
  </w:style>
  <w:style w:type="paragraph" w:styleId="9">
    <w:name w:val="heading 9"/>
    <w:basedOn w:val="a3"/>
    <w:next w:val="a3"/>
    <w:link w:val="90"/>
    <w:uiPriority w:val="9"/>
    <w:semiHidden/>
    <w:unhideWhenUsed/>
    <w:qFormat/>
    <w:rsid w:val="00EA5ED5"/>
    <w:pPr>
      <w:keepNext/>
      <w:keepLines/>
      <w:numPr>
        <w:ilvl w:val="8"/>
        <w:numId w:val="18"/>
      </w:numPr>
      <w:spacing w:before="40"/>
      <w:outlineLvl w:val="8"/>
    </w:pPr>
    <w:rPr>
      <w:rFonts w:ascii="Linux Libertine O" w:eastAsiaTheme="majorEastAsia" w:hAnsi="Linux Libertine O" w:cs="Linux Libertine O"/>
      <w:i/>
      <w:iCs/>
      <w:color w:val="272727" w:themeColor="text1" w:themeTint="D8"/>
      <w:sz w:val="21"/>
      <w:szCs w:val="21"/>
      <w:lang w:val="en-US" w:eastAsia="ja-JP"/>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Cambria" w:hAnsi="Linux Biolinum O" w:cs="Linux Biolinum O"/>
      <w:sz w:val="16"/>
      <w:szCs w:val="22"/>
      <w:lang w:eastAsia="ja-JP"/>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Cambria" w:hAnsi="Linux Biolinum O" w:cs="Linux Biolinum O"/>
      <w:sz w:val="16"/>
      <w:szCs w:val="22"/>
      <w:lang w:eastAsia="ja-JP"/>
    </w:rPr>
  </w:style>
  <w:style w:type="paragraph" w:customStyle="1" w:styleId="Image">
    <w:name w:val="Image"/>
    <w:basedOn w:val="a3"/>
    <w:rsid w:val="00EF2F35"/>
    <w:pPr>
      <w:keepNext/>
      <w:spacing w:after="200" w:line="225" w:lineRule="atLeast"/>
      <w:jc w:val="center"/>
    </w:pPr>
    <w:rPr>
      <w:rFonts w:ascii="Linux Libertine O" w:eastAsia="Cambria" w:hAnsi="Linux Libertine O" w:cs="Linux Libertine O"/>
      <w:sz w:val="18"/>
      <w:lang w:val="en-US" w:eastAsia="en-US"/>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Times New Roman" w:hAnsi="Linux Biolinum O" w:cs="Linux Biolinum O"/>
      <w:b/>
      <w:bCs/>
      <w:caps/>
      <w:color w:val="auto"/>
      <w:sz w:val="18"/>
      <w:szCs w:val="20"/>
      <w:lang w:eastAsia="en-US"/>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Times New Roman" w:hAnsi="Linux Biolinum O" w:cs="Linux Biolinum O"/>
      <w:b/>
      <w:bCs/>
      <w:color w:val="auto"/>
      <w:sz w:val="18"/>
      <w:szCs w:val="20"/>
      <w:lang w:eastAsia="en-US"/>
    </w:rPr>
  </w:style>
  <w:style w:type="paragraph" w:customStyle="1" w:styleId="Head3old">
    <w:name w:val="Head3old"/>
    <w:next w:val="Para"/>
    <w:link w:val="Head3oldChar"/>
    <w:qFormat/>
    <w:rsid w:val="00EF2F35"/>
    <w:pPr>
      <w:keepNext/>
      <w:spacing w:before="240" w:after="60" w:line="225" w:lineRule="atLeast"/>
    </w:pPr>
    <w:rPr>
      <w:rFonts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Cambria" w:hAnsi="Linux Libertine O" w:cs="Linux Libertine O"/>
      <w:sz w:val="18"/>
      <w:lang w:val="en-US" w:eastAsia="ja-JP"/>
    </w:rPr>
  </w:style>
  <w:style w:type="character" w:styleId="a7">
    <w:name w:val="Hyperlink"/>
    <w:rsid w:val="00EF2F35"/>
    <w:rPr>
      <w:rFonts w:ascii="Linux Libertine O" w:hAnsi="Linux Libertine O" w:cs="Linux Libertine O" w:hint="default"/>
      <w:color w:val="0000FF"/>
      <w:u w:val="single"/>
    </w:rPr>
  </w:style>
  <w:style w:type="paragraph" w:styleId="a8">
    <w:name w:val="footnote text"/>
    <w:basedOn w:val="a3"/>
    <w:link w:val="a9"/>
    <w:rsid w:val="00EF2F35"/>
    <w:pPr>
      <w:spacing w:after="200"/>
    </w:pPr>
    <w:rPr>
      <w:rFonts w:ascii="Linux Libertine O" w:eastAsia="Cambria" w:hAnsi="Linux Libertine O" w:cs="Linux Libertine O"/>
      <w:sz w:val="14"/>
      <w:lang w:val="en-US" w:eastAsia="en-US"/>
    </w:rPr>
  </w:style>
  <w:style w:type="character" w:customStyle="1" w:styleId="a9">
    <w:name w:val="脚注文本 字符"/>
    <w:link w:val="a8"/>
    <w:rsid w:val="00EF2F35"/>
    <w:rPr>
      <w:rFonts w:ascii="Linux Libertine O" w:eastAsia="Cambria" w:hAnsi="Linux Libertine O" w:cs="Linux Libertine O"/>
      <w:sz w:val="14"/>
      <w:szCs w:val="24"/>
    </w:rPr>
  </w:style>
  <w:style w:type="paragraph" w:styleId="aa">
    <w:name w:val="Subtitle"/>
    <w:basedOn w:val="a3"/>
    <w:next w:val="a3"/>
    <w:link w:val="ab"/>
    <w:qFormat/>
    <w:rsid w:val="00EF2F35"/>
    <w:pPr>
      <w:spacing w:after="360" w:line="333" w:lineRule="atLeast"/>
    </w:pPr>
    <w:rPr>
      <w:rFonts w:ascii="Linux Biolinum O" w:eastAsia="MS Gothic" w:hAnsi="Linux Biolinum O" w:cs="Linux Biolinum O"/>
      <w:iCs/>
      <w:sz w:val="18"/>
      <w:lang w:val="en-US" w:eastAsia="en-US"/>
    </w:rPr>
  </w:style>
  <w:style w:type="character" w:customStyle="1" w:styleId="ab">
    <w:name w:val="副标题 字符"/>
    <w:link w:val="aa"/>
    <w:rsid w:val="00EF2F35"/>
    <w:rPr>
      <w:rFonts w:ascii="Linux Biolinum O" w:eastAsia="MS Gothic"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Cambria"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Times New Roman"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Times New Roman"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Times New Roman" w:hAnsi="Linux Biolinum O" w:cs="Linux Biolinum O"/>
      <w:b/>
      <w:bCs/>
      <w:sz w:val="24"/>
    </w:rPr>
  </w:style>
  <w:style w:type="character" w:customStyle="1" w:styleId="AckHeadChar">
    <w:name w:val="AckHead Char"/>
    <w:link w:val="AckHead"/>
    <w:locked/>
    <w:rsid w:val="00EF2F35"/>
    <w:rPr>
      <w:rFonts w:ascii="Linux Biolinum O" w:eastAsia="Cambria" w:hAnsi="Linux Biolinum O" w:cs="Linux Biolinum O"/>
      <w:b/>
      <w:sz w:val="18"/>
      <w:szCs w:val="22"/>
      <w:lang w:eastAsia="ja-JP"/>
    </w:rPr>
  </w:style>
  <w:style w:type="paragraph" w:customStyle="1" w:styleId="AckHead">
    <w:name w:val="AckHead"/>
    <w:next w:val="AckPara"/>
    <w:link w:val="AckHeadChar"/>
    <w:rsid w:val="00EF2F35"/>
    <w:pPr>
      <w:keepNext/>
      <w:spacing w:before="240" w:after="60" w:line="225" w:lineRule="atLeast"/>
    </w:pPr>
    <w:rPr>
      <w:rFonts w:ascii="Linux Biolinum O" w:eastAsia="Cambria" w:hAnsi="Linux Biolinum O" w:cs="Linux Biolinum O"/>
      <w:b/>
      <w:sz w:val="18"/>
      <w:szCs w:val="22"/>
      <w:lang w:eastAsia="ja-JP"/>
    </w:rPr>
  </w:style>
  <w:style w:type="paragraph" w:customStyle="1" w:styleId="AckPara">
    <w:name w:val="AckPara"/>
    <w:basedOn w:val="a3"/>
    <w:next w:val="ParaContinue"/>
    <w:rsid w:val="003B13D2"/>
    <w:pPr>
      <w:spacing w:line="270" w:lineRule="atLeast"/>
      <w:jc w:val="both"/>
    </w:pPr>
    <w:rPr>
      <w:rFonts w:ascii="Linux Libertine O" w:eastAsia="Cambria" w:hAnsi="Linux Libertine O" w:cs="Linux Libertine O"/>
      <w:sz w:val="18"/>
      <w:szCs w:val="22"/>
      <w:lang w:val="en-US" w:eastAsia="it-IT"/>
    </w:rPr>
  </w:style>
  <w:style w:type="paragraph" w:customStyle="1" w:styleId="AppendixH1">
    <w:name w:val="AppendixH1"/>
    <w:next w:val="Para"/>
    <w:rsid w:val="00EF2F35"/>
    <w:pPr>
      <w:keepNext/>
      <w:tabs>
        <w:tab w:val="left" w:pos="240"/>
      </w:tabs>
      <w:spacing w:before="320" w:after="60" w:line="225" w:lineRule="atLeast"/>
    </w:pPr>
    <w:rPr>
      <w:rFonts w:ascii="Linux Biolinum O" w:eastAsia="Times New Roman"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Cambria"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Cambria" w:hAnsi="Linux Libertine O" w:cs="Linux Libertine O"/>
      <w:sz w:val="14"/>
      <w:szCs w:val="22"/>
    </w:rPr>
  </w:style>
  <w:style w:type="character" w:customStyle="1" w:styleId="AuthorsChar">
    <w:name w:val="Authors Char"/>
    <w:link w:val="Authors"/>
    <w:locked/>
    <w:rsid w:val="00EF2F35"/>
    <w:rPr>
      <w:rFonts w:ascii="Linux Biolinum O" w:eastAsia="Cambria" w:hAnsi="Linux Biolinum O" w:cs="Linux Biolinum O"/>
      <w:caps/>
      <w:szCs w:val="22"/>
      <w:lang w:eastAsia="ja-JP"/>
    </w:rPr>
  </w:style>
  <w:style w:type="paragraph" w:customStyle="1" w:styleId="Authors">
    <w:name w:val="Authors"/>
    <w:link w:val="AuthorsChar"/>
    <w:rsid w:val="00EF2F35"/>
    <w:pPr>
      <w:spacing w:before="60" w:line="320" w:lineRule="atLeast"/>
    </w:pPr>
    <w:rPr>
      <w:rFonts w:ascii="Linux Biolinum O" w:eastAsia="Cambria" w:hAnsi="Linux Biolinum O" w:cs="Linux Biolinum O"/>
      <w:caps/>
      <w:szCs w:val="22"/>
      <w:lang w:eastAsia="ja-JP"/>
    </w:rPr>
  </w:style>
  <w:style w:type="character" w:customStyle="1" w:styleId="DisplayFormulaChar">
    <w:name w:val="DisplayFormula Char"/>
    <w:link w:val="DisplayFormula"/>
    <w:locked/>
    <w:rsid w:val="00EF2F35"/>
    <w:rPr>
      <w:rFonts w:ascii="Linux Libertine O" w:eastAsia="Cambria" w:hAnsi="Linux Libertine O" w:cs="Linux Libertine O"/>
      <w:sz w:val="18"/>
      <w:szCs w:val="22"/>
      <w:lang w:eastAsia="ja-JP"/>
    </w:rPr>
  </w:style>
  <w:style w:type="paragraph" w:customStyle="1" w:styleId="DisplayFormula">
    <w:name w:val="DisplayFormula"/>
    <w:link w:val="DisplayFormulaChar"/>
    <w:rsid w:val="00EF2F35"/>
    <w:pPr>
      <w:spacing w:before="120" w:after="180" w:line="270" w:lineRule="atLeast"/>
      <w:jc w:val="center"/>
    </w:pPr>
    <w:rPr>
      <w:rFonts w:ascii="Linux Libertine O" w:eastAsia="Cambria" w:hAnsi="Linux Libertine O" w:cs="Linux Libertine O"/>
      <w:sz w:val="18"/>
      <w:szCs w:val="22"/>
      <w:lang w:eastAsia="ja-JP"/>
    </w:rPr>
  </w:style>
  <w:style w:type="paragraph" w:customStyle="1" w:styleId="KeyWordHead">
    <w:name w:val="KeyWordHead"/>
    <w:link w:val="KeyWordHeadchar"/>
    <w:rsid w:val="00EF2F35"/>
    <w:pPr>
      <w:spacing w:before="140" w:line="240" w:lineRule="atLeast"/>
    </w:pPr>
    <w:rPr>
      <w:rFonts w:ascii="Linux Libertine O" w:eastAsia="Cambria"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Cambria" w:hAnsi="Linux Libertine O" w:cs="Linux Libertine O"/>
      <w:sz w:val="18"/>
      <w:lang w:val="en-US" w:eastAsia="en-US"/>
    </w:rPr>
  </w:style>
  <w:style w:type="paragraph" w:customStyle="1" w:styleId="ReferenceHead">
    <w:name w:val="ReferenceHead"/>
    <w:next w:val="AckPara"/>
    <w:rsid w:val="00EF2F35"/>
    <w:pPr>
      <w:keepNext/>
      <w:spacing w:before="300" w:after="60" w:line="225" w:lineRule="atLeast"/>
    </w:pPr>
    <w:rPr>
      <w:rFonts w:ascii="Linux Biolinum O" w:eastAsia="Cambria"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Cambria" w:hAnsi="Linux Libertine O" w:cs="Linux Libertine O"/>
      <w:i/>
      <w:sz w:val="18"/>
      <w:lang w:val="en-US" w:eastAsia="en-US"/>
    </w:rPr>
  </w:style>
  <w:style w:type="character" w:customStyle="1" w:styleId="TableCaptionChar">
    <w:name w:val="TableCaption Char"/>
    <w:link w:val="TableCaption"/>
    <w:locked/>
    <w:rsid w:val="00B64A8C"/>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TableFootnoteChar">
    <w:name w:val="TableFootnote Char"/>
    <w:link w:val="TableFootnote"/>
    <w:locked/>
    <w:rsid w:val="00EF2F35"/>
    <w:rPr>
      <w:rFonts w:ascii="Linux Libertine O" w:eastAsia="Cambria" w:hAnsi="Linux Libertine O" w:cs="Linux Libertine O"/>
      <w:sz w:val="18"/>
      <w:szCs w:val="24"/>
      <w:lang w:eastAsia="ja-JP"/>
    </w:rPr>
  </w:style>
  <w:style w:type="paragraph" w:customStyle="1" w:styleId="TableFootnote">
    <w:name w:val="TableFootnote"/>
    <w:basedOn w:val="a3"/>
    <w:link w:val="TableFootnoteChar"/>
    <w:rsid w:val="00EF2F35"/>
    <w:pPr>
      <w:spacing w:after="200"/>
    </w:pPr>
    <w:rPr>
      <w:rFonts w:ascii="Linux Libertine O" w:eastAsia="Cambria" w:hAnsi="Linux Libertine O" w:cs="Linux Libertine O"/>
      <w:sz w:val="18"/>
      <w:lang w:val="en-US" w:eastAsia="ja-JP"/>
    </w:rPr>
  </w:style>
  <w:style w:type="character" w:customStyle="1" w:styleId="ACMRefHeadChar">
    <w:name w:val="ACMRefHead Char"/>
    <w:basedOn w:val="TitledocumentChar"/>
    <w:link w:val="ACMRefHead"/>
    <w:rsid w:val="00EA5ED5"/>
    <w:rPr>
      <w:rFonts w:ascii="Linux Libertine O" w:eastAsia="Times New Roman"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Cambria" w:hAnsi="Linux Libertine O" w:cs="Linux Libertine O"/>
      <w:sz w:val="18"/>
      <w:szCs w:val="24"/>
      <w:lang w:eastAsia="ja-JP"/>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Cambria" w:hAnsi="Linux Libertine O" w:cs="Linux Libertine O"/>
      <w:sz w:val="18"/>
      <w:lang w:val="en-US" w:eastAsia="ja-JP"/>
    </w:rPr>
  </w:style>
  <w:style w:type="character" w:customStyle="1" w:styleId="ParaContinueChar">
    <w:name w:val="ParaContinue Char"/>
    <w:link w:val="ParaContinue"/>
    <w:locked/>
    <w:rsid w:val="00EF2F35"/>
    <w:rPr>
      <w:rFonts w:ascii="Linux Libertine O" w:hAnsi="Linux Libertine O" w:cs="Linux Libertine O"/>
      <w:sz w:val="18"/>
      <w:szCs w:val="24"/>
      <w:lang w:eastAsia="ja-JP"/>
    </w:rPr>
  </w:style>
  <w:style w:type="paragraph" w:customStyle="1" w:styleId="ParaContinue">
    <w:name w:val="ParaContinue"/>
    <w:basedOn w:val="a3"/>
    <w:link w:val="ParaContinueChar"/>
    <w:rsid w:val="00EF2F35"/>
    <w:pPr>
      <w:spacing w:line="270" w:lineRule="atLeast"/>
      <w:ind w:firstLine="240"/>
      <w:jc w:val="both"/>
    </w:pPr>
    <w:rPr>
      <w:rFonts w:ascii="Linux Libertine O" w:eastAsia="MS Mincho" w:hAnsi="Linux Libertine O" w:cs="Linux Libertine O"/>
      <w:sz w:val="18"/>
      <w:lang w:val="en-US" w:eastAsia="ja-JP"/>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Cambria" w:hAnsi="Linux Libertine O" w:cs="Linux Libertine O"/>
      <w:sz w:val="14"/>
      <w:szCs w:val="22"/>
      <w:lang w:val="en-US" w:eastAsia="ja-JP"/>
    </w:rPr>
  </w:style>
  <w:style w:type="paragraph" w:customStyle="1" w:styleId="Algorithm">
    <w:name w:val="Algorithm"/>
    <w:basedOn w:val="a3"/>
    <w:rsid w:val="003D6F43"/>
    <w:pPr>
      <w:pBdr>
        <w:bottom w:val="single" w:sz="4" w:space="3" w:color="auto"/>
      </w:pBdr>
      <w:spacing w:after="60" w:line="216" w:lineRule="atLeast"/>
    </w:pPr>
    <w:rPr>
      <w:rFonts w:ascii="InconsolataN" w:eastAsia="Cambria" w:hAnsi="InconsolataN" w:cs="Linux Biolinum O"/>
      <w:sz w:val="18"/>
      <w:lang w:val="en-US" w:eastAsia="en-US"/>
    </w:rPr>
  </w:style>
  <w:style w:type="paragraph" w:customStyle="1" w:styleId="Extract">
    <w:name w:val="Extract"/>
    <w:basedOn w:val="a3"/>
    <w:rsid w:val="00EF2F35"/>
    <w:pPr>
      <w:spacing w:before="120" w:after="180" w:line="270" w:lineRule="atLeast"/>
      <w:ind w:left="360" w:right="360"/>
      <w:contextualSpacing/>
      <w:jc w:val="both"/>
    </w:pPr>
    <w:rPr>
      <w:rFonts w:ascii="Linux Libertine O" w:hAnsi="Linux Libertine O" w:cs="Linux Libertine O"/>
      <w:sz w:val="18"/>
      <w:szCs w:val="20"/>
      <w:lang w:val="en-US" w:eastAsia="en-US"/>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lang w:val="en-US" w:eastAsia="en-US"/>
    </w:rPr>
  </w:style>
  <w:style w:type="character" w:styleId="ac">
    <w:name w:val="footnote reference"/>
    <w:rsid w:val="00EF2F35"/>
    <w:rPr>
      <w:rFonts w:ascii="Linux Libertine O" w:hAnsi="Linux Libertine O" w:cs="Linux Libertine O" w:hint="default"/>
      <w:vertAlign w:val="superscript"/>
    </w:rPr>
  </w:style>
  <w:style w:type="character" w:customStyle="1" w:styleId="Email">
    <w:name w:val="Email"/>
    <w:rsid w:val="00EF2F35"/>
    <w:rPr>
      <w:rFonts w:ascii="Linux Libertine O" w:hAnsi="Linux Libertine O" w:cs="Linux Libertine O" w:hint="default"/>
      <w:color w:val="0808B8"/>
    </w:rPr>
  </w:style>
  <w:style w:type="character" w:customStyle="1" w:styleId="OrgName">
    <w:name w:val="OrgName"/>
    <w:rsid w:val="00EF2F35"/>
    <w:rPr>
      <w:rFonts w:ascii="Linux Libertine O" w:hAnsi="Linux Libertine O" w:cs="Linux Libertine O" w:hint="default"/>
      <w:color w:val="17365D"/>
    </w:rPr>
  </w:style>
  <w:style w:type="character" w:customStyle="1" w:styleId="GrantNumber">
    <w:name w:val="GrantNumber"/>
    <w:rsid w:val="00EF2F35"/>
    <w:rPr>
      <w:rFonts w:ascii="Linux Libertine O" w:hAnsi="Linux Libertine O" w:cs="Linux Libertine O" w:hint="default"/>
      <w:color w:val="9900FF"/>
    </w:rPr>
  </w:style>
  <w:style w:type="character" w:customStyle="1" w:styleId="GrantSponser">
    <w:name w:val="GrantSponser"/>
    <w:rsid w:val="00EF2F35"/>
    <w:rPr>
      <w:rFonts w:ascii="Linux Libertine O" w:hAnsi="Linux Libertine O" w:cs="Linux Libertine O" w:hint="default"/>
      <w:color w:val="666699"/>
    </w:rPr>
  </w:style>
  <w:style w:type="paragraph" w:styleId="ad">
    <w:name w:val="Balloon Text"/>
    <w:basedOn w:val="a3"/>
    <w:link w:val="ae"/>
    <w:uiPriority w:val="99"/>
    <w:semiHidden/>
    <w:unhideWhenUsed/>
    <w:rsid w:val="00EF2F35"/>
    <w:rPr>
      <w:rFonts w:ascii="Linux Biolinum O" w:eastAsia="MS Mincho" w:hAnsi="Linux Biolinum O" w:cs="Linux Biolinum O"/>
      <w:sz w:val="18"/>
      <w:szCs w:val="18"/>
      <w:lang w:val="en-US" w:eastAsia="ja-JP"/>
    </w:rPr>
  </w:style>
  <w:style w:type="character" w:customStyle="1" w:styleId="ae">
    <w:name w:val="批注框文本 字符"/>
    <w:basedOn w:val="a4"/>
    <w:link w:val="ad"/>
    <w:uiPriority w:val="99"/>
    <w:semiHidden/>
    <w:rsid w:val="00EF2F35"/>
    <w:rPr>
      <w:rFonts w:ascii="Linux Biolinum O" w:hAnsi="Linux Biolinum O" w:cs="Linux Biolinum O"/>
      <w:sz w:val="18"/>
      <w:szCs w:val="18"/>
      <w:lang w:eastAsia="ja-JP"/>
    </w:rPr>
  </w:style>
  <w:style w:type="paragraph" w:styleId="af">
    <w:name w:val="footer"/>
    <w:basedOn w:val="a3"/>
    <w:link w:val="af0"/>
    <w:uiPriority w:val="99"/>
    <w:unhideWhenUsed/>
    <w:rsid w:val="00EF2F35"/>
    <w:pPr>
      <w:tabs>
        <w:tab w:val="center" w:pos="4320"/>
        <w:tab w:val="right" w:pos="8640"/>
      </w:tabs>
    </w:pPr>
    <w:rPr>
      <w:rFonts w:ascii="Linux Libertine O" w:eastAsia="MS Mincho" w:hAnsi="Linux Libertine O" w:cs="Linux Libertine O"/>
      <w:sz w:val="18"/>
      <w:lang w:val="en-US" w:eastAsia="ja-JP"/>
    </w:rPr>
  </w:style>
  <w:style w:type="character" w:customStyle="1" w:styleId="af0">
    <w:name w:val="页脚 字符"/>
    <w:basedOn w:val="a4"/>
    <w:link w:val="af"/>
    <w:uiPriority w:val="99"/>
    <w:rsid w:val="00EF2F35"/>
    <w:rPr>
      <w:rFonts w:ascii="Linux Libertine O" w:hAnsi="Linux Libertine O" w:cs="Linux Libertine O"/>
      <w:sz w:val="18"/>
      <w:szCs w:val="24"/>
      <w:lang w:eastAsia="ja-JP"/>
    </w:rPr>
  </w:style>
  <w:style w:type="character" w:styleId="af1">
    <w:name w:val="page number"/>
    <w:basedOn w:val="a4"/>
    <w:uiPriority w:val="99"/>
    <w:semiHidden/>
    <w:unhideWhenUsed/>
    <w:rsid w:val="00EF2F35"/>
    <w:rPr>
      <w:rFonts w:ascii="Linux Libertine O" w:hAnsi="Linux Libertine O" w:cs="Linux Libertine O"/>
    </w:rPr>
  </w:style>
  <w:style w:type="character" w:customStyle="1" w:styleId="10">
    <w:name w:val="标题 1 字符"/>
    <w:basedOn w:val="a4"/>
    <w:link w:val="1"/>
    <w:uiPriority w:val="9"/>
    <w:rsid w:val="00EF2F35"/>
    <w:rPr>
      <w:rFonts w:ascii="Linux Libertine O" w:eastAsiaTheme="majorEastAsia" w:hAnsi="Linux Libertine O" w:cs="Linux Libertine O"/>
      <w:color w:val="365F91" w:themeColor="accent1" w:themeShade="BF"/>
      <w:sz w:val="32"/>
      <w:szCs w:val="32"/>
      <w:lang w:eastAsia="ja-JP"/>
    </w:rPr>
  </w:style>
  <w:style w:type="character" w:customStyle="1" w:styleId="22">
    <w:name w:val="标题 2 字符"/>
    <w:basedOn w:val="a4"/>
    <w:link w:val="21"/>
    <w:uiPriority w:val="9"/>
    <w:rsid w:val="00EF2F35"/>
    <w:rPr>
      <w:rFonts w:ascii="Linux Libertine O" w:eastAsiaTheme="majorEastAsia" w:hAnsi="Linux Libertine O" w:cs="Linux Libertine O"/>
      <w:color w:val="365F91" w:themeColor="accent1" w:themeShade="BF"/>
      <w:sz w:val="26"/>
      <w:szCs w:val="26"/>
      <w:lang w:eastAsia="ja-JP"/>
    </w:rPr>
  </w:style>
  <w:style w:type="character" w:customStyle="1" w:styleId="UnresolvedMention1">
    <w:name w:val="Unresolved Mention1"/>
    <w:basedOn w:val="a4"/>
    <w:uiPriority w:val="99"/>
    <w:semiHidden/>
    <w:unhideWhenUsed/>
    <w:rsid w:val="00EF2F35"/>
    <w:rPr>
      <w:rFonts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2">
    <w:name w:val="标题 3 字符"/>
    <w:basedOn w:val="a4"/>
    <w:link w:val="31"/>
    <w:uiPriority w:val="9"/>
    <w:semiHidden/>
    <w:rsid w:val="00EA5ED5"/>
    <w:rPr>
      <w:rFonts w:ascii="Linux Libertine O" w:eastAsiaTheme="majorEastAsia" w:hAnsi="Linux Libertine O" w:cs="Linux Libertine O"/>
      <w:color w:val="243F60" w:themeColor="accent1" w:themeShade="7F"/>
      <w:sz w:val="24"/>
      <w:szCs w:val="24"/>
      <w:lang w:eastAsia="ja-JP"/>
    </w:rPr>
  </w:style>
  <w:style w:type="character" w:customStyle="1" w:styleId="42">
    <w:name w:val="标题 4 字符"/>
    <w:basedOn w:val="a4"/>
    <w:link w:val="41"/>
    <w:uiPriority w:val="9"/>
    <w:semiHidden/>
    <w:rsid w:val="00EA5ED5"/>
    <w:rPr>
      <w:rFonts w:ascii="Linux Libertine O" w:eastAsiaTheme="majorEastAsia" w:hAnsi="Linux Libertine O" w:cs="Linux Libertine O"/>
      <w:i/>
      <w:iCs/>
      <w:color w:val="365F91" w:themeColor="accent1" w:themeShade="BF"/>
      <w:sz w:val="18"/>
      <w:szCs w:val="24"/>
      <w:lang w:eastAsia="ja-JP"/>
    </w:rPr>
  </w:style>
  <w:style w:type="character" w:customStyle="1" w:styleId="52">
    <w:name w:val="标题 5 字符"/>
    <w:basedOn w:val="a4"/>
    <w:link w:val="51"/>
    <w:uiPriority w:val="9"/>
    <w:semiHidden/>
    <w:rsid w:val="00EA5ED5"/>
    <w:rPr>
      <w:rFonts w:ascii="Linux Libertine O" w:eastAsiaTheme="majorEastAsia" w:hAnsi="Linux Libertine O" w:cs="Linux Libertine O"/>
      <w:color w:val="365F91" w:themeColor="accent1" w:themeShade="BF"/>
      <w:sz w:val="18"/>
      <w:szCs w:val="24"/>
      <w:lang w:eastAsia="ja-JP"/>
    </w:rPr>
  </w:style>
  <w:style w:type="character" w:customStyle="1" w:styleId="60">
    <w:name w:val="标题 6 字符"/>
    <w:basedOn w:val="a4"/>
    <w:link w:val="6"/>
    <w:uiPriority w:val="9"/>
    <w:semiHidden/>
    <w:rsid w:val="00EA5ED5"/>
    <w:rPr>
      <w:rFonts w:ascii="Linux Libertine O" w:eastAsiaTheme="majorEastAsia" w:hAnsi="Linux Libertine O" w:cs="Linux Libertine O"/>
      <w:color w:val="243F60" w:themeColor="accent1" w:themeShade="7F"/>
      <w:sz w:val="18"/>
      <w:szCs w:val="24"/>
      <w:lang w:eastAsia="ja-JP"/>
    </w:rPr>
  </w:style>
  <w:style w:type="character" w:customStyle="1" w:styleId="70">
    <w:name w:val="标题 7 字符"/>
    <w:basedOn w:val="a4"/>
    <w:link w:val="7"/>
    <w:uiPriority w:val="9"/>
    <w:semiHidden/>
    <w:rsid w:val="00EA5ED5"/>
    <w:rPr>
      <w:rFonts w:ascii="Linux Libertine O" w:eastAsiaTheme="majorEastAsia" w:hAnsi="Linux Libertine O" w:cs="Linux Libertine O"/>
      <w:i/>
      <w:iCs/>
      <w:color w:val="243F60" w:themeColor="accent1" w:themeShade="7F"/>
      <w:sz w:val="18"/>
      <w:szCs w:val="24"/>
      <w:lang w:eastAsia="ja-JP"/>
    </w:rPr>
  </w:style>
  <w:style w:type="character" w:customStyle="1" w:styleId="80">
    <w:name w:val="标题 8 字符"/>
    <w:basedOn w:val="a4"/>
    <w:link w:val="8"/>
    <w:uiPriority w:val="9"/>
    <w:semiHidden/>
    <w:rsid w:val="00EA5ED5"/>
    <w:rPr>
      <w:rFonts w:ascii="Linux Libertine O" w:eastAsiaTheme="majorEastAsia" w:hAnsi="Linux Libertine O" w:cs="Linux Libertine O"/>
      <w:color w:val="272727" w:themeColor="text1" w:themeTint="D8"/>
      <w:sz w:val="21"/>
      <w:szCs w:val="21"/>
      <w:lang w:eastAsia="ja-JP"/>
    </w:rPr>
  </w:style>
  <w:style w:type="character" w:customStyle="1" w:styleId="90">
    <w:name w:val="标题 9 字符"/>
    <w:basedOn w:val="a4"/>
    <w:link w:val="9"/>
    <w:uiPriority w:val="9"/>
    <w:semiHidden/>
    <w:rsid w:val="00EA5ED5"/>
    <w:rPr>
      <w:rFonts w:ascii="Linux Libertine O" w:eastAsiaTheme="majorEastAsia" w:hAnsi="Linux Libertine O" w:cs="Linux Libertine O"/>
      <w:i/>
      <w:iCs/>
      <w:color w:val="272727" w:themeColor="text1" w:themeTint="D8"/>
      <w:sz w:val="21"/>
      <w:szCs w:val="21"/>
      <w:lang w:eastAsia="ja-JP"/>
    </w:rPr>
  </w:style>
  <w:style w:type="numbering" w:styleId="a2">
    <w:name w:val="Outline List 3"/>
    <w:basedOn w:val="a6"/>
    <w:uiPriority w:val="99"/>
    <w:semiHidden/>
    <w:unhideWhenUsed/>
    <w:rsid w:val="00EA5ED5"/>
    <w:pPr>
      <w:numPr>
        <w:numId w:val="18"/>
      </w:numPr>
    </w:pPr>
  </w:style>
  <w:style w:type="paragraph" w:styleId="af2">
    <w:name w:val="Bibliography"/>
    <w:basedOn w:val="a3"/>
    <w:next w:val="a3"/>
    <w:uiPriority w:val="37"/>
    <w:semiHidden/>
    <w:unhideWhenUsed/>
    <w:rsid w:val="00EA5ED5"/>
    <w:pPr>
      <w:spacing w:after="200"/>
    </w:pPr>
    <w:rPr>
      <w:rFonts w:ascii="Linux Libertine O" w:eastAsia="MS Mincho" w:hAnsi="Linux Libertine O" w:cs="Linux Libertine O"/>
      <w:sz w:val="18"/>
      <w:lang w:val="en-US" w:eastAsia="ja-JP"/>
    </w:rPr>
  </w:style>
  <w:style w:type="paragraph" w:styleId="af3">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ascii="Linux Libertine O" w:eastAsiaTheme="minorEastAsia" w:hAnsi="Linux Libertine O" w:cs="Linux Libertine O"/>
      <w:i/>
      <w:iCs/>
      <w:color w:val="4F81BD" w:themeColor="accent1"/>
      <w:sz w:val="18"/>
      <w:lang w:val="en-US" w:eastAsia="ja-JP"/>
    </w:rPr>
  </w:style>
  <w:style w:type="paragraph" w:styleId="af4">
    <w:name w:val="Body Text"/>
    <w:basedOn w:val="a3"/>
    <w:link w:val="af5"/>
    <w:uiPriority w:val="99"/>
    <w:semiHidden/>
    <w:unhideWhenUsed/>
    <w:rsid w:val="00EA5ED5"/>
    <w:pPr>
      <w:spacing w:after="120"/>
    </w:pPr>
    <w:rPr>
      <w:rFonts w:ascii="Linux Libertine O" w:eastAsia="MS Mincho" w:hAnsi="Linux Libertine O" w:cs="Linux Libertine O"/>
      <w:sz w:val="18"/>
      <w:lang w:val="en-US" w:eastAsia="ja-JP"/>
    </w:rPr>
  </w:style>
  <w:style w:type="character" w:customStyle="1" w:styleId="af5">
    <w:name w:val="正文文本 字符"/>
    <w:basedOn w:val="a4"/>
    <w:link w:val="af4"/>
    <w:uiPriority w:val="99"/>
    <w:semiHidden/>
    <w:rsid w:val="00EA5ED5"/>
    <w:rPr>
      <w:rFonts w:ascii="Linux Libertine O" w:hAnsi="Linux Libertine O" w:cs="Linux Libertine O"/>
      <w:sz w:val="18"/>
      <w:szCs w:val="24"/>
      <w:lang w:eastAsia="ja-JP"/>
    </w:rPr>
  </w:style>
  <w:style w:type="paragraph" w:styleId="23">
    <w:name w:val="Body Text 2"/>
    <w:basedOn w:val="a3"/>
    <w:link w:val="24"/>
    <w:uiPriority w:val="99"/>
    <w:semiHidden/>
    <w:unhideWhenUsed/>
    <w:rsid w:val="00EA5ED5"/>
    <w:pPr>
      <w:spacing w:after="120" w:line="480" w:lineRule="auto"/>
    </w:pPr>
    <w:rPr>
      <w:rFonts w:ascii="Linux Libertine O" w:eastAsia="MS Mincho" w:hAnsi="Linux Libertine O" w:cs="Linux Libertine O"/>
      <w:sz w:val="18"/>
      <w:lang w:val="en-US" w:eastAsia="ja-JP"/>
    </w:rPr>
  </w:style>
  <w:style w:type="character" w:customStyle="1" w:styleId="24">
    <w:name w:val="正文文本 2 字符"/>
    <w:basedOn w:val="a4"/>
    <w:link w:val="23"/>
    <w:uiPriority w:val="99"/>
    <w:semiHidden/>
    <w:rsid w:val="00EA5ED5"/>
    <w:rPr>
      <w:rFonts w:ascii="Linux Libertine O" w:hAnsi="Linux Libertine O" w:cs="Linux Libertine O"/>
      <w:sz w:val="18"/>
      <w:szCs w:val="24"/>
      <w:lang w:eastAsia="ja-JP"/>
    </w:rPr>
  </w:style>
  <w:style w:type="paragraph" w:styleId="33">
    <w:name w:val="Body Text 3"/>
    <w:basedOn w:val="a3"/>
    <w:link w:val="34"/>
    <w:uiPriority w:val="99"/>
    <w:semiHidden/>
    <w:unhideWhenUsed/>
    <w:rsid w:val="00EA5ED5"/>
    <w:pPr>
      <w:spacing w:after="120"/>
    </w:pPr>
    <w:rPr>
      <w:rFonts w:ascii="Linux Libertine O" w:eastAsia="MS Mincho" w:hAnsi="Linux Libertine O" w:cs="Linux Libertine O"/>
      <w:sz w:val="16"/>
      <w:szCs w:val="16"/>
      <w:lang w:val="en-US" w:eastAsia="ja-JP"/>
    </w:rPr>
  </w:style>
  <w:style w:type="character" w:customStyle="1" w:styleId="34">
    <w:name w:val="正文文本 3 字符"/>
    <w:basedOn w:val="a4"/>
    <w:link w:val="33"/>
    <w:uiPriority w:val="99"/>
    <w:semiHidden/>
    <w:rsid w:val="00EA5ED5"/>
    <w:rPr>
      <w:rFonts w:ascii="Linux Libertine O" w:hAnsi="Linux Libertine O" w:cs="Linux Libertine O"/>
      <w:sz w:val="16"/>
      <w:szCs w:val="16"/>
      <w:lang w:eastAsia="ja-JP"/>
    </w:rPr>
  </w:style>
  <w:style w:type="paragraph" w:styleId="af6">
    <w:name w:val="Body Text First Indent"/>
    <w:basedOn w:val="af4"/>
    <w:link w:val="af7"/>
    <w:uiPriority w:val="99"/>
    <w:semiHidden/>
    <w:unhideWhenUsed/>
    <w:rsid w:val="00EA5ED5"/>
    <w:pPr>
      <w:spacing w:after="200"/>
      <w:ind w:firstLine="360"/>
    </w:pPr>
  </w:style>
  <w:style w:type="character" w:customStyle="1" w:styleId="af7">
    <w:name w:val="正文文本首行缩进 字符"/>
    <w:basedOn w:val="af5"/>
    <w:link w:val="af6"/>
    <w:uiPriority w:val="99"/>
    <w:semiHidden/>
    <w:rsid w:val="00EA5ED5"/>
    <w:rPr>
      <w:rFonts w:ascii="Linux Libertine O" w:hAnsi="Linux Libertine O" w:cs="Linux Libertine O"/>
      <w:sz w:val="18"/>
      <w:szCs w:val="24"/>
      <w:lang w:eastAsia="ja-JP"/>
    </w:rPr>
  </w:style>
  <w:style w:type="paragraph" w:styleId="af8">
    <w:name w:val="Body Text Indent"/>
    <w:basedOn w:val="a3"/>
    <w:link w:val="af9"/>
    <w:uiPriority w:val="99"/>
    <w:semiHidden/>
    <w:unhideWhenUsed/>
    <w:rsid w:val="00EA5ED5"/>
    <w:pPr>
      <w:spacing w:after="120"/>
      <w:ind w:left="360"/>
    </w:pPr>
    <w:rPr>
      <w:rFonts w:ascii="Linux Libertine O" w:eastAsia="MS Mincho" w:hAnsi="Linux Libertine O" w:cs="Linux Libertine O"/>
      <w:sz w:val="18"/>
      <w:lang w:val="en-US" w:eastAsia="ja-JP"/>
    </w:rPr>
  </w:style>
  <w:style w:type="character" w:customStyle="1" w:styleId="af9">
    <w:name w:val="正文文本缩进 字符"/>
    <w:basedOn w:val="a4"/>
    <w:link w:val="af8"/>
    <w:uiPriority w:val="99"/>
    <w:semiHidden/>
    <w:rsid w:val="00EA5ED5"/>
    <w:rPr>
      <w:rFonts w:ascii="Linux Libertine O" w:hAnsi="Linux Libertine O" w:cs="Linux Libertine O"/>
      <w:sz w:val="18"/>
      <w:szCs w:val="24"/>
      <w:lang w:eastAsia="ja-JP"/>
    </w:rPr>
  </w:style>
  <w:style w:type="paragraph" w:styleId="25">
    <w:name w:val="Body Text First Indent 2"/>
    <w:basedOn w:val="af8"/>
    <w:link w:val="26"/>
    <w:uiPriority w:val="99"/>
    <w:semiHidden/>
    <w:unhideWhenUsed/>
    <w:rsid w:val="00EA5ED5"/>
    <w:pPr>
      <w:spacing w:after="200"/>
      <w:ind w:firstLine="360"/>
    </w:pPr>
  </w:style>
  <w:style w:type="character" w:customStyle="1" w:styleId="26">
    <w:name w:val="正文文本首行缩进 2 字符"/>
    <w:basedOn w:val="af9"/>
    <w:link w:val="25"/>
    <w:uiPriority w:val="99"/>
    <w:semiHidden/>
    <w:rsid w:val="00EA5ED5"/>
    <w:rPr>
      <w:rFonts w:ascii="Linux Libertine O" w:hAnsi="Linux Libertine O" w:cs="Linux Libertine O"/>
      <w:sz w:val="18"/>
      <w:szCs w:val="24"/>
      <w:lang w:eastAsia="ja-JP"/>
    </w:rPr>
  </w:style>
  <w:style w:type="paragraph" w:styleId="27">
    <w:name w:val="Body Text Indent 2"/>
    <w:basedOn w:val="a3"/>
    <w:link w:val="28"/>
    <w:uiPriority w:val="99"/>
    <w:semiHidden/>
    <w:unhideWhenUsed/>
    <w:rsid w:val="00EA5ED5"/>
    <w:pPr>
      <w:spacing w:after="120" w:line="480" w:lineRule="auto"/>
      <w:ind w:left="360"/>
    </w:pPr>
    <w:rPr>
      <w:rFonts w:ascii="Linux Libertine O" w:eastAsia="MS Mincho" w:hAnsi="Linux Libertine O" w:cs="Linux Libertine O"/>
      <w:sz w:val="18"/>
      <w:lang w:val="en-US" w:eastAsia="ja-JP"/>
    </w:rPr>
  </w:style>
  <w:style w:type="character" w:customStyle="1" w:styleId="28">
    <w:name w:val="正文文本缩进 2 字符"/>
    <w:basedOn w:val="a4"/>
    <w:link w:val="27"/>
    <w:uiPriority w:val="99"/>
    <w:semiHidden/>
    <w:rsid w:val="00EA5ED5"/>
    <w:rPr>
      <w:rFonts w:ascii="Linux Libertine O" w:hAnsi="Linux Libertine O" w:cs="Linux Libertine O"/>
      <w:sz w:val="18"/>
      <w:szCs w:val="24"/>
      <w:lang w:eastAsia="ja-JP"/>
    </w:rPr>
  </w:style>
  <w:style w:type="paragraph" w:styleId="35">
    <w:name w:val="Body Text Indent 3"/>
    <w:basedOn w:val="a3"/>
    <w:link w:val="36"/>
    <w:uiPriority w:val="99"/>
    <w:semiHidden/>
    <w:unhideWhenUsed/>
    <w:rsid w:val="00EA5ED5"/>
    <w:pPr>
      <w:spacing w:after="120"/>
      <w:ind w:left="360"/>
    </w:pPr>
    <w:rPr>
      <w:rFonts w:ascii="Linux Libertine O" w:eastAsia="MS Mincho" w:hAnsi="Linux Libertine O" w:cs="Linux Libertine O"/>
      <w:sz w:val="16"/>
      <w:szCs w:val="16"/>
      <w:lang w:val="en-US" w:eastAsia="ja-JP"/>
    </w:rPr>
  </w:style>
  <w:style w:type="character" w:customStyle="1" w:styleId="36">
    <w:name w:val="正文文本缩进 3 字符"/>
    <w:basedOn w:val="a4"/>
    <w:link w:val="35"/>
    <w:uiPriority w:val="99"/>
    <w:semiHidden/>
    <w:rsid w:val="00EA5ED5"/>
    <w:rPr>
      <w:rFonts w:ascii="Linux Libertine O" w:hAnsi="Linux Libertine O" w:cs="Linux Libertine O"/>
      <w:sz w:val="16"/>
      <w:szCs w:val="16"/>
      <w:lang w:eastAsia="ja-JP"/>
    </w:rPr>
  </w:style>
  <w:style w:type="character" w:styleId="afa">
    <w:name w:val="Book Title"/>
    <w:basedOn w:val="a4"/>
    <w:uiPriority w:val="33"/>
    <w:qFormat/>
    <w:rsid w:val="00EA5ED5"/>
    <w:rPr>
      <w:rFonts w:ascii="Linux Biolinum O" w:hAnsi="Linux Biolinum O" w:cs="Linux Biolinum O"/>
      <w:b/>
      <w:bCs/>
      <w:i/>
      <w:iCs/>
      <w:spacing w:val="5"/>
    </w:rPr>
  </w:style>
  <w:style w:type="paragraph" w:styleId="afb">
    <w:name w:val="caption"/>
    <w:basedOn w:val="a3"/>
    <w:next w:val="a3"/>
    <w:uiPriority w:val="35"/>
    <w:unhideWhenUsed/>
    <w:qFormat/>
    <w:rsid w:val="00EA5ED5"/>
    <w:pPr>
      <w:keepNext/>
      <w:spacing w:before="220" w:after="240" w:line="200" w:lineRule="atLeast"/>
      <w:jc w:val="center"/>
    </w:pPr>
    <w:rPr>
      <w:rFonts w:ascii="Linux Biolinum O" w:eastAsia="Cambria" w:hAnsi="Linux Biolinum O" w:cs="Linux Biolinum O"/>
      <w:sz w:val="16"/>
      <w:szCs w:val="22"/>
      <w:lang w:val="en-US" w:eastAsia="ja-JP"/>
    </w:rPr>
  </w:style>
  <w:style w:type="paragraph" w:styleId="afc">
    <w:name w:val="Closing"/>
    <w:basedOn w:val="a3"/>
    <w:link w:val="afd"/>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afd">
    <w:name w:val="结束语 字符"/>
    <w:basedOn w:val="a4"/>
    <w:link w:val="afc"/>
    <w:uiPriority w:val="99"/>
    <w:semiHidden/>
    <w:rsid w:val="00EA5ED5"/>
    <w:rPr>
      <w:rFonts w:ascii="Linux Libertine O" w:hAnsi="Linux Libertine O" w:cs="Linux Libertine O"/>
      <w:sz w:val="18"/>
      <w:szCs w:val="24"/>
      <w:lang w:eastAsia="ja-JP"/>
    </w:rPr>
  </w:style>
  <w:style w:type="table" w:styleId="afe">
    <w:name w:val="Colorful Grid"/>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f">
    <w:name w:val="Colorful List"/>
    <w:basedOn w:val="a5"/>
    <w:uiPriority w:val="72"/>
    <w:semiHidden/>
    <w:unhideWhenUsed/>
    <w:rsid w:val="00EA5ED5"/>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Shading"/>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f1">
    <w:name w:val="annotation reference"/>
    <w:basedOn w:val="a4"/>
    <w:uiPriority w:val="99"/>
    <w:semiHidden/>
    <w:unhideWhenUsed/>
    <w:rsid w:val="00EA5ED5"/>
    <w:rPr>
      <w:rFonts w:ascii="Linux Biolinum O" w:hAnsi="Linux Biolinum O" w:cs="Linux Biolinum O"/>
      <w:sz w:val="16"/>
      <w:szCs w:val="16"/>
    </w:rPr>
  </w:style>
  <w:style w:type="paragraph" w:styleId="aff2">
    <w:name w:val="annotation text"/>
    <w:basedOn w:val="a3"/>
    <w:link w:val="aff3"/>
    <w:uiPriority w:val="99"/>
    <w:semiHidden/>
    <w:unhideWhenUsed/>
    <w:rsid w:val="00EA5ED5"/>
    <w:pPr>
      <w:spacing w:after="200"/>
    </w:pPr>
    <w:rPr>
      <w:rFonts w:ascii="Linux Libertine O" w:eastAsia="MS Mincho" w:hAnsi="Linux Libertine O" w:cs="Linux Libertine O"/>
      <w:sz w:val="20"/>
      <w:szCs w:val="20"/>
      <w:lang w:val="en-US" w:eastAsia="ja-JP"/>
    </w:rPr>
  </w:style>
  <w:style w:type="character" w:customStyle="1" w:styleId="aff3">
    <w:name w:val="批注文字 字符"/>
    <w:basedOn w:val="a4"/>
    <w:link w:val="aff2"/>
    <w:uiPriority w:val="99"/>
    <w:semiHidden/>
    <w:rsid w:val="00EA5ED5"/>
    <w:rPr>
      <w:rFonts w:ascii="Linux Libertine O" w:hAnsi="Linux Libertine O" w:cs="Linux Libertine O"/>
      <w:lang w:eastAsia="ja-JP"/>
    </w:rPr>
  </w:style>
  <w:style w:type="paragraph" w:styleId="aff4">
    <w:name w:val="annotation subject"/>
    <w:basedOn w:val="aff2"/>
    <w:next w:val="aff2"/>
    <w:link w:val="aff5"/>
    <w:uiPriority w:val="99"/>
    <w:semiHidden/>
    <w:unhideWhenUsed/>
    <w:rsid w:val="00EA5ED5"/>
    <w:rPr>
      <w:b/>
      <w:bCs/>
    </w:rPr>
  </w:style>
  <w:style w:type="character" w:customStyle="1" w:styleId="aff5">
    <w:name w:val="批注主题 字符"/>
    <w:basedOn w:val="aff3"/>
    <w:link w:val="aff4"/>
    <w:uiPriority w:val="99"/>
    <w:semiHidden/>
    <w:rsid w:val="00EA5ED5"/>
    <w:rPr>
      <w:rFonts w:ascii="Linux Libertine O" w:hAnsi="Linux Libertine O" w:cs="Linux Libertine O"/>
      <w:b/>
      <w:bCs/>
      <w:lang w:eastAsia="ja-JP"/>
    </w:rPr>
  </w:style>
  <w:style w:type="table" w:styleId="aff6">
    <w:name w:val="Dark List"/>
    <w:basedOn w:val="a5"/>
    <w:uiPriority w:val="70"/>
    <w:semiHidden/>
    <w:unhideWhenUsed/>
    <w:rsid w:val="00EA5ED5"/>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f7">
    <w:name w:val="Date"/>
    <w:basedOn w:val="a3"/>
    <w:next w:val="a3"/>
    <w:link w:val="aff8"/>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aff8">
    <w:name w:val="日期 字符"/>
    <w:basedOn w:val="a4"/>
    <w:link w:val="aff7"/>
    <w:uiPriority w:val="99"/>
    <w:semiHidden/>
    <w:rsid w:val="00EA5ED5"/>
    <w:rPr>
      <w:rFonts w:ascii="Linux Libertine O" w:hAnsi="Linux Libertine O" w:cs="Linux Libertine O"/>
      <w:sz w:val="18"/>
      <w:szCs w:val="24"/>
      <w:lang w:eastAsia="ja-JP"/>
    </w:rPr>
  </w:style>
  <w:style w:type="paragraph" w:styleId="aff9">
    <w:name w:val="Document Map"/>
    <w:basedOn w:val="a3"/>
    <w:link w:val="affa"/>
    <w:uiPriority w:val="99"/>
    <w:semiHidden/>
    <w:unhideWhenUsed/>
    <w:rsid w:val="00EA5ED5"/>
    <w:rPr>
      <w:rFonts w:ascii="Linux Biolinum O" w:eastAsia="MS Mincho" w:hAnsi="Linux Biolinum O" w:cs="Linux Biolinum O"/>
      <w:sz w:val="16"/>
      <w:szCs w:val="16"/>
      <w:lang w:val="en-US" w:eastAsia="ja-JP"/>
    </w:rPr>
  </w:style>
  <w:style w:type="character" w:customStyle="1" w:styleId="affa">
    <w:name w:val="文档结构图 字符"/>
    <w:basedOn w:val="a4"/>
    <w:link w:val="aff9"/>
    <w:uiPriority w:val="99"/>
    <w:semiHidden/>
    <w:rsid w:val="00EA5ED5"/>
    <w:rPr>
      <w:rFonts w:ascii="Linux Biolinum O" w:hAnsi="Linux Biolinum O" w:cs="Linux Biolinum O"/>
      <w:sz w:val="16"/>
      <w:szCs w:val="16"/>
      <w:lang w:eastAsia="ja-JP"/>
    </w:rPr>
  </w:style>
  <w:style w:type="paragraph" w:styleId="affb">
    <w:name w:val="E-mail Signature"/>
    <w:basedOn w:val="a3"/>
    <w:link w:val="affc"/>
    <w:uiPriority w:val="99"/>
    <w:semiHidden/>
    <w:unhideWhenUsed/>
    <w:rsid w:val="00EA5ED5"/>
    <w:rPr>
      <w:rFonts w:ascii="Linux Libertine O" w:eastAsia="MS Mincho" w:hAnsi="Linux Libertine O" w:cs="Linux Libertine O"/>
      <w:sz w:val="18"/>
      <w:lang w:val="en-US" w:eastAsia="ja-JP"/>
    </w:rPr>
  </w:style>
  <w:style w:type="character" w:customStyle="1" w:styleId="affc">
    <w:name w:val="电子邮件签名 字符"/>
    <w:basedOn w:val="a4"/>
    <w:link w:val="affb"/>
    <w:uiPriority w:val="99"/>
    <w:semiHidden/>
    <w:rsid w:val="00EA5ED5"/>
    <w:rPr>
      <w:rFonts w:ascii="Linux Libertine O" w:hAnsi="Linux Libertine O" w:cs="Linux Libertine O"/>
      <w:sz w:val="18"/>
      <w:szCs w:val="24"/>
      <w:lang w:eastAsia="ja-JP"/>
    </w:rPr>
  </w:style>
  <w:style w:type="character" w:styleId="affd">
    <w:name w:val="Emphasis"/>
    <w:basedOn w:val="a4"/>
    <w:uiPriority w:val="20"/>
    <w:qFormat/>
    <w:rsid w:val="00EA5ED5"/>
    <w:rPr>
      <w:rFonts w:ascii="Linux Biolinum O" w:hAnsi="Linux Biolinum O" w:cs="Linux Biolinum O"/>
      <w:i/>
      <w:iCs/>
    </w:rPr>
  </w:style>
  <w:style w:type="character" w:styleId="affe">
    <w:name w:val="endnote reference"/>
    <w:basedOn w:val="a4"/>
    <w:uiPriority w:val="99"/>
    <w:semiHidden/>
    <w:unhideWhenUsed/>
    <w:rsid w:val="00EA5ED5"/>
    <w:rPr>
      <w:rFonts w:ascii="Linux Biolinum O" w:hAnsi="Linux Biolinum O" w:cs="Linux Biolinum O"/>
      <w:vertAlign w:val="superscript"/>
    </w:rPr>
  </w:style>
  <w:style w:type="paragraph" w:styleId="afff">
    <w:name w:val="endnote text"/>
    <w:basedOn w:val="a3"/>
    <w:link w:val="afff0"/>
    <w:uiPriority w:val="99"/>
    <w:semiHidden/>
    <w:unhideWhenUsed/>
    <w:rsid w:val="00EA5ED5"/>
    <w:rPr>
      <w:rFonts w:ascii="Linux Libertine O" w:eastAsia="MS Mincho" w:hAnsi="Linux Libertine O" w:cs="Linux Libertine O"/>
      <w:sz w:val="20"/>
      <w:szCs w:val="20"/>
      <w:lang w:val="en-US" w:eastAsia="ja-JP"/>
    </w:rPr>
  </w:style>
  <w:style w:type="character" w:customStyle="1" w:styleId="afff0">
    <w:name w:val="尾注文本 字符"/>
    <w:basedOn w:val="a4"/>
    <w:link w:val="afff"/>
    <w:uiPriority w:val="99"/>
    <w:semiHidden/>
    <w:rsid w:val="00EA5ED5"/>
    <w:rPr>
      <w:rFonts w:ascii="Linux Libertine O" w:hAnsi="Linux Libertine O" w:cs="Linux Libertine O"/>
      <w:lang w:eastAsia="ja-JP"/>
    </w:rPr>
  </w:style>
  <w:style w:type="paragraph" w:styleId="afff1">
    <w:name w:val="envelope address"/>
    <w:basedOn w:val="a3"/>
    <w:uiPriority w:val="99"/>
    <w:semiHidden/>
    <w:unhideWhenUsed/>
    <w:rsid w:val="00EA5ED5"/>
    <w:pPr>
      <w:framePr w:w="7920" w:h="1980" w:hRule="exact" w:hSpace="180" w:wrap="auto" w:hAnchor="page" w:xAlign="center" w:yAlign="bottom"/>
      <w:ind w:left="2880"/>
    </w:pPr>
    <w:rPr>
      <w:rFonts w:ascii="Linux Libertine O" w:eastAsiaTheme="majorEastAsia" w:hAnsi="Linux Libertine O" w:cs="Linux Libertine O"/>
      <w:lang w:val="en-US" w:eastAsia="ja-JP"/>
    </w:rPr>
  </w:style>
  <w:style w:type="paragraph" w:styleId="afff2">
    <w:name w:val="envelope return"/>
    <w:basedOn w:val="a3"/>
    <w:uiPriority w:val="99"/>
    <w:semiHidden/>
    <w:unhideWhenUsed/>
    <w:rsid w:val="00EA5ED5"/>
    <w:rPr>
      <w:rFonts w:ascii="Linux Libertine O" w:eastAsiaTheme="majorEastAsia" w:hAnsi="Linux Libertine O" w:cs="Linux Libertine O"/>
      <w:sz w:val="20"/>
      <w:szCs w:val="20"/>
      <w:lang w:val="en-US" w:eastAsia="ja-JP"/>
    </w:rPr>
  </w:style>
  <w:style w:type="character" w:styleId="afff3">
    <w:name w:val="FollowedHyperlink"/>
    <w:basedOn w:val="a4"/>
    <w:uiPriority w:val="99"/>
    <w:semiHidden/>
    <w:unhideWhenUsed/>
    <w:rsid w:val="00EA5ED5"/>
    <w:rPr>
      <w:rFonts w:ascii="Linux Biolinum O" w:hAnsi="Linux Biolinum O" w:cs="Linux Biolinum O"/>
      <w:color w:val="800080" w:themeColor="followedHyperlink"/>
      <w:u w:val="single"/>
    </w:rPr>
  </w:style>
  <w:style w:type="table" w:customStyle="1" w:styleId="11">
    <w:name w:val="网格表 1 浅色1"/>
    <w:basedOn w:val="a5"/>
    <w:uiPriority w:val="99"/>
    <w:rsid w:val="00EA5ED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1-11">
    <w:name w:val="网格表 1 浅色 - 着色 11"/>
    <w:basedOn w:val="a5"/>
    <w:uiPriority w:val="46"/>
    <w:rsid w:val="00EA5ED5"/>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1-21">
    <w:name w:val="网格表 1 浅色 - 着色 21"/>
    <w:basedOn w:val="a5"/>
    <w:uiPriority w:val="46"/>
    <w:rsid w:val="00EA5ED5"/>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1-31">
    <w:name w:val="网格表 1 浅色 - 着色 31"/>
    <w:basedOn w:val="a5"/>
    <w:uiPriority w:val="46"/>
    <w:rsid w:val="00EA5ED5"/>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1-41">
    <w:name w:val="网格表 1 浅色 - 着色 41"/>
    <w:basedOn w:val="a5"/>
    <w:uiPriority w:val="46"/>
    <w:rsid w:val="00EA5ED5"/>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1-51">
    <w:name w:val="网格表 1 浅色 - 着色 51"/>
    <w:basedOn w:val="a5"/>
    <w:uiPriority w:val="46"/>
    <w:rsid w:val="00EA5ED5"/>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1-61">
    <w:name w:val="网格表 1 浅色 - 着色 61"/>
    <w:basedOn w:val="a5"/>
    <w:uiPriority w:val="46"/>
    <w:rsid w:val="00EA5ED5"/>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210">
    <w:name w:val="网格表 21"/>
    <w:basedOn w:val="a5"/>
    <w:uiPriority w:val="99"/>
    <w:rsid w:val="00EA5ED5"/>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
    <w:name w:val="网格表 2 - 着色 11"/>
    <w:basedOn w:val="a5"/>
    <w:uiPriority w:val="47"/>
    <w:rsid w:val="00EA5ED5"/>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
    <w:name w:val="网格表 2 - 着色 21"/>
    <w:basedOn w:val="a5"/>
    <w:uiPriority w:val="47"/>
    <w:rsid w:val="00EA5ED5"/>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
    <w:name w:val="网格表 2 - 着色 31"/>
    <w:basedOn w:val="a5"/>
    <w:uiPriority w:val="47"/>
    <w:rsid w:val="00EA5ED5"/>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
    <w:name w:val="网格表 2 - 着色 41"/>
    <w:basedOn w:val="a5"/>
    <w:uiPriority w:val="47"/>
    <w:rsid w:val="00EA5ED5"/>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
    <w:name w:val="网格表 2 - 着色 51"/>
    <w:basedOn w:val="a5"/>
    <w:uiPriority w:val="47"/>
    <w:rsid w:val="00EA5ED5"/>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
    <w:name w:val="网格表 2 - 着色 61"/>
    <w:basedOn w:val="a5"/>
    <w:uiPriority w:val="47"/>
    <w:rsid w:val="00EA5ED5"/>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0">
    <w:name w:val="网格表 31"/>
    <w:basedOn w:val="a5"/>
    <w:uiPriority w:val="9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3-11">
    <w:name w:val="网格表 3 - 着色 11"/>
    <w:basedOn w:val="a5"/>
    <w:uiPriority w:val="48"/>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3-21">
    <w:name w:val="网格表 3 - 着色 21"/>
    <w:basedOn w:val="a5"/>
    <w:uiPriority w:val="48"/>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3-31">
    <w:name w:val="网格表 3 - 着色 31"/>
    <w:basedOn w:val="a5"/>
    <w:uiPriority w:val="48"/>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3-41">
    <w:name w:val="网格表 3 - 着色 41"/>
    <w:basedOn w:val="a5"/>
    <w:uiPriority w:val="48"/>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3-51">
    <w:name w:val="网格表 3 - 着色 51"/>
    <w:basedOn w:val="a5"/>
    <w:uiPriority w:val="48"/>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3-61">
    <w:name w:val="网格表 3 - 着色 61"/>
    <w:basedOn w:val="a5"/>
    <w:uiPriority w:val="48"/>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410">
    <w:name w:val="网格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
    <w:name w:val="网格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
    <w:name w:val="网格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
    <w:name w:val="网格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
    <w:name w:val="网格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
    <w:name w:val="网格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
    <w:name w:val="网格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0">
    <w:name w:val="网格表 5 深色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5-11">
    <w:name w:val="网格表 5 深色 - 着色 1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5-21">
    <w:name w:val="网格表 5 深色 - 着色 2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5-31">
    <w:name w:val="网格表 5 深色 - 着色 3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5-41">
    <w:name w:val="网格表 5 深色 - 着色 4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5-51">
    <w:name w:val="网格表 5 深色 - 着色 5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5-61">
    <w:name w:val="网格表 5 深色 - 着色 6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61">
    <w:name w:val="网格表 6 彩色1"/>
    <w:basedOn w:val="a5"/>
    <w:uiPriority w:val="51"/>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
    <w:name w:val="网格表 6 彩色 - 着色 11"/>
    <w:basedOn w:val="a5"/>
    <w:uiPriority w:val="51"/>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
    <w:name w:val="网格表 6 彩色 - 着色 21"/>
    <w:basedOn w:val="a5"/>
    <w:uiPriority w:val="51"/>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
    <w:name w:val="网格表 6 彩色 - 着色 31"/>
    <w:basedOn w:val="a5"/>
    <w:uiPriority w:val="51"/>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
    <w:name w:val="网格表 6 彩色 - 着色 41"/>
    <w:basedOn w:val="a5"/>
    <w:uiPriority w:val="51"/>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
    <w:name w:val="网格表 6 彩色 - 着色 51"/>
    <w:basedOn w:val="a5"/>
    <w:uiPriority w:val="51"/>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
    <w:name w:val="网格表 6 彩色 - 着色 61"/>
    <w:basedOn w:val="a5"/>
    <w:uiPriority w:val="51"/>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
    <w:name w:val="网格表 7 彩色1"/>
    <w:basedOn w:val="a5"/>
    <w:uiPriority w:val="52"/>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7-11">
    <w:name w:val="网格表 7 彩色 - 着色 11"/>
    <w:basedOn w:val="a5"/>
    <w:uiPriority w:val="52"/>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7-21">
    <w:name w:val="网格表 7 彩色 - 着色 21"/>
    <w:basedOn w:val="a5"/>
    <w:uiPriority w:val="52"/>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7-31">
    <w:name w:val="网格表 7 彩色 - 着色 31"/>
    <w:basedOn w:val="a5"/>
    <w:uiPriority w:val="52"/>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7-41">
    <w:name w:val="网格表 7 彩色 - 着色 41"/>
    <w:basedOn w:val="a5"/>
    <w:uiPriority w:val="52"/>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7-51">
    <w:name w:val="网格表 7 彩色 - 着色 51"/>
    <w:basedOn w:val="a5"/>
    <w:uiPriority w:val="52"/>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7-61">
    <w:name w:val="网格表 7 彩色 - 着色 61"/>
    <w:basedOn w:val="a5"/>
    <w:uiPriority w:val="52"/>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12">
    <w:name w:val="井号标签1"/>
    <w:basedOn w:val="a4"/>
    <w:uiPriority w:val="99"/>
    <w:semiHidden/>
    <w:unhideWhenUsed/>
    <w:rsid w:val="00EA5ED5"/>
    <w:rPr>
      <w:rFonts w:ascii="Linux Biolinum O" w:hAnsi="Linux Biolinum O" w:cs="Linux Biolinum O"/>
      <w:color w:val="2B579A"/>
      <w:shd w:val="clear" w:color="auto" w:fill="E1DFDD"/>
    </w:rPr>
  </w:style>
  <w:style w:type="paragraph" w:styleId="afff4">
    <w:name w:val="header"/>
    <w:basedOn w:val="a3"/>
    <w:link w:val="afff5"/>
    <w:uiPriority w:val="99"/>
    <w:unhideWhenUsed/>
    <w:rsid w:val="00EA5ED5"/>
    <w:pPr>
      <w:tabs>
        <w:tab w:val="center" w:pos="4680"/>
        <w:tab w:val="right" w:pos="9360"/>
      </w:tabs>
    </w:pPr>
    <w:rPr>
      <w:rFonts w:ascii="Linux Libertine O" w:eastAsia="MS Mincho" w:hAnsi="Linux Libertine O" w:cs="Linux Libertine O"/>
      <w:sz w:val="18"/>
      <w:lang w:val="en-US" w:eastAsia="ja-JP"/>
    </w:rPr>
  </w:style>
  <w:style w:type="character" w:customStyle="1" w:styleId="afff5">
    <w:name w:val="页眉 字符"/>
    <w:basedOn w:val="a4"/>
    <w:link w:val="afff4"/>
    <w:uiPriority w:val="99"/>
    <w:rsid w:val="00EA5ED5"/>
    <w:rPr>
      <w:rFonts w:ascii="Linux Libertine O" w:hAnsi="Linux Libertine O" w:cs="Linux Libertine O"/>
      <w:sz w:val="18"/>
      <w:szCs w:val="24"/>
      <w:lang w:eastAsia="ja-JP"/>
    </w:rPr>
  </w:style>
  <w:style w:type="character" w:styleId="HTML">
    <w:name w:val="HTML Acronym"/>
    <w:basedOn w:val="a4"/>
    <w:uiPriority w:val="99"/>
    <w:semiHidden/>
    <w:unhideWhenUsed/>
    <w:rsid w:val="00EA5ED5"/>
    <w:rPr>
      <w:rFonts w:ascii="Linux Biolinum O" w:hAnsi="Linux Biolinum O" w:cs="Linux Biolinum O"/>
    </w:rPr>
  </w:style>
  <w:style w:type="paragraph" w:styleId="HTML0">
    <w:name w:val="HTML Address"/>
    <w:basedOn w:val="a3"/>
    <w:link w:val="HTML1"/>
    <w:uiPriority w:val="99"/>
    <w:semiHidden/>
    <w:unhideWhenUsed/>
    <w:rsid w:val="00EA5ED5"/>
    <w:rPr>
      <w:rFonts w:ascii="Linux Libertine O" w:eastAsia="MS Mincho" w:hAnsi="Linux Libertine O" w:cs="Linux Libertine O"/>
      <w:i/>
      <w:iCs/>
      <w:sz w:val="18"/>
      <w:lang w:val="en-US" w:eastAsia="ja-JP"/>
    </w:rPr>
  </w:style>
  <w:style w:type="character" w:customStyle="1" w:styleId="HTML1">
    <w:name w:val="HTML 地址 字符"/>
    <w:basedOn w:val="a4"/>
    <w:link w:val="HTML0"/>
    <w:uiPriority w:val="99"/>
    <w:semiHidden/>
    <w:rsid w:val="00EA5ED5"/>
    <w:rPr>
      <w:rFonts w:ascii="Linux Libertine O" w:hAnsi="Linux Libertine O" w:cs="Linux Libertine O"/>
      <w:i/>
      <w:iCs/>
      <w:sz w:val="18"/>
      <w:szCs w:val="24"/>
      <w:lang w:eastAsia="ja-JP"/>
    </w:rPr>
  </w:style>
  <w:style w:type="character" w:styleId="HTML2">
    <w:name w:val="HTML Cite"/>
    <w:basedOn w:val="a4"/>
    <w:uiPriority w:val="99"/>
    <w:semiHidden/>
    <w:unhideWhenUsed/>
    <w:rsid w:val="00EA5ED5"/>
    <w:rPr>
      <w:rFonts w:ascii="Linux Biolinum O" w:hAnsi="Linux Biolinum O" w:cs="Linux Biolinum O"/>
      <w:i/>
      <w:iCs/>
    </w:rPr>
  </w:style>
  <w:style w:type="character" w:styleId="HTML3">
    <w:name w:val="HTML Code"/>
    <w:basedOn w:val="a4"/>
    <w:uiPriority w:val="99"/>
    <w:semiHidden/>
    <w:unhideWhenUsed/>
    <w:rsid w:val="00EA5ED5"/>
    <w:rPr>
      <w:rFonts w:ascii="Linux Biolinum O" w:hAnsi="Linux Biolinum O" w:cs="Linux Biolinum O"/>
      <w:sz w:val="20"/>
      <w:szCs w:val="20"/>
    </w:rPr>
  </w:style>
  <w:style w:type="character" w:styleId="HTML4">
    <w:name w:val="HTML Definition"/>
    <w:basedOn w:val="a4"/>
    <w:uiPriority w:val="99"/>
    <w:semiHidden/>
    <w:unhideWhenUsed/>
    <w:rsid w:val="00EA5ED5"/>
    <w:rPr>
      <w:rFonts w:ascii="Linux Biolinum O" w:hAnsi="Linux Biolinum O" w:cs="Linux Biolinum O"/>
      <w:i/>
      <w:iCs/>
    </w:rPr>
  </w:style>
  <w:style w:type="character" w:styleId="HTML5">
    <w:name w:val="HTML Keyboard"/>
    <w:basedOn w:val="a4"/>
    <w:uiPriority w:val="99"/>
    <w:semiHidden/>
    <w:unhideWhenUsed/>
    <w:rsid w:val="00EA5ED5"/>
    <w:rPr>
      <w:rFonts w:ascii="Linux Biolinum O" w:hAnsi="Linux Biolinum O" w:cs="Linux Biolinum O"/>
      <w:sz w:val="20"/>
      <w:szCs w:val="20"/>
    </w:rPr>
  </w:style>
  <w:style w:type="paragraph" w:styleId="HTML6">
    <w:name w:val="HTML Preformatted"/>
    <w:basedOn w:val="a3"/>
    <w:link w:val="HTML7"/>
    <w:uiPriority w:val="99"/>
    <w:semiHidden/>
    <w:unhideWhenUsed/>
    <w:rsid w:val="00EA5ED5"/>
    <w:rPr>
      <w:rFonts w:ascii="Linux Biolinum O" w:eastAsia="MS Mincho" w:hAnsi="Linux Biolinum O" w:cs="Linux Biolinum O"/>
      <w:sz w:val="20"/>
      <w:szCs w:val="20"/>
      <w:lang w:val="en-US" w:eastAsia="ja-JP"/>
    </w:rPr>
  </w:style>
  <w:style w:type="character" w:customStyle="1" w:styleId="HTML7">
    <w:name w:val="HTML 预设格式 字符"/>
    <w:basedOn w:val="a4"/>
    <w:link w:val="HTML6"/>
    <w:uiPriority w:val="99"/>
    <w:semiHidden/>
    <w:rsid w:val="00EA5ED5"/>
    <w:rPr>
      <w:rFonts w:ascii="Linux Biolinum O" w:hAnsi="Linux Biolinum O" w:cs="Linux Biolinum O"/>
      <w:lang w:eastAsia="ja-JP"/>
    </w:rPr>
  </w:style>
  <w:style w:type="character" w:styleId="HTML8">
    <w:name w:val="HTML Sample"/>
    <w:basedOn w:val="a4"/>
    <w:uiPriority w:val="99"/>
    <w:semiHidden/>
    <w:unhideWhenUsed/>
    <w:rsid w:val="00EA5ED5"/>
    <w:rPr>
      <w:rFonts w:ascii="Linux Biolinum O" w:hAnsi="Linux Biolinum O" w:cs="Linux Biolinum O"/>
      <w:sz w:val="24"/>
      <w:szCs w:val="24"/>
    </w:rPr>
  </w:style>
  <w:style w:type="character" w:styleId="HTML9">
    <w:name w:val="HTML Typewriter"/>
    <w:basedOn w:val="a4"/>
    <w:uiPriority w:val="99"/>
    <w:semiHidden/>
    <w:unhideWhenUsed/>
    <w:rsid w:val="00EA5ED5"/>
    <w:rPr>
      <w:rFonts w:ascii="Linux Biolinum O" w:hAnsi="Linux Biolinum O" w:cs="Linux Biolinum O"/>
      <w:sz w:val="20"/>
      <w:szCs w:val="20"/>
    </w:rPr>
  </w:style>
  <w:style w:type="character" w:styleId="HTMLa">
    <w:name w:val="HTML Variable"/>
    <w:basedOn w:val="a4"/>
    <w:uiPriority w:val="99"/>
    <w:semiHidden/>
    <w:unhideWhenUsed/>
    <w:rsid w:val="00EA5ED5"/>
    <w:rPr>
      <w:rFonts w:ascii="Linux Biolinum O" w:hAnsi="Linux Biolinum O" w:cs="Linux Biolinum O"/>
      <w:i/>
      <w:iCs/>
    </w:rPr>
  </w:style>
  <w:style w:type="paragraph" w:styleId="13">
    <w:name w:val="index 1"/>
    <w:basedOn w:val="a3"/>
    <w:next w:val="a3"/>
    <w:autoRedefine/>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29">
    <w:name w:val="index 2"/>
    <w:basedOn w:val="a3"/>
    <w:next w:val="a3"/>
    <w:autoRedefine/>
    <w:uiPriority w:val="99"/>
    <w:semiHidden/>
    <w:unhideWhenUsed/>
    <w:rsid w:val="00EA5ED5"/>
    <w:pPr>
      <w:ind w:left="360" w:hanging="180"/>
    </w:pPr>
    <w:rPr>
      <w:rFonts w:ascii="Linux Libertine O" w:eastAsia="MS Mincho" w:hAnsi="Linux Libertine O" w:cs="Linux Libertine O"/>
      <w:sz w:val="18"/>
      <w:lang w:val="en-US" w:eastAsia="ja-JP"/>
    </w:rPr>
  </w:style>
  <w:style w:type="paragraph" w:styleId="37">
    <w:name w:val="index 3"/>
    <w:basedOn w:val="a3"/>
    <w:next w:val="a3"/>
    <w:autoRedefine/>
    <w:uiPriority w:val="99"/>
    <w:semiHidden/>
    <w:unhideWhenUsed/>
    <w:rsid w:val="00EA5ED5"/>
    <w:pPr>
      <w:ind w:left="540" w:hanging="180"/>
    </w:pPr>
    <w:rPr>
      <w:rFonts w:ascii="Linux Libertine O" w:eastAsia="MS Mincho" w:hAnsi="Linux Libertine O" w:cs="Linux Libertine O"/>
      <w:sz w:val="18"/>
      <w:lang w:val="en-US" w:eastAsia="ja-JP"/>
    </w:rPr>
  </w:style>
  <w:style w:type="paragraph" w:styleId="43">
    <w:name w:val="index 4"/>
    <w:basedOn w:val="a3"/>
    <w:next w:val="a3"/>
    <w:autoRedefine/>
    <w:uiPriority w:val="99"/>
    <w:semiHidden/>
    <w:unhideWhenUsed/>
    <w:rsid w:val="00EA5ED5"/>
    <w:pPr>
      <w:ind w:left="720" w:hanging="180"/>
    </w:pPr>
    <w:rPr>
      <w:rFonts w:ascii="Linux Libertine O" w:eastAsia="MS Mincho" w:hAnsi="Linux Libertine O" w:cs="Linux Libertine O"/>
      <w:sz w:val="18"/>
      <w:lang w:val="en-US" w:eastAsia="ja-JP"/>
    </w:rPr>
  </w:style>
  <w:style w:type="paragraph" w:styleId="53">
    <w:name w:val="index 5"/>
    <w:basedOn w:val="a3"/>
    <w:next w:val="a3"/>
    <w:autoRedefine/>
    <w:uiPriority w:val="99"/>
    <w:semiHidden/>
    <w:unhideWhenUsed/>
    <w:rsid w:val="00EA5ED5"/>
    <w:pPr>
      <w:ind w:left="900" w:hanging="180"/>
    </w:pPr>
    <w:rPr>
      <w:rFonts w:ascii="Linux Libertine O" w:eastAsia="MS Mincho" w:hAnsi="Linux Libertine O" w:cs="Linux Libertine O"/>
      <w:sz w:val="18"/>
      <w:lang w:val="en-US" w:eastAsia="ja-JP"/>
    </w:rPr>
  </w:style>
  <w:style w:type="paragraph" w:styleId="62">
    <w:name w:val="index 6"/>
    <w:basedOn w:val="a3"/>
    <w:next w:val="a3"/>
    <w:autoRedefine/>
    <w:uiPriority w:val="99"/>
    <w:semiHidden/>
    <w:unhideWhenUsed/>
    <w:rsid w:val="00EA5ED5"/>
    <w:pPr>
      <w:ind w:left="1080" w:hanging="180"/>
    </w:pPr>
    <w:rPr>
      <w:rFonts w:ascii="Linux Libertine O" w:eastAsia="MS Mincho" w:hAnsi="Linux Libertine O" w:cs="Linux Libertine O"/>
      <w:sz w:val="18"/>
      <w:lang w:val="en-US" w:eastAsia="ja-JP"/>
    </w:rPr>
  </w:style>
  <w:style w:type="paragraph" w:styleId="72">
    <w:name w:val="index 7"/>
    <w:basedOn w:val="a3"/>
    <w:next w:val="a3"/>
    <w:autoRedefine/>
    <w:uiPriority w:val="99"/>
    <w:semiHidden/>
    <w:unhideWhenUsed/>
    <w:rsid w:val="00EA5ED5"/>
    <w:pPr>
      <w:ind w:left="1260" w:hanging="180"/>
    </w:pPr>
    <w:rPr>
      <w:rFonts w:ascii="Linux Libertine O" w:eastAsia="MS Mincho" w:hAnsi="Linux Libertine O" w:cs="Linux Libertine O"/>
      <w:sz w:val="18"/>
      <w:lang w:val="en-US" w:eastAsia="ja-JP"/>
    </w:rPr>
  </w:style>
  <w:style w:type="paragraph" w:styleId="81">
    <w:name w:val="index 8"/>
    <w:basedOn w:val="a3"/>
    <w:next w:val="a3"/>
    <w:autoRedefine/>
    <w:uiPriority w:val="99"/>
    <w:semiHidden/>
    <w:unhideWhenUsed/>
    <w:rsid w:val="00EA5ED5"/>
    <w:pPr>
      <w:ind w:left="1440" w:hanging="180"/>
    </w:pPr>
    <w:rPr>
      <w:rFonts w:ascii="Linux Libertine O" w:eastAsia="MS Mincho" w:hAnsi="Linux Libertine O" w:cs="Linux Libertine O"/>
      <w:sz w:val="18"/>
      <w:lang w:val="en-US" w:eastAsia="ja-JP"/>
    </w:rPr>
  </w:style>
  <w:style w:type="paragraph" w:styleId="91">
    <w:name w:val="index 9"/>
    <w:basedOn w:val="a3"/>
    <w:next w:val="a3"/>
    <w:autoRedefine/>
    <w:uiPriority w:val="99"/>
    <w:semiHidden/>
    <w:unhideWhenUsed/>
    <w:rsid w:val="00EA5ED5"/>
    <w:pPr>
      <w:ind w:left="1620" w:hanging="180"/>
    </w:pPr>
    <w:rPr>
      <w:rFonts w:ascii="Linux Libertine O" w:eastAsia="MS Mincho" w:hAnsi="Linux Libertine O" w:cs="Linux Libertine O"/>
      <w:sz w:val="18"/>
      <w:lang w:val="en-US" w:eastAsia="ja-JP"/>
    </w:rPr>
  </w:style>
  <w:style w:type="paragraph" w:styleId="afff6">
    <w:name w:val="index heading"/>
    <w:basedOn w:val="a3"/>
    <w:next w:val="13"/>
    <w:uiPriority w:val="99"/>
    <w:semiHidden/>
    <w:unhideWhenUsed/>
    <w:rsid w:val="00EA5ED5"/>
    <w:pPr>
      <w:spacing w:after="200"/>
    </w:pPr>
    <w:rPr>
      <w:rFonts w:ascii="Linux Libertine O" w:eastAsiaTheme="majorEastAsia" w:hAnsi="Linux Libertine O" w:cs="Linux Libertine O"/>
      <w:b/>
      <w:bCs/>
      <w:sz w:val="18"/>
      <w:lang w:val="en-US" w:eastAsia="ja-JP"/>
    </w:rPr>
  </w:style>
  <w:style w:type="character" w:styleId="afff7">
    <w:name w:val="Intense Emphasis"/>
    <w:basedOn w:val="a4"/>
    <w:uiPriority w:val="21"/>
    <w:qFormat/>
    <w:rsid w:val="00EA5ED5"/>
    <w:rPr>
      <w:rFonts w:ascii="Linux Biolinum O" w:hAnsi="Linux Biolinum O" w:cs="Linux Biolinum O"/>
      <w:i/>
      <w:iCs/>
      <w:color w:val="4F81BD" w:themeColor="accent1"/>
    </w:rPr>
  </w:style>
  <w:style w:type="paragraph" w:styleId="afff8">
    <w:name w:val="Intense Quote"/>
    <w:basedOn w:val="a3"/>
    <w:next w:val="a3"/>
    <w:link w:val="afff9"/>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MS Mincho" w:hAnsi="Linux Libertine O" w:cs="Linux Libertine O"/>
      <w:i/>
      <w:iCs/>
      <w:color w:val="4F81BD" w:themeColor="accent1"/>
      <w:sz w:val="18"/>
      <w:lang w:val="en-US" w:eastAsia="ja-JP"/>
    </w:rPr>
  </w:style>
  <w:style w:type="character" w:customStyle="1" w:styleId="afff9">
    <w:name w:val="明显引用 字符"/>
    <w:basedOn w:val="a4"/>
    <w:link w:val="afff8"/>
    <w:uiPriority w:val="30"/>
    <w:rsid w:val="00EA5ED5"/>
    <w:rPr>
      <w:rFonts w:ascii="Linux Libertine O" w:hAnsi="Linux Libertine O" w:cs="Linux Libertine O"/>
      <w:i/>
      <w:iCs/>
      <w:color w:val="4F81BD" w:themeColor="accent1"/>
      <w:sz w:val="18"/>
      <w:szCs w:val="24"/>
      <w:lang w:eastAsia="ja-JP"/>
    </w:rPr>
  </w:style>
  <w:style w:type="character" w:styleId="afffa">
    <w:name w:val="Intense Reference"/>
    <w:basedOn w:val="a4"/>
    <w:uiPriority w:val="32"/>
    <w:qFormat/>
    <w:rsid w:val="00EA5ED5"/>
    <w:rPr>
      <w:rFonts w:ascii="Linux Biolinum O" w:hAnsi="Linux Biolinum O" w:cs="Linux Biolinum O"/>
      <w:b/>
      <w:bCs/>
      <w:smallCaps/>
      <w:color w:val="4F81BD" w:themeColor="accent1"/>
      <w:spacing w:val="5"/>
    </w:rPr>
  </w:style>
  <w:style w:type="table" w:styleId="afffb">
    <w:name w:val="Light Grid"/>
    <w:basedOn w:val="a5"/>
    <w:uiPriority w:val="62"/>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fc">
    <w:name w:val="Light List"/>
    <w:basedOn w:val="a5"/>
    <w:uiPriority w:val="61"/>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d">
    <w:name w:val="Light Shading"/>
    <w:basedOn w:val="a5"/>
    <w:uiPriority w:val="60"/>
    <w:semiHidden/>
    <w:unhideWhenUsed/>
    <w:rsid w:val="00EA5ED5"/>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fe">
    <w:name w:val="line number"/>
    <w:basedOn w:val="a4"/>
    <w:uiPriority w:val="99"/>
    <w:semiHidden/>
    <w:unhideWhenUsed/>
    <w:rsid w:val="00EA5ED5"/>
    <w:rPr>
      <w:rFonts w:ascii="Linux Biolinum O" w:hAnsi="Linux Biolinum O" w:cs="Linux Biolinum O"/>
    </w:rPr>
  </w:style>
  <w:style w:type="paragraph" w:styleId="affff">
    <w:name w:val="List"/>
    <w:basedOn w:val="a3"/>
    <w:uiPriority w:val="99"/>
    <w:semiHidden/>
    <w:unhideWhenUsed/>
    <w:rsid w:val="00EA5ED5"/>
    <w:pPr>
      <w:spacing w:after="200"/>
      <w:ind w:left="360" w:hanging="360"/>
      <w:contextualSpacing/>
    </w:pPr>
    <w:rPr>
      <w:rFonts w:ascii="Linux Libertine O" w:eastAsia="MS Mincho" w:hAnsi="Linux Libertine O" w:cs="Linux Libertine O"/>
      <w:sz w:val="18"/>
      <w:lang w:val="en-US" w:eastAsia="ja-JP"/>
    </w:rPr>
  </w:style>
  <w:style w:type="paragraph" w:styleId="2a">
    <w:name w:val="List 2"/>
    <w:basedOn w:val="a3"/>
    <w:uiPriority w:val="99"/>
    <w:semiHidden/>
    <w:unhideWhenUsed/>
    <w:rsid w:val="00EA5ED5"/>
    <w:pPr>
      <w:spacing w:after="200"/>
      <w:ind w:left="720" w:hanging="360"/>
      <w:contextualSpacing/>
    </w:pPr>
    <w:rPr>
      <w:rFonts w:ascii="Linux Libertine O" w:eastAsia="MS Mincho" w:hAnsi="Linux Libertine O" w:cs="Linux Libertine O"/>
      <w:sz w:val="18"/>
      <w:lang w:val="en-US" w:eastAsia="ja-JP"/>
    </w:rPr>
  </w:style>
  <w:style w:type="paragraph" w:styleId="38">
    <w:name w:val="List 3"/>
    <w:basedOn w:val="a3"/>
    <w:uiPriority w:val="99"/>
    <w:semiHidden/>
    <w:unhideWhenUsed/>
    <w:rsid w:val="00EA5ED5"/>
    <w:pPr>
      <w:spacing w:after="200"/>
      <w:ind w:left="1080" w:hanging="360"/>
      <w:contextualSpacing/>
    </w:pPr>
    <w:rPr>
      <w:rFonts w:ascii="Linux Libertine O" w:eastAsia="MS Mincho" w:hAnsi="Linux Libertine O" w:cs="Linux Libertine O"/>
      <w:sz w:val="18"/>
      <w:lang w:val="en-US" w:eastAsia="ja-JP"/>
    </w:rPr>
  </w:style>
  <w:style w:type="paragraph" w:styleId="44">
    <w:name w:val="List 4"/>
    <w:basedOn w:val="a3"/>
    <w:uiPriority w:val="99"/>
    <w:semiHidden/>
    <w:unhideWhenUsed/>
    <w:rsid w:val="00EA5ED5"/>
    <w:pPr>
      <w:spacing w:after="200"/>
      <w:ind w:left="1440" w:hanging="360"/>
      <w:contextualSpacing/>
    </w:pPr>
    <w:rPr>
      <w:rFonts w:ascii="Linux Libertine O" w:eastAsia="MS Mincho" w:hAnsi="Linux Libertine O" w:cs="Linux Libertine O"/>
      <w:sz w:val="18"/>
      <w:lang w:val="en-US" w:eastAsia="ja-JP"/>
    </w:rPr>
  </w:style>
  <w:style w:type="paragraph" w:styleId="54">
    <w:name w:val="List 5"/>
    <w:basedOn w:val="a3"/>
    <w:uiPriority w:val="99"/>
    <w:semiHidden/>
    <w:unhideWhenUsed/>
    <w:rsid w:val="00EA5ED5"/>
    <w:pPr>
      <w:spacing w:after="200"/>
      <w:ind w:left="1800" w:hanging="360"/>
      <w:contextualSpacing/>
    </w:pPr>
    <w:rPr>
      <w:rFonts w:ascii="Linux Libertine O" w:eastAsia="MS Mincho" w:hAnsi="Linux Libertine O" w:cs="Linux Libertine O"/>
      <w:sz w:val="18"/>
      <w:lang w:val="en-US" w:eastAsia="ja-JP"/>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MS Mincho" w:hAnsi="Linux Libertine O" w:cs="Linux Libertine O"/>
      <w:sz w:val="18"/>
      <w:lang w:val="en-US" w:eastAsia="ja-JP"/>
    </w:rPr>
  </w:style>
  <w:style w:type="paragraph" w:styleId="20">
    <w:name w:val="List Bullet 2"/>
    <w:basedOn w:val="a3"/>
    <w:uiPriority w:val="99"/>
    <w:semiHidden/>
    <w:unhideWhenUsed/>
    <w:rsid w:val="00EA5ED5"/>
    <w:pPr>
      <w:numPr>
        <w:numId w:val="14"/>
      </w:numPr>
      <w:spacing w:after="200"/>
      <w:contextualSpacing/>
    </w:pPr>
    <w:rPr>
      <w:rFonts w:ascii="Linux Libertine O" w:eastAsia="MS Mincho" w:hAnsi="Linux Libertine O" w:cs="Linux Libertine O"/>
      <w:sz w:val="18"/>
      <w:lang w:val="en-US" w:eastAsia="ja-JP"/>
    </w:rPr>
  </w:style>
  <w:style w:type="paragraph" w:styleId="30">
    <w:name w:val="List Bullet 3"/>
    <w:basedOn w:val="a3"/>
    <w:uiPriority w:val="99"/>
    <w:semiHidden/>
    <w:unhideWhenUsed/>
    <w:rsid w:val="00EA5ED5"/>
    <w:pPr>
      <w:numPr>
        <w:numId w:val="13"/>
      </w:numPr>
      <w:spacing w:after="200"/>
      <w:contextualSpacing/>
    </w:pPr>
    <w:rPr>
      <w:rFonts w:ascii="Linux Libertine O" w:eastAsia="MS Mincho" w:hAnsi="Linux Libertine O" w:cs="Linux Libertine O"/>
      <w:sz w:val="18"/>
      <w:lang w:val="en-US" w:eastAsia="ja-JP"/>
    </w:rPr>
  </w:style>
  <w:style w:type="paragraph" w:styleId="40">
    <w:name w:val="List Bullet 4"/>
    <w:basedOn w:val="a3"/>
    <w:uiPriority w:val="99"/>
    <w:semiHidden/>
    <w:unhideWhenUsed/>
    <w:rsid w:val="00EA5ED5"/>
    <w:pPr>
      <w:numPr>
        <w:numId w:val="12"/>
      </w:numPr>
      <w:spacing w:after="200"/>
      <w:contextualSpacing/>
    </w:pPr>
    <w:rPr>
      <w:rFonts w:ascii="Linux Libertine O" w:eastAsia="MS Mincho" w:hAnsi="Linux Libertine O" w:cs="Linux Libertine O"/>
      <w:sz w:val="18"/>
      <w:lang w:val="en-US" w:eastAsia="ja-JP"/>
    </w:rPr>
  </w:style>
  <w:style w:type="paragraph" w:styleId="50">
    <w:name w:val="List Bullet 5"/>
    <w:basedOn w:val="a3"/>
    <w:uiPriority w:val="99"/>
    <w:semiHidden/>
    <w:unhideWhenUsed/>
    <w:rsid w:val="00EA5ED5"/>
    <w:pPr>
      <w:numPr>
        <w:numId w:val="11"/>
      </w:numPr>
      <w:spacing w:after="200"/>
      <w:contextualSpacing/>
    </w:pPr>
    <w:rPr>
      <w:rFonts w:ascii="Linux Libertine O" w:eastAsia="MS Mincho" w:hAnsi="Linux Libertine O" w:cs="Linux Libertine O"/>
      <w:sz w:val="18"/>
      <w:lang w:val="en-US" w:eastAsia="ja-JP"/>
    </w:rPr>
  </w:style>
  <w:style w:type="paragraph" w:styleId="affff0">
    <w:name w:val="List Continue"/>
    <w:basedOn w:val="a3"/>
    <w:uiPriority w:val="99"/>
    <w:semiHidden/>
    <w:unhideWhenUsed/>
    <w:rsid w:val="00EA5ED5"/>
    <w:pPr>
      <w:spacing w:after="120"/>
      <w:ind w:left="360"/>
      <w:contextualSpacing/>
    </w:pPr>
    <w:rPr>
      <w:rFonts w:ascii="Linux Libertine O" w:eastAsia="MS Mincho" w:hAnsi="Linux Libertine O" w:cs="Linux Libertine O"/>
      <w:sz w:val="18"/>
      <w:lang w:val="en-US" w:eastAsia="ja-JP"/>
    </w:rPr>
  </w:style>
  <w:style w:type="paragraph" w:styleId="2b">
    <w:name w:val="List Continue 2"/>
    <w:basedOn w:val="a3"/>
    <w:uiPriority w:val="99"/>
    <w:semiHidden/>
    <w:unhideWhenUsed/>
    <w:rsid w:val="00EA5ED5"/>
    <w:pPr>
      <w:spacing w:after="120"/>
      <w:ind w:left="720"/>
      <w:contextualSpacing/>
    </w:pPr>
    <w:rPr>
      <w:rFonts w:ascii="Linux Libertine O" w:eastAsia="MS Mincho" w:hAnsi="Linux Libertine O" w:cs="Linux Libertine O"/>
      <w:sz w:val="18"/>
      <w:lang w:val="en-US" w:eastAsia="ja-JP"/>
    </w:rPr>
  </w:style>
  <w:style w:type="paragraph" w:styleId="39">
    <w:name w:val="List Continue 3"/>
    <w:basedOn w:val="a3"/>
    <w:uiPriority w:val="99"/>
    <w:semiHidden/>
    <w:unhideWhenUsed/>
    <w:rsid w:val="00EA5ED5"/>
    <w:pPr>
      <w:spacing w:after="120"/>
      <w:ind w:left="1080"/>
      <w:contextualSpacing/>
    </w:pPr>
    <w:rPr>
      <w:rFonts w:ascii="Linux Libertine O" w:eastAsia="MS Mincho" w:hAnsi="Linux Libertine O" w:cs="Linux Libertine O"/>
      <w:sz w:val="18"/>
      <w:lang w:val="en-US" w:eastAsia="ja-JP"/>
    </w:rPr>
  </w:style>
  <w:style w:type="paragraph" w:styleId="45">
    <w:name w:val="List Continue 4"/>
    <w:basedOn w:val="a3"/>
    <w:uiPriority w:val="99"/>
    <w:semiHidden/>
    <w:unhideWhenUsed/>
    <w:rsid w:val="00EA5ED5"/>
    <w:pPr>
      <w:spacing w:after="120"/>
      <w:ind w:left="1440"/>
      <w:contextualSpacing/>
    </w:pPr>
    <w:rPr>
      <w:rFonts w:ascii="Linux Libertine O" w:eastAsia="MS Mincho" w:hAnsi="Linux Libertine O" w:cs="Linux Libertine O"/>
      <w:sz w:val="18"/>
      <w:lang w:val="en-US" w:eastAsia="ja-JP"/>
    </w:rPr>
  </w:style>
  <w:style w:type="paragraph" w:styleId="55">
    <w:name w:val="List Continue 5"/>
    <w:basedOn w:val="a3"/>
    <w:uiPriority w:val="99"/>
    <w:semiHidden/>
    <w:unhideWhenUsed/>
    <w:rsid w:val="00EA5ED5"/>
    <w:pPr>
      <w:spacing w:after="120"/>
      <w:ind w:left="1800"/>
      <w:contextualSpacing/>
    </w:pPr>
    <w:rPr>
      <w:rFonts w:ascii="Linux Libertine O" w:eastAsia="MS Mincho" w:hAnsi="Linux Libertine O" w:cs="Linux Libertine O"/>
      <w:sz w:val="18"/>
      <w:lang w:val="en-US" w:eastAsia="ja-JP"/>
    </w:rPr>
  </w:style>
  <w:style w:type="paragraph" w:styleId="a">
    <w:name w:val="List Number"/>
    <w:basedOn w:val="a3"/>
    <w:uiPriority w:val="99"/>
    <w:semiHidden/>
    <w:unhideWhenUsed/>
    <w:rsid w:val="00EA5ED5"/>
    <w:pPr>
      <w:numPr>
        <w:numId w:val="10"/>
      </w:numPr>
      <w:spacing w:after="200"/>
      <w:contextualSpacing/>
    </w:pPr>
    <w:rPr>
      <w:rFonts w:ascii="Linux Libertine O" w:eastAsia="MS Mincho" w:hAnsi="Linux Libertine O" w:cs="Linux Libertine O"/>
      <w:sz w:val="18"/>
      <w:lang w:val="en-US" w:eastAsia="ja-JP"/>
    </w:rPr>
  </w:style>
  <w:style w:type="paragraph" w:styleId="2">
    <w:name w:val="List Number 2"/>
    <w:basedOn w:val="a3"/>
    <w:uiPriority w:val="99"/>
    <w:semiHidden/>
    <w:unhideWhenUsed/>
    <w:rsid w:val="00EA5ED5"/>
    <w:pPr>
      <w:numPr>
        <w:numId w:val="9"/>
      </w:numPr>
      <w:spacing w:after="200"/>
      <w:contextualSpacing/>
    </w:pPr>
    <w:rPr>
      <w:rFonts w:ascii="Linux Libertine O" w:eastAsia="MS Mincho" w:hAnsi="Linux Libertine O" w:cs="Linux Libertine O"/>
      <w:sz w:val="18"/>
      <w:lang w:val="en-US" w:eastAsia="ja-JP"/>
    </w:rPr>
  </w:style>
  <w:style w:type="paragraph" w:styleId="3">
    <w:name w:val="List Number 3"/>
    <w:basedOn w:val="a3"/>
    <w:uiPriority w:val="99"/>
    <w:semiHidden/>
    <w:unhideWhenUsed/>
    <w:rsid w:val="00EA5ED5"/>
    <w:pPr>
      <w:numPr>
        <w:numId w:val="8"/>
      </w:numPr>
      <w:spacing w:after="200"/>
      <w:contextualSpacing/>
    </w:pPr>
    <w:rPr>
      <w:rFonts w:ascii="Linux Libertine O" w:eastAsia="MS Mincho" w:hAnsi="Linux Libertine O" w:cs="Linux Libertine O"/>
      <w:sz w:val="18"/>
      <w:lang w:val="en-US" w:eastAsia="ja-JP"/>
    </w:rPr>
  </w:style>
  <w:style w:type="paragraph" w:styleId="4">
    <w:name w:val="List Number 4"/>
    <w:basedOn w:val="a3"/>
    <w:uiPriority w:val="99"/>
    <w:semiHidden/>
    <w:unhideWhenUsed/>
    <w:rsid w:val="00EA5ED5"/>
    <w:pPr>
      <w:numPr>
        <w:numId w:val="7"/>
      </w:numPr>
      <w:spacing w:after="200"/>
      <w:contextualSpacing/>
    </w:pPr>
    <w:rPr>
      <w:rFonts w:ascii="Linux Libertine O" w:eastAsia="MS Mincho" w:hAnsi="Linux Libertine O" w:cs="Linux Libertine O"/>
      <w:sz w:val="18"/>
      <w:lang w:val="en-US" w:eastAsia="ja-JP"/>
    </w:rPr>
  </w:style>
  <w:style w:type="paragraph" w:styleId="5">
    <w:name w:val="List Number 5"/>
    <w:basedOn w:val="a3"/>
    <w:uiPriority w:val="99"/>
    <w:semiHidden/>
    <w:unhideWhenUsed/>
    <w:rsid w:val="00EA5ED5"/>
    <w:pPr>
      <w:numPr>
        <w:numId w:val="6"/>
      </w:numPr>
      <w:spacing w:after="200"/>
      <w:contextualSpacing/>
    </w:pPr>
    <w:rPr>
      <w:rFonts w:ascii="Linux Libertine O" w:eastAsia="MS Mincho" w:hAnsi="Linux Libertine O" w:cs="Linux Libertine O"/>
      <w:sz w:val="18"/>
      <w:lang w:val="en-US" w:eastAsia="ja-JP"/>
    </w:rPr>
  </w:style>
  <w:style w:type="table" w:customStyle="1" w:styleId="110">
    <w:name w:val="清单表 1 浅色1"/>
    <w:basedOn w:val="a5"/>
    <w:uiPriority w:val="46"/>
    <w:rsid w:val="00EA5ED5"/>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1-110">
    <w:name w:val="清单表 1 浅色 - 着色 11"/>
    <w:basedOn w:val="a5"/>
    <w:uiPriority w:val="46"/>
    <w:rsid w:val="00EA5ED5"/>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1-210">
    <w:name w:val="清单表 1 浅色 - 着色 21"/>
    <w:basedOn w:val="a5"/>
    <w:uiPriority w:val="46"/>
    <w:rsid w:val="00EA5ED5"/>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1-310">
    <w:name w:val="清单表 1 浅色 - 着色 31"/>
    <w:basedOn w:val="a5"/>
    <w:uiPriority w:val="46"/>
    <w:rsid w:val="00EA5ED5"/>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1-410">
    <w:name w:val="清单表 1 浅色 - 着色 41"/>
    <w:basedOn w:val="a5"/>
    <w:uiPriority w:val="46"/>
    <w:rsid w:val="00EA5ED5"/>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1-510">
    <w:name w:val="清单表 1 浅色 - 着色 51"/>
    <w:basedOn w:val="a5"/>
    <w:uiPriority w:val="46"/>
    <w:rsid w:val="00EA5ED5"/>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1-610">
    <w:name w:val="清单表 1 浅色 - 着色 61"/>
    <w:basedOn w:val="a5"/>
    <w:uiPriority w:val="46"/>
    <w:rsid w:val="00EA5ED5"/>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211">
    <w:name w:val="清单表 21"/>
    <w:basedOn w:val="a5"/>
    <w:uiPriority w:val="47"/>
    <w:rsid w:val="00EA5ED5"/>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0">
    <w:name w:val="清单表 2 - 着色 11"/>
    <w:basedOn w:val="a5"/>
    <w:uiPriority w:val="47"/>
    <w:rsid w:val="00EA5ED5"/>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0">
    <w:name w:val="清单表 2 - 着色 21"/>
    <w:basedOn w:val="a5"/>
    <w:uiPriority w:val="47"/>
    <w:rsid w:val="00EA5ED5"/>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0">
    <w:name w:val="清单表 2 - 着色 31"/>
    <w:basedOn w:val="a5"/>
    <w:uiPriority w:val="47"/>
    <w:rsid w:val="00EA5ED5"/>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0">
    <w:name w:val="清单表 2 - 着色 41"/>
    <w:basedOn w:val="a5"/>
    <w:uiPriority w:val="47"/>
    <w:rsid w:val="00EA5ED5"/>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0">
    <w:name w:val="清单表 2 - 着色 51"/>
    <w:basedOn w:val="a5"/>
    <w:uiPriority w:val="47"/>
    <w:rsid w:val="00EA5ED5"/>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0">
    <w:name w:val="清单表 2 - 着色 61"/>
    <w:basedOn w:val="a5"/>
    <w:uiPriority w:val="47"/>
    <w:rsid w:val="00EA5ED5"/>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1">
    <w:name w:val="清单表 31"/>
    <w:basedOn w:val="a5"/>
    <w:uiPriority w:val="48"/>
    <w:rsid w:val="00EA5ED5"/>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3-110">
    <w:name w:val="清单表 3 - 着色 11"/>
    <w:basedOn w:val="a5"/>
    <w:uiPriority w:val="48"/>
    <w:rsid w:val="00EA5ED5"/>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3-210">
    <w:name w:val="清单表 3 - 着色 21"/>
    <w:basedOn w:val="a5"/>
    <w:uiPriority w:val="48"/>
    <w:rsid w:val="00EA5ED5"/>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3-310">
    <w:name w:val="清单表 3 - 着色 31"/>
    <w:basedOn w:val="a5"/>
    <w:uiPriority w:val="48"/>
    <w:rsid w:val="00EA5ED5"/>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3-410">
    <w:name w:val="清单表 3 - 着色 41"/>
    <w:basedOn w:val="a5"/>
    <w:uiPriority w:val="48"/>
    <w:rsid w:val="00EA5ED5"/>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3-510">
    <w:name w:val="清单表 3 - 着色 51"/>
    <w:basedOn w:val="a5"/>
    <w:uiPriority w:val="48"/>
    <w:rsid w:val="00EA5ED5"/>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3-610">
    <w:name w:val="清单表 3 - 着色 61"/>
    <w:basedOn w:val="a5"/>
    <w:uiPriority w:val="48"/>
    <w:rsid w:val="00EA5ED5"/>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411">
    <w:name w:val="清单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0">
    <w:name w:val="清单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0">
    <w:name w:val="清单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0">
    <w:name w:val="清单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0">
    <w:name w:val="清单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0">
    <w:name w:val="清单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0">
    <w:name w:val="清单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1">
    <w:name w:val="清单表 5 深色1"/>
    <w:basedOn w:val="a5"/>
    <w:uiPriority w:val="50"/>
    <w:rsid w:val="00EA5ED5"/>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110">
    <w:name w:val="清单表 5 深色 - 着色 11"/>
    <w:basedOn w:val="a5"/>
    <w:uiPriority w:val="50"/>
    <w:rsid w:val="00EA5ED5"/>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210">
    <w:name w:val="清单表 5 深色 - 着色 21"/>
    <w:basedOn w:val="a5"/>
    <w:uiPriority w:val="50"/>
    <w:rsid w:val="00EA5ED5"/>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310">
    <w:name w:val="清单表 5 深色 - 着色 31"/>
    <w:basedOn w:val="a5"/>
    <w:uiPriority w:val="50"/>
    <w:rsid w:val="00EA5ED5"/>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410">
    <w:name w:val="清单表 5 深色 - 着色 41"/>
    <w:basedOn w:val="a5"/>
    <w:uiPriority w:val="50"/>
    <w:rsid w:val="00EA5ED5"/>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510">
    <w:name w:val="清单表 5 深色 - 着色 51"/>
    <w:basedOn w:val="a5"/>
    <w:uiPriority w:val="50"/>
    <w:rsid w:val="00EA5ED5"/>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610">
    <w:name w:val="清单表 5 深色 - 着色 61"/>
    <w:basedOn w:val="a5"/>
    <w:uiPriority w:val="50"/>
    <w:rsid w:val="00EA5ED5"/>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610">
    <w:name w:val="清单表 6 彩色1"/>
    <w:basedOn w:val="a5"/>
    <w:uiPriority w:val="51"/>
    <w:rsid w:val="00EA5ED5"/>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0">
    <w:name w:val="清单表 6 彩色 - 着色 11"/>
    <w:basedOn w:val="a5"/>
    <w:uiPriority w:val="51"/>
    <w:rsid w:val="00EA5ED5"/>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0">
    <w:name w:val="清单表 6 彩色 - 着色 21"/>
    <w:basedOn w:val="a5"/>
    <w:uiPriority w:val="51"/>
    <w:rsid w:val="00EA5ED5"/>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0">
    <w:name w:val="清单表 6 彩色 - 着色 31"/>
    <w:basedOn w:val="a5"/>
    <w:uiPriority w:val="51"/>
    <w:rsid w:val="00EA5ED5"/>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0">
    <w:name w:val="清单表 6 彩色 - 着色 41"/>
    <w:basedOn w:val="a5"/>
    <w:uiPriority w:val="51"/>
    <w:rsid w:val="00EA5ED5"/>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0">
    <w:name w:val="清单表 6 彩色 - 着色 51"/>
    <w:basedOn w:val="a5"/>
    <w:uiPriority w:val="51"/>
    <w:rsid w:val="00EA5ED5"/>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0">
    <w:name w:val="清单表 6 彩色 - 着色 61"/>
    <w:basedOn w:val="a5"/>
    <w:uiPriority w:val="51"/>
    <w:rsid w:val="00EA5ED5"/>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0">
    <w:name w:val="清单表 7 彩色1"/>
    <w:basedOn w:val="a5"/>
    <w:uiPriority w:val="52"/>
    <w:rsid w:val="00EA5ED5"/>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0">
    <w:name w:val="清单表 7 彩色 - 着色 11"/>
    <w:basedOn w:val="a5"/>
    <w:uiPriority w:val="52"/>
    <w:rsid w:val="00EA5ED5"/>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210">
    <w:name w:val="清单表 7 彩色 - 着色 21"/>
    <w:basedOn w:val="a5"/>
    <w:uiPriority w:val="52"/>
    <w:rsid w:val="00EA5ED5"/>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310">
    <w:name w:val="清单表 7 彩色 - 着色 31"/>
    <w:basedOn w:val="a5"/>
    <w:uiPriority w:val="52"/>
    <w:rsid w:val="00EA5ED5"/>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0">
    <w:name w:val="清单表 7 彩色 - 着色 41"/>
    <w:basedOn w:val="a5"/>
    <w:uiPriority w:val="52"/>
    <w:rsid w:val="00EA5ED5"/>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0">
    <w:name w:val="清单表 7 彩色 - 着色 51"/>
    <w:basedOn w:val="a5"/>
    <w:uiPriority w:val="52"/>
    <w:rsid w:val="00EA5ED5"/>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610">
    <w:name w:val="清单表 7 彩色 - 着色 61"/>
    <w:basedOn w:val="a5"/>
    <w:uiPriority w:val="52"/>
    <w:rsid w:val="00EA5ED5"/>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1">
    <w:name w:val="macro"/>
    <w:link w:val="affff2"/>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ascii="Linux Biolinum O" w:hAnsi="Linux Biolinum O" w:cs="Linux Biolinum O"/>
      <w:lang w:eastAsia="ja-JP"/>
    </w:rPr>
  </w:style>
  <w:style w:type="character" w:customStyle="1" w:styleId="affff2">
    <w:name w:val="宏文本 字符"/>
    <w:basedOn w:val="a4"/>
    <w:link w:val="affff1"/>
    <w:uiPriority w:val="99"/>
    <w:semiHidden/>
    <w:rsid w:val="00EA5ED5"/>
    <w:rPr>
      <w:rFonts w:ascii="Linux Biolinum O" w:hAnsi="Linux Biolinum O" w:cs="Linux Biolinum O"/>
      <w:lang w:eastAsia="ja-JP"/>
    </w:rPr>
  </w:style>
  <w:style w:type="table" w:styleId="14">
    <w:name w:val="Medium Grid 1"/>
    <w:basedOn w:val="a5"/>
    <w:uiPriority w:val="67"/>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5"/>
    <w:uiPriority w:val="68"/>
    <w:semiHidden/>
    <w:unhideWhenUsed/>
    <w:rsid w:val="00EA5ED5"/>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5">
    <w:name w:val="Medium List 1"/>
    <w:basedOn w:val="a5"/>
    <w:uiPriority w:val="65"/>
    <w:semiHidden/>
    <w:unhideWhenUsed/>
    <w:rsid w:val="00EA5ED5"/>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d">
    <w:name w:val="Medium List 2"/>
    <w:basedOn w:val="a5"/>
    <w:uiPriority w:val="66"/>
    <w:semiHidden/>
    <w:unhideWhenUsed/>
    <w:rsid w:val="00EA5ED5"/>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
    <w:name w:val="Medium Shading 1"/>
    <w:basedOn w:val="a5"/>
    <w:uiPriority w:val="63"/>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2">
    <w:name w:val="Medium Shading 1 Accent 1"/>
    <w:basedOn w:val="a5"/>
    <w:uiPriority w:val="63"/>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5"/>
    <w:uiPriority w:val="63"/>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2">
    <w:name w:val="Medium Shading 1 Accent 3"/>
    <w:basedOn w:val="a5"/>
    <w:uiPriority w:val="63"/>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2">
    <w:name w:val="Medium Shading 1 Accent 4"/>
    <w:basedOn w:val="a5"/>
    <w:uiPriority w:val="63"/>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2">
    <w:name w:val="Medium Shading 1 Accent 5"/>
    <w:basedOn w:val="a5"/>
    <w:uiPriority w:val="63"/>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2">
    <w:name w:val="Medium Shading 1 Accent 6"/>
    <w:basedOn w:val="a5"/>
    <w:uiPriority w:val="63"/>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e">
    <w:name w:val="Medium Shading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2">
    <w:name w:val="Medium Shading 2 Accent 1"/>
    <w:basedOn w:val="a5"/>
    <w:uiPriority w:val="64"/>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2">
    <w:name w:val="Medium Shading 2 Accent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2">
    <w:name w:val="Medium Shading 2 Accent 3"/>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2">
    <w:name w:val="Medium Shading 2 Accent 4"/>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2">
    <w:name w:val="Medium Shading 2 Accent 5"/>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2">
    <w:name w:val="Medium Shading 2 Accent 6"/>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17">
    <w:name w:val="@他1"/>
    <w:basedOn w:val="a4"/>
    <w:uiPriority w:val="99"/>
    <w:semiHidden/>
    <w:unhideWhenUsed/>
    <w:rsid w:val="00EA5ED5"/>
    <w:rPr>
      <w:rFonts w:ascii="Linux Biolinum O" w:hAnsi="Linux Biolinum O" w:cs="Linux Biolinum O"/>
      <w:color w:val="2B579A"/>
      <w:shd w:val="clear" w:color="auto" w:fill="E1DFDD"/>
    </w:rPr>
  </w:style>
  <w:style w:type="paragraph" w:styleId="affff3">
    <w:name w:val="Message Header"/>
    <w:basedOn w:val="a3"/>
    <w:link w:val="affff4"/>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ascii="Linux Libertine O" w:eastAsiaTheme="majorEastAsia" w:hAnsi="Linux Libertine O" w:cs="Linux Libertine O"/>
      <w:lang w:val="en-US" w:eastAsia="ja-JP"/>
    </w:rPr>
  </w:style>
  <w:style w:type="character" w:customStyle="1" w:styleId="affff4">
    <w:name w:val="信息标题 字符"/>
    <w:basedOn w:val="a4"/>
    <w:link w:val="affff3"/>
    <w:uiPriority w:val="99"/>
    <w:semiHidden/>
    <w:rsid w:val="00EA5ED5"/>
    <w:rPr>
      <w:rFonts w:ascii="Linux Libertine O" w:eastAsiaTheme="majorEastAsia" w:hAnsi="Linux Libertine O" w:cs="Linux Libertine O"/>
      <w:sz w:val="24"/>
      <w:szCs w:val="24"/>
      <w:shd w:val="pct20" w:color="auto" w:fill="auto"/>
      <w:lang w:eastAsia="ja-JP"/>
    </w:rPr>
  </w:style>
  <w:style w:type="paragraph" w:styleId="affff5">
    <w:name w:val="No Spacing"/>
    <w:uiPriority w:val="1"/>
    <w:qFormat/>
    <w:rsid w:val="00EA5ED5"/>
    <w:rPr>
      <w:rFonts w:ascii="Linux Biolinum O" w:hAnsi="Linux Biolinum O" w:cs="Linux Biolinum O"/>
      <w:sz w:val="18"/>
      <w:szCs w:val="24"/>
      <w:lang w:eastAsia="ja-JP"/>
    </w:rPr>
  </w:style>
  <w:style w:type="paragraph" w:styleId="affff6">
    <w:name w:val="Normal (Web)"/>
    <w:basedOn w:val="a3"/>
    <w:uiPriority w:val="99"/>
    <w:semiHidden/>
    <w:unhideWhenUsed/>
    <w:rsid w:val="00EA5ED5"/>
    <w:pPr>
      <w:spacing w:after="200"/>
    </w:pPr>
    <w:rPr>
      <w:rFonts w:ascii="Linux Libertine O" w:eastAsia="MS Mincho" w:hAnsi="Linux Libertine O" w:cs="Linux Libertine O"/>
      <w:lang w:val="en-US" w:eastAsia="ja-JP"/>
    </w:rPr>
  </w:style>
  <w:style w:type="paragraph" w:styleId="affff7">
    <w:name w:val="Normal Indent"/>
    <w:basedOn w:val="a3"/>
    <w:uiPriority w:val="99"/>
    <w:semiHidden/>
    <w:unhideWhenUsed/>
    <w:rsid w:val="00EA5ED5"/>
    <w:pPr>
      <w:spacing w:after="200"/>
      <w:ind w:left="720"/>
    </w:pPr>
    <w:rPr>
      <w:rFonts w:ascii="Linux Libertine O" w:eastAsia="MS Mincho" w:hAnsi="Linux Libertine O" w:cs="Linux Libertine O"/>
      <w:sz w:val="18"/>
      <w:lang w:val="en-US" w:eastAsia="ja-JP"/>
    </w:rPr>
  </w:style>
  <w:style w:type="paragraph" w:styleId="affff8">
    <w:name w:val="Note Heading"/>
    <w:basedOn w:val="a3"/>
    <w:next w:val="a3"/>
    <w:link w:val="affff9"/>
    <w:uiPriority w:val="99"/>
    <w:semiHidden/>
    <w:unhideWhenUsed/>
    <w:rsid w:val="00EA5ED5"/>
    <w:rPr>
      <w:rFonts w:ascii="Linux Libertine O" w:eastAsia="MS Mincho" w:hAnsi="Linux Libertine O" w:cs="Linux Libertine O"/>
      <w:sz w:val="18"/>
      <w:lang w:val="en-US" w:eastAsia="ja-JP"/>
    </w:rPr>
  </w:style>
  <w:style w:type="character" w:customStyle="1" w:styleId="affff9">
    <w:name w:val="注释标题 字符"/>
    <w:basedOn w:val="a4"/>
    <w:link w:val="affff8"/>
    <w:uiPriority w:val="99"/>
    <w:semiHidden/>
    <w:rsid w:val="00EA5ED5"/>
    <w:rPr>
      <w:rFonts w:ascii="Linux Libertine O" w:hAnsi="Linux Libertine O" w:cs="Linux Libertine O"/>
      <w:sz w:val="18"/>
      <w:szCs w:val="24"/>
      <w:lang w:eastAsia="ja-JP"/>
    </w:rPr>
  </w:style>
  <w:style w:type="character" w:styleId="affffa">
    <w:name w:val="Placeholder Text"/>
    <w:basedOn w:val="a4"/>
    <w:uiPriority w:val="99"/>
    <w:semiHidden/>
    <w:rsid w:val="00EA5ED5"/>
    <w:rPr>
      <w:rFonts w:ascii="Linux Biolinum O" w:hAnsi="Linux Biolinum O" w:cs="Linux Biolinum O"/>
      <w:color w:val="808080"/>
    </w:rPr>
  </w:style>
  <w:style w:type="table" w:customStyle="1" w:styleId="111">
    <w:name w:val="无格式表格 11"/>
    <w:basedOn w:val="a5"/>
    <w:uiPriority w:val="99"/>
    <w:rsid w:val="00EA5ED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2">
    <w:name w:val="无格式表格 21"/>
    <w:basedOn w:val="a5"/>
    <w:uiPriority w:val="99"/>
    <w:rsid w:val="00EA5ED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312">
    <w:name w:val="无格式表格 31"/>
    <w:basedOn w:val="a5"/>
    <w:uiPriority w:val="99"/>
    <w:rsid w:val="00EA5ED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412">
    <w:name w:val="无格式表格 41"/>
    <w:basedOn w:val="a5"/>
    <w:uiPriority w:val="99"/>
    <w:rsid w:val="00EA5ED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512">
    <w:name w:val="无格式表格 51"/>
    <w:basedOn w:val="a5"/>
    <w:uiPriority w:val="99"/>
    <w:rsid w:val="00EA5ED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b">
    <w:name w:val="Plain Text"/>
    <w:basedOn w:val="a3"/>
    <w:link w:val="affffc"/>
    <w:uiPriority w:val="99"/>
    <w:semiHidden/>
    <w:unhideWhenUsed/>
    <w:rsid w:val="00EA5ED5"/>
    <w:rPr>
      <w:rFonts w:ascii="Linux Biolinum O" w:eastAsia="MS Mincho" w:hAnsi="Linux Biolinum O" w:cs="Linux Biolinum O"/>
      <w:sz w:val="21"/>
      <w:szCs w:val="21"/>
      <w:lang w:val="en-US" w:eastAsia="ja-JP"/>
    </w:rPr>
  </w:style>
  <w:style w:type="character" w:customStyle="1" w:styleId="affffc">
    <w:name w:val="纯文本 字符"/>
    <w:basedOn w:val="a4"/>
    <w:link w:val="affffb"/>
    <w:uiPriority w:val="99"/>
    <w:semiHidden/>
    <w:rsid w:val="00EA5ED5"/>
    <w:rPr>
      <w:rFonts w:ascii="Linux Biolinum O" w:hAnsi="Linux Biolinum O" w:cs="Linux Biolinum O"/>
      <w:sz w:val="21"/>
      <w:szCs w:val="21"/>
      <w:lang w:eastAsia="ja-JP"/>
    </w:rPr>
  </w:style>
  <w:style w:type="paragraph" w:styleId="affffd">
    <w:name w:val="Quote"/>
    <w:basedOn w:val="a3"/>
    <w:next w:val="a3"/>
    <w:link w:val="affffe"/>
    <w:uiPriority w:val="29"/>
    <w:qFormat/>
    <w:rsid w:val="00EA5ED5"/>
    <w:pPr>
      <w:spacing w:before="200" w:after="160"/>
      <w:ind w:left="864" w:right="864"/>
      <w:jc w:val="center"/>
    </w:pPr>
    <w:rPr>
      <w:rFonts w:ascii="Linux Libertine O" w:eastAsia="MS Mincho" w:hAnsi="Linux Libertine O" w:cs="Linux Libertine O"/>
      <w:i/>
      <w:iCs/>
      <w:color w:val="404040" w:themeColor="text1" w:themeTint="BF"/>
      <w:sz w:val="18"/>
      <w:lang w:val="en-US" w:eastAsia="ja-JP"/>
    </w:rPr>
  </w:style>
  <w:style w:type="character" w:customStyle="1" w:styleId="affffe">
    <w:name w:val="引用 字符"/>
    <w:basedOn w:val="a4"/>
    <w:link w:val="affffd"/>
    <w:uiPriority w:val="29"/>
    <w:rsid w:val="00EA5ED5"/>
    <w:rPr>
      <w:rFonts w:ascii="Linux Libertine O" w:hAnsi="Linux Libertine O" w:cs="Linux Libertine O"/>
      <w:i/>
      <w:iCs/>
      <w:color w:val="404040" w:themeColor="text1" w:themeTint="BF"/>
      <w:sz w:val="18"/>
      <w:szCs w:val="24"/>
      <w:lang w:eastAsia="ja-JP"/>
    </w:rPr>
  </w:style>
  <w:style w:type="paragraph" w:styleId="afffff">
    <w:name w:val="Salutation"/>
    <w:basedOn w:val="a3"/>
    <w:next w:val="a3"/>
    <w:link w:val="afffff0"/>
    <w:uiPriority w:val="99"/>
    <w:semiHidden/>
    <w:unhideWhenUsed/>
    <w:rsid w:val="00EA5ED5"/>
    <w:pPr>
      <w:spacing w:after="200"/>
    </w:pPr>
    <w:rPr>
      <w:rFonts w:ascii="Linux Libertine O" w:eastAsia="MS Mincho" w:hAnsi="Linux Libertine O" w:cs="Linux Libertine O"/>
      <w:sz w:val="18"/>
      <w:lang w:val="en-US" w:eastAsia="ja-JP"/>
    </w:rPr>
  </w:style>
  <w:style w:type="character" w:customStyle="1" w:styleId="afffff0">
    <w:name w:val="称呼 字符"/>
    <w:basedOn w:val="a4"/>
    <w:link w:val="afffff"/>
    <w:uiPriority w:val="99"/>
    <w:semiHidden/>
    <w:rsid w:val="00EA5ED5"/>
    <w:rPr>
      <w:rFonts w:ascii="Linux Libertine O" w:hAnsi="Linux Libertine O" w:cs="Linux Libertine O"/>
      <w:sz w:val="18"/>
      <w:szCs w:val="24"/>
      <w:lang w:eastAsia="ja-JP"/>
    </w:rPr>
  </w:style>
  <w:style w:type="paragraph" w:styleId="afffff1">
    <w:name w:val="Signature"/>
    <w:basedOn w:val="a3"/>
    <w:link w:val="afffff2"/>
    <w:uiPriority w:val="99"/>
    <w:semiHidden/>
    <w:unhideWhenUsed/>
    <w:rsid w:val="00EA5ED5"/>
    <w:pPr>
      <w:ind w:left="4320"/>
    </w:pPr>
    <w:rPr>
      <w:rFonts w:ascii="Linux Libertine O" w:eastAsia="MS Mincho" w:hAnsi="Linux Libertine O" w:cs="Linux Libertine O"/>
      <w:sz w:val="18"/>
      <w:lang w:val="en-US" w:eastAsia="ja-JP"/>
    </w:rPr>
  </w:style>
  <w:style w:type="character" w:customStyle="1" w:styleId="afffff2">
    <w:name w:val="签名 字符"/>
    <w:basedOn w:val="a4"/>
    <w:link w:val="afffff1"/>
    <w:uiPriority w:val="99"/>
    <w:semiHidden/>
    <w:rsid w:val="00EA5ED5"/>
    <w:rPr>
      <w:rFonts w:ascii="Linux Libertine O" w:hAnsi="Linux Libertine O" w:cs="Linux Libertine O"/>
      <w:sz w:val="18"/>
      <w:szCs w:val="24"/>
      <w:lang w:eastAsia="ja-JP"/>
    </w:rPr>
  </w:style>
  <w:style w:type="character" w:customStyle="1" w:styleId="18">
    <w:name w:val="智能超链接1"/>
    <w:basedOn w:val="a4"/>
    <w:uiPriority w:val="99"/>
    <w:semiHidden/>
    <w:unhideWhenUsed/>
    <w:rsid w:val="00EA5ED5"/>
    <w:rPr>
      <w:rFonts w:ascii="Linux Biolinum O" w:hAnsi="Linux Biolinum O" w:cs="Linux Biolinum O"/>
      <w:u w:val="dotted"/>
    </w:rPr>
  </w:style>
  <w:style w:type="character" w:styleId="afffff3">
    <w:name w:val="Strong"/>
    <w:basedOn w:val="a4"/>
    <w:uiPriority w:val="22"/>
    <w:qFormat/>
    <w:rsid w:val="00EA5ED5"/>
    <w:rPr>
      <w:rFonts w:ascii="Linux Biolinum O" w:hAnsi="Linux Biolinum O" w:cs="Linux Biolinum O"/>
      <w:b/>
      <w:bCs/>
    </w:rPr>
  </w:style>
  <w:style w:type="character" w:styleId="afffff4">
    <w:name w:val="Subtle Emphasis"/>
    <w:basedOn w:val="a4"/>
    <w:uiPriority w:val="19"/>
    <w:qFormat/>
    <w:rsid w:val="00EA5ED5"/>
    <w:rPr>
      <w:rFonts w:ascii="Linux Biolinum O" w:hAnsi="Linux Biolinum O" w:cs="Linux Biolinum O"/>
      <w:i/>
      <w:iCs/>
      <w:color w:val="404040" w:themeColor="text1" w:themeTint="BF"/>
    </w:rPr>
  </w:style>
  <w:style w:type="character" w:styleId="afffff5">
    <w:name w:val="Subtle Reference"/>
    <w:basedOn w:val="a4"/>
    <w:uiPriority w:val="31"/>
    <w:qFormat/>
    <w:rsid w:val="00EA5ED5"/>
    <w:rPr>
      <w:rFonts w:ascii="Linux Biolinum O" w:hAnsi="Linux Biolinum O" w:cs="Linux Biolinum O"/>
      <w:smallCaps/>
      <w:color w:val="5A5A5A" w:themeColor="text1" w:themeTint="A5"/>
    </w:rPr>
  </w:style>
  <w:style w:type="table" w:styleId="19">
    <w:name w:val="Table 3D effects 1"/>
    <w:basedOn w:val="a5"/>
    <w:uiPriority w:val="99"/>
    <w:semiHidden/>
    <w:unhideWhenUsed/>
    <w:rsid w:val="00EA5ED5"/>
    <w:pPr>
      <w:spacing w:after="20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f">
    <w:name w:val="Table 3D effects 2"/>
    <w:basedOn w:val="a5"/>
    <w:uiPriority w:val="99"/>
    <w:semiHidden/>
    <w:unhideWhenUsed/>
    <w:rsid w:val="00EA5ED5"/>
    <w:pPr>
      <w:spacing w:after="20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3D effects 3"/>
    <w:basedOn w:val="a5"/>
    <w:uiPriority w:val="99"/>
    <w:semiHidden/>
    <w:unhideWhenUsed/>
    <w:rsid w:val="00EA5ED5"/>
    <w:pPr>
      <w:spacing w:after="20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a">
    <w:name w:val="Table Classic 1"/>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c">
    <w:name w:val="Table Classic 3"/>
    <w:basedOn w:val="a5"/>
    <w:uiPriority w:val="99"/>
    <w:semiHidden/>
    <w:unhideWhenUsed/>
    <w:rsid w:val="00EA5ED5"/>
    <w:pPr>
      <w:spacing w:after="20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6">
    <w:name w:val="Table Classic 4"/>
    <w:basedOn w:val="a5"/>
    <w:uiPriority w:val="99"/>
    <w:semiHidden/>
    <w:unhideWhenUsed/>
    <w:rsid w:val="00EA5ED5"/>
    <w:pPr>
      <w:spacing w:after="20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b">
    <w:name w:val="Table Colorful 1"/>
    <w:basedOn w:val="a5"/>
    <w:uiPriority w:val="99"/>
    <w:semiHidden/>
    <w:unhideWhenUsed/>
    <w:rsid w:val="00EA5ED5"/>
    <w:pPr>
      <w:spacing w:after="20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1">
    <w:name w:val="Table Colorful 2"/>
    <w:basedOn w:val="a5"/>
    <w:uiPriority w:val="99"/>
    <w:semiHidden/>
    <w:unhideWhenUsed/>
    <w:rsid w:val="00EA5ED5"/>
    <w:pPr>
      <w:spacing w:after="20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d">
    <w:name w:val="Table Colorful 3"/>
    <w:basedOn w:val="a5"/>
    <w:uiPriority w:val="99"/>
    <w:semiHidden/>
    <w:unhideWhenUsed/>
    <w:rsid w:val="00EA5ED5"/>
    <w:pPr>
      <w:spacing w:after="20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c">
    <w:name w:val="Table Columns 1"/>
    <w:basedOn w:val="a5"/>
    <w:uiPriority w:val="99"/>
    <w:semiHidden/>
    <w:unhideWhenUsed/>
    <w:rsid w:val="00EA5ED5"/>
    <w:pPr>
      <w:spacing w:after="20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Columns 2"/>
    <w:basedOn w:val="a5"/>
    <w:uiPriority w:val="99"/>
    <w:semiHidden/>
    <w:unhideWhenUsed/>
    <w:rsid w:val="00EA5ED5"/>
    <w:pPr>
      <w:spacing w:after="20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e">
    <w:name w:val="Table Columns 3"/>
    <w:basedOn w:val="a5"/>
    <w:uiPriority w:val="99"/>
    <w:semiHidden/>
    <w:unhideWhenUsed/>
    <w:rsid w:val="00EA5ED5"/>
    <w:pPr>
      <w:spacing w:after="20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7">
    <w:name w:val="Table Columns 4"/>
    <w:basedOn w:val="a5"/>
    <w:uiPriority w:val="99"/>
    <w:semiHidden/>
    <w:unhideWhenUsed/>
    <w:rsid w:val="00EA5ED5"/>
    <w:pPr>
      <w:spacing w:after="20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5"/>
    <w:uiPriority w:val="99"/>
    <w:semiHidden/>
    <w:unhideWhenUsed/>
    <w:rsid w:val="00EA5ED5"/>
    <w:pPr>
      <w:spacing w:after="20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f6">
    <w:name w:val="Table Contemporary"/>
    <w:basedOn w:val="a5"/>
    <w:uiPriority w:val="99"/>
    <w:semiHidden/>
    <w:unhideWhenUsed/>
    <w:rsid w:val="00EA5ED5"/>
    <w:pPr>
      <w:spacing w:after="20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f7">
    <w:name w:val="Table Elegant"/>
    <w:basedOn w:val="a5"/>
    <w:uiPriority w:val="99"/>
    <w:semiHidden/>
    <w:unhideWhenUsed/>
    <w:rsid w:val="00EA5ED5"/>
    <w:pPr>
      <w:spacing w:after="20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8">
    <w:name w:val="Table Grid"/>
    <w:basedOn w:val="a5"/>
    <w:rsid w:val="00EA5E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d">
    <w:name w:val="Table Grid 1"/>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3">
    <w:name w:val="Table Grid 2"/>
    <w:basedOn w:val="a5"/>
    <w:uiPriority w:val="99"/>
    <w:semiHidden/>
    <w:unhideWhenUsed/>
    <w:rsid w:val="00EA5ED5"/>
    <w:pPr>
      <w:spacing w:after="20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
    <w:name w:val="Table Grid 3"/>
    <w:basedOn w:val="a5"/>
    <w:uiPriority w:val="99"/>
    <w:semiHidden/>
    <w:unhideWhenUsed/>
    <w:rsid w:val="00EA5ED5"/>
    <w:pPr>
      <w:spacing w:after="20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8">
    <w:name w:val="Table Grid 4"/>
    <w:basedOn w:val="a5"/>
    <w:uiPriority w:val="99"/>
    <w:semiHidden/>
    <w:unhideWhenUsed/>
    <w:rsid w:val="00EA5ED5"/>
    <w:pPr>
      <w:spacing w:after="20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7">
    <w:name w:val="Table Grid 5"/>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3">
    <w:name w:val="Table Grid 6"/>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3">
    <w:name w:val="Table Grid 7"/>
    <w:basedOn w:val="a5"/>
    <w:uiPriority w:val="99"/>
    <w:semiHidden/>
    <w:unhideWhenUsed/>
    <w:rsid w:val="00EA5ED5"/>
    <w:pPr>
      <w:spacing w:after="20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EA5ED5"/>
    <w:pPr>
      <w:spacing w:after="20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1e">
    <w:name w:val="网格型浅色1"/>
    <w:basedOn w:val="a5"/>
    <w:uiPriority w:val="99"/>
    <w:rsid w:val="00EA5ED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f">
    <w:name w:val="Table List 1"/>
    <w:basedOn w:val="a5"/>
    <w:uiPriority w:val="99"/>
    <w:semiHidden/>
    <w:unhideWhenUsed/>
    <w:rsid w:val="00EA5ED5"/>
    <w:pPr>
      <w:spacing w:after="20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4">
    <w:name w:val="Table List 2"/>
    <w:basedOn w:val="a5"/>
    <w:uiPriority w:val="99"/>
    <w:semiHidden/>
    <w:unhideWhenUsed/>
    <w:rsid w:val="00EA5ED5"/>
    <w:pPr>
      <w:spacing w:after="20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0">
    <w:name w:val="Table List 3"/>
    <w:basedOn w:val="a5"/>
    <w:uiPriority w:val="99"/>
    <w:semiHidden/>
    <w:unhideWhenUsed/>
    <w:rsid w:val="00EA5ED5"/>
    <w:pPr>
      <w:spacing w:after="20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9">
    <w:name w:val="Table List 4"/>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8">
    <w:name w:val="Table List 5"/>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4">
    <w:name w:val="Table List 6"/>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4">
    <w:name w:val="Table List 7"/>
    <w:basedOn w:val="a5"/>
    <w:uiPriority w:val="99"/>
    <w:semiHidden/>
    <w:unhideWhenUsed/>
    <w:rsid w:val="00EA5ED5"/>
    <w:pPr>
      <w:spacing w:after="20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f9">
    <w:name w:val="table of authorities"/>
    <w:basedOn w:val="a3"/>
    <w:next w:val="a3"/>
    <w:uiPriority w:val="99"/>
    <w:semiHidden/>
    <w:unhideWhenUsed/>
    <w:rsid w:val="00EA5ED5"/>
    <w:pPr>
      <w:ind w:left="180" w:hanging="180"/>
    </w:pPr>
    <w:rPr>
      <w:rFonts w:ascii="Linux Libertine O" w:eastAsia="MS Mincho" w:hAnsi="Linux Libertine O" w:cs="Linux Libertine O"/>
      <w:sz w:val="18"/>
      <w:lang w:val="en-US" w:eastAsia="ja-JP"/>
    </w:rPr>
  </w:style>
  <w:style w:type="paragraph" w:styleId="afffffa">
    <w:name w:val="table of figures"/>
    <w:basedOn w:val="a3"/>
    <w:next w:val="a3"/>
    <w:uiPriority w:val="99"/>
    <w:semiHidden/>
    <w:unhideWhenUsed/>
    <w:rsid w:val="00EA5ED5"/>
    <w:rPr>
      <w:rFonts w:ascii="Linux Libertine O" w:eastAsia="MS Mincho" w:hAnsi="Linux Libertine O" w:cs="Linux Libertine O"/>
      <w:sz w:val="18"/>
      <w:lang w:val="en-US" w:eastAsia="ja-JP"/>
    </w:rPr>
  </w:style>
  <w:style w:type="table" w:styleId="afffffb">
    <w:name w:val="Table Professional"/>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f0">
    <w:name w:val="Table Simple 1"/>
    <w:basedOn w:val="a5"/>
    <w:uiPriority w:val="99"/>
    <w:semiHidden/>
    <w:unhideWhenUsed/>
    <w:rsid w:val="00EA5ED5"/>
    <w:pPr>
      <w:spacing w:after="20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5">
    <w:name w:val="Table Simple 2"/>
    <w:basedOn w:val="a5"/>
    <w:uiPriority w:val="99"/>
    <w:semiHidden/>
    <w:unhideWhenUsed/>
    <w:rsid w:val="00EA5ED5"/>
    <w:pPr>
      <w:spacing w:after="20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1">
    <w:name w:val="Table Simple 3"/>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f1">
    <w:name w:val="Table Subtle 1"/>
    <w:basedOn w:val="a5"/>
    <w:uiPriority w:val="99"/>
    <w:semiHidden/>
    <w:unhideWhenUsed/>
    <w:rsid w:val="00EA5ED5"/>
    <w:pPr>
      <w:spacing w:after="20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6">
    <w:name w:val="Table Subtle 2"/>
    <w:basedOn w:val="a5"/>
    <w:uiPriority w:val="99"/>
    <w:rsid w:val="00EA5ED5"/>
    <w:pPr>
      <w:spacing w:after="20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c">
    <w:name w:val="Table Theme"/>
    <w:basedOn w:val="a5"/>
    <w:uiPriority w:val="99"/>
    <w:semiHidden/>
    <w:unhideWhenUsed/>
    <w:rsid w:val="00EA5ED5"/>
    <w:pPr>
      <w:spacing w:after="20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f2">
    <w:name w:val="Table Web 1"/>
    <w:basedOn w:val="a5"/>
    <w:uiPriority w:val="99"/>
    <w:semiHidden/>
    <w:unhideWhenUsed/>
    <w:rsid w:val="00EA5ED5"/>
    <w:pPr>
      <w:spacing w:after="20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7">
    <w:name w:val="Table Web 2"/>
    <w:basedOn w:val="a5"/>
    <w:uiPriority w:val="99"/>
    <w:semiHidden/>
    <w:unhideWhenUsed/>
    <w:rsid w:val="00EA5ED5"/>
    <w:pPr>
      <w:spacing w:after="20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2">
    <w:name w:val="Table Web 3"/>
    <w:basedOn w:val="a5"/>
    <w:uiPriority w:val="99"/>
    <w:rsid w:val="00EA5ED5"/>
    <w:pPr>
      <w:spacing w:after="20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fd">
    <w:name w:val="Title"/>
    <w:basedOn w:val="a3"/>
    <w:next w:val="a3"/>
    <w:link w:val="afffffe"/>
    <w:uiPriority w:val="10"/>
    <w:qFormat/>
    <w:rsid w:val="00EA5ED5"/>
    <w:pPr>
      <w:contextualSpacing/>
    </w:pPr>
    <w:rPr>
      <w:rFonts w:ascii="Linux Libertine O" w:eastAsiaTheme="majorEastAsia" w:hAnsi="Linux Libertine O" w:cs="Linux Libertine O"/>
      <w:spacing w:val="-10"/>
      <w:kern w:val="28"/>
      <w:sz w:val="56"/>
      <w:szCs w:val="56"/>
      <w:lang w:val="en-US" w:eastAsia="ja-JP"/>
    </w:rPr>
  </w:style>
  <w:style w:type="character" w:customStyle="1" w:styleId="afffffe">
    <w:name w:val="标题 字符"/>
    <w:basedOn w:val="a4"/>
    <w:link w:val="afffffd"/>
    <w:uiPriority w:val="10"/>
    <w:rsid w:val="00EA5ED5"/>
    <w:rPr>
      <w:rFonts w:ascii="Linux Libertine O" w:eastAsiaTheme="majorEastAsia" w:hAnsi="Linux Libertine O" w:cs="Linux Libertine O"/>
      <w:spacing w:val="-10"/>
      <w:kern w:val="28"/>
      <w:sz w:val="56"/>
      <w:szCs w:val="56"/>
      <w:lang w:eastAsia="ja-JP"/>
    </w:rPr>
  </w:style>
  <w:style w:type="paragraph" w:styleId="affffff">
    <w:name w:val="toa heading"/>
    <w:basedOn w:val="a3"/>
    <w:next w:val="a3"/>
    <w:uiPriority w:val="99"/>
    <w:semiHidden/>
    <w:unhideWhenUsed/>
    <w:rsid w:val="00EA5ED5"/>
    <w:pPr>
      <w:spacing w:before="120" w:after="200"/>
    </w:pPr>
    <w:rPr>
      <w:rFonts w:ascii="Linux Libertine O" w:eastAsiaTheme="majorEastAsia" w:hAnsi="Linux Libertine O" w:cs="Linux Libertine O"/>
      <w:b/>
      <w:bCs/>
      <w:lang w:val="en-US" w:eastAsia="ja-JP"/>
    </w:rPr>
  </w:style>
  <w:style w:type="paragraph" w:styleId="TOC1">
    <w:name w:val="toc 1"/>
    <w:basedOn w:val="a3"/>
    <w:next w:val="a3"/>
    <w:autoRedefine/>
    <w:uiPriority w:val="39"/>
    <w:semiHidden/>
    <w:unhideWhenUsed/>
    <w:rsid w:val="00EA5ED5"/>
    <w:pPr>
      <w:spacing w:after="100"/>
    </w:pPr>
    <w:rPr>
      <w:rFonts w:ascii="Linux Libertine O" w:eastAsia="MS Mincho" w:hAnsi="Linux Libertine O" w:cs="Linux Libertine O"/>
      <w:sz w:val="18"/>
      <w:lang w:val="en-US" w:eastAsia="ja-JP"/>
    </w:rPr>
  </w:style>
  <w:style w:type="paragraph" w:styleId="TOC2">
    <w:name w:val="toc 2"/>
    <w:basedOn w:val="a3"/>
    <w:next w:val="a3"/>
    <w:autoRedefine/>
    <w:uiPriority w:val="39"/>
    <w:semiHidden/>
    <w:unhideWhenUsed/>
    <w:rsid w:val="00EA5ED5"/>
    <w:pPr>
      <w:spacing w:after="100"/>
      <w:ind w:left="180"/>
    </w:pPr>
    <w:rPr>
      <w:rFonts w:ascii="Linux Libertine O" w:eastAsia="MS Mincho" w:hAnsi="Linux Libertine O" w:cs="Linux Libertine O"/>
      <w:sz w:val="18"/>
      <w:lang w:val="en-US" w:eastAsia="ja-JP"/>
    </w:rPr>
  </w:style>
  <w:style w:type="paragraph" w:styleId="TOC3">
    <w:name w:val="toc 3"/>
    <w:basedOn w:val="a3"/>
    <w:next w:val="a3"/>
    <w:autoRedefine/>
    <w:uiPriority w:val="39"/>
    <w:semiHidden/>
    <w:unhideWhenUsed/>
    <w:rsid w:val="00EA5ED5"/>
    <w:pPr>
      <w:spacing w:after="100"/>
      <w:ind w:left="360"/>
    </w:pPr>
    <w:rPr>
      <w:rFonts w:ascii="Linux Libertine O" w:eastAsia="MS Mincho" w:hAnsi="Linux Libertine O" w:cs="Linux Libertine O"/>
      <w:sz w:val="18"/>
      <w:lang w:val="en-US" w:eastAsia="ja-JP"/>
    </w:rPr>
  </w:style>
  <w:style w:type="paragraph" w:styleId="TOC4">
    <w:name w:val="toc 4"/>
    <w:basedOn w:val="a3"/>
    <w:next w:val="a3"/>
    <w:autoRedefine/>
    <w:uiPriority w:val="39"/>
    <w:semiHidden/>
    <w:unhideWhenUsed/>
    <w:rsid w:val="00EA5ED5"/>
    <w:pPr>
      <w:spacing w:after="100"/>
      <w:ind w:left="540"/>
    </w:pPr>
    <w:rPr>
      <w:rFonts w:ascii="Linux Libertine O" w:eastAsia="MS Mincho" w:hAnsi="Linux Libertine O" w:cs="Linux Libertine O"/>
      <w:sz w:val="18"/>
      <w:lang w:val="en-US" w:eastAsia="ja-JP"/>
    </w:rPr>
  </w:style>
  <w:style w:type="paragraph" w:styleId="TOC5">
    <w:name w:val="toc 5"/>
    <w:basedOn w:val="a3"/>
    <w:next w:val="a3"/>
    <w:autoRedefine/>
    <w:uiPriority w:val="39"/>
    <w:semiHidden/>
    <w:unhideWhenUsed/>
    <w:rsid w:val="00EA5ED5"/>
    <w:pPr>
      <w:spacing w:after="100"/>
      <w:ind w:left="720"/>
    </w:pPr>
    <w:rPr>
      <w:rFonts w:ascii="Linux Libertine O" w:eastAsia="MS Mincho" w:hAnsi="Linux Libertine O" w:cs="Linux Libertine O"/>
      <w:sz w:val="18"/>
      <w:lang w:val="en-US" w:eastAsia="ja-JP"/>
    </w:rPr>
  </w:style>
  <w:style w:type="paragraph" w:styleId="TOC6">
    <w:name w:val="toc 6"/>
    <w:basedOn w:val="a3"/>
    <w:next w:val="a3"/>
    <w:autoRedefine/>
    <w:uiPriority w:val="39"/>
    <w:semiHidden/>
    <w:unhideWhenUsed/>
    <w:rsid w:val="00EA5ED5"/>
    <w:pPr>
      <w:spacing w:after="100"/>
      <w:ind w:left="900"/>
    </w:pPr>
    <w:rPr>
      <w:rFonts w:ascii="Linux Libertine O" w:eastAsia="MS Mincho" w:hAnsi="Linux Libertine O" w:cs="Linux Libertine O"/>
      <w:sz w:val="18"/>
      <w:lang w:val="en-US" w:eastAsia="ja-JP"/>
    </w:rPr>
  </w:style>
  <w:style w:type="paragraph" w:styleId="TOC7">
    <w:name w:val="toc 7"/>
    <w:basedOn w:val="a3"/>
    <w:next w:val="a3"/>
    <w:autoRedefine/>
    <w:uiPriority w:val="39"/>
    <w:semiHidden/>
    <w:unhideWhenUsed/>
    <w:rsid w:val="00EA5ED5"/>
    <w:pPr>
      <w:spacing w:after="100"/>
      <w:ind w:left="1080"/>
    </w:pPr>
    <w:rPr>
      <w:rFonts w:ascii="Linux Libertine O" w:eastAsia="MS Mincho" w:hAnsi="Linux Libertine O" w:cs="Linux Libertine O"/>
      <w:sz w:val="18"/>
      <w:lang w:val="en-US" w:eastAsia="ja-JP"/>
    </w:rPr>
  </w:style>
  <w:style w:type="paragraph" w:styleId="TOC8">
    <w:name w:val="toc 8"/>
    <w:basedOn w:val="a3"/>
    <w:next w:val="a3"/>
    <w:autoRedefine/>
    <w:uiPriority w:val="39"/>
    <w:semiHidden/>
    <w:unhideWhenUsed/>
    <w:rsid w:val="00EA5ED5"/>
    <w:pPr>
      <w:spacing w:after="100"/>
      <w:ind w:left="1260"/>
    </w:pPr>
    <w:rPr>
      <w:rFonts w:ascii="Linux Libertine O" w:eastAsia="MS Mincho" w:hAnsi="Linux Libertine O" w:cs="Linux Libertine O"/>
      <w:sz w:val="18"/>
      <w:lang w:val="en-US" w:eastAsia="ja-JP"/>
    </w:rPr>
  </w:style>
  <w:style w:type="paragraph" w:styleId="TOC9">
    <w:name w:val="toc 9"/>
    <w:basedOn w:val="a3"/>
    <w:next w:val="a3"/>
    <w:autoRedefine/>
    <w:uiPriority w:val="39"/>
    <w:semiHidden/>
    <w:unhideWhenUsed/>
    <w:rsid w:val="00EA5ED5"/>
    <w:pPr>
      <w:spacing w:after="100"/>
      <w:ind w:left="1440"/>
    </w:pPr>
    <w:rPr>
      <w:rFonts w:ascii="Linux Libertine O" w:eastAsia="MS Mincho" w:hAnsi="Linux Libertine O" w:cs="Linux Libertine O"/>
      <w:sz w:val="18"/>
      <w:lang w:val="en-US" w:eastAsia="ja-JP"/>
    </w:rPr>
  </w:style>
  <w:style w:type="paragraph" w:styleId="TOC">
    <w:name w:val="TOC Heading"/>
    <w:basedOn w:val="1"/>
    <w:next w:val="a3"/>
    <w:uiPriority w:val="39"/>
    <w:semiHidden/>
    <w:unhideWhenUsed/>
    <w:qFormat/>
    <w:rsid w:val="00EA5ED5"/>
    <w:pPr>
      <w:outlineLvl w:val="9"/>
    </w:pPr>
  </w:style>
  <w:style w:type="character" w:customStyle="1" w:styleId="1f3">
    <w:name w:val="未处理的提及1"/>
    <w:basedOn w:val="a4"/>
    <w:uiPriority w:val="99"/>
    <w:semiHidden/>
    <w:unhideWhenUsed/>
    <w:rsid w:val="00EA5ED5"/>
    <w:rPr>
      <w:rFonts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Times New Roman" w:hAnsi="Linux Libertine O" w:cs="Linux Libertine O"/>
      <w:b w:val="0"/>
      <w:bCs/>
      <w:sz w:val="16"/>
    </w:rPr>
  </w:style>
  <w:style w:type="character" w:customStyle="1" w:styleId="CCSHeadchar">
    <w:name w:val="CCSHead char"/>
    <w:basedOn w:val="a4"/>
    <w:link w:val="CCSHead"/>
    <w:rsid w:val="000B40B0"/>
    <w:rPr>
      <w:rFonts w:ascii="Linux Libertine O" w:eastAsia="Cambria" w:hAnsi="Linux Libertine O" w:cs="Linux Libertine O"/>
      <w:b/>
      <w:sz w:val="16"/>
      <w:szCs w:val="22"/>
    </w:rPr>
  </w:style>
  <w:style w:type="character" w:customStyle="1" w:styleId="KeyWordHeadchar">
    <w:name w:val="KeyWordHead char"/>
    <w:basedOn w:val="a4"/>
    <w:link w:val="KeyWordHead"/>
    <w:rsid w:val="000B40B0"/>
    <w:rPr>
      <w:rFonts w:ascii="Linux Libertine O" w:eastAsia="Cambria"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en-US"/>
    </w:rPr>
  </w:style>
  <w:style w:type="character" w:customStyle="1" w:styleId="Head3oldChar">
    <w:name w:val="Head3old Char"/>
    <w:basedOn w:val="a4"/>
    <w:link w:val="Head3old"/>
    <w:rsid w:val="00CE5EA4"/>
    <w:rPr>
      <w:rFonts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ascii="Linux Libertine O" w:hAnsi="Linux Libertine O" w:cs="Linux Libertine O"/>
      <w:b w:val="0"/>
      <w:i/>
      <w:sz w:val="18"/>
      <w:lang w:eastAsia="ja-JP"/>
    </w:rPr>
  </w:style>
  <w:style w:type="character" w:customStyle="1" w:styleId="Head3char0">
    <w:name w:val="Head3 char"/>
    <w:basedOn w:val="a4"/>
    <w:rsid w:val="002375A6"/>
    <w:rPr>
      <w:rFonts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Cambria" w:hAnsi="Linux Libertine O" w:cs="Linux Libertine O"/>
      <w:b/>
      <w:bCs w:val="0"/>
      <w:i w:val="0"/>
      <w:color w:val="3D3D3D"/>
      <w:szCs w:val="24"/>
      <w:lang w:eastAsia="ja-JP"/>
    </w:rPr>
  </w:style>
  <w:style w:type="character" w:customStyle="1" w:styleId="Head3Char">
    <w:name w:val="Head3 Char"/>
    <w:basedOn w:val="TitledocumentChar"/>
    <w:link w:val="Head3"/>
    <w:rsid w:val="002375A6"/>
    <w:rPr>
      <w:rFonts w:ascii="Linux Biolinum O" w:eastAsia="Times New Roman" w:hAnsi="Linux Biolinum O" w:cs="Linux Biolinum O"/>
      <w:b w:val="0"/>
      <w:bCs/>
      <w:i/>
      <w:sz w:val="18"/>
    </w:rPr>
  </w:style>
  <w:style w:type="character" w:customStyle="1" w:styleId="ParaSafeChar">
    <w:name w:val="ParaSafe Char"/>
    <w:basedOn w:val="Head3Char"/>
    <w:link w:val="ParaSafe"/>
    <w:rsid w:val="002375A6"/>
    <w:rPr>
      <w:rFonts w:ascii="Linux Libertine O" w:eastAsia="Cambria" w:hAnsi="Linux Libertine O" w:cs="Linux Libertine O"/>
      <w:b/>
      <w:bCs w:val="0"/>
      <w:i w:val="0"/>
      <w:color w:val="3D3D3D"/>
      <w:sz w:val="18"/>
      <w:szCs w:val="24"/>
      <w:lang w:eastAsia="ja-JP"/>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ascii="Linux Libertine O" w:hAnsi="Linux Libertine O" w:cs="Linux Libertine O" w:hint="default"/>
      <w:color w:val="666699"/>
    </w:rPr>
  </w:style>
  <w:style w:type="paragraph" w:styleId="affffff0">
    <w:name w:val="Revision"/>
    <w:hidden/>
    <w:uiPriority w:val="99"/>
    <w:semiHidden/>
    <w:rsid w:val="00CE6F4E"/>
    <w:rPr>
      <w:rFonts w:ascii="Linux Libertine O" w:hAnsi="Linux Libertine O" w:cs="Linux Libertine O"/>
      <w:sz w:val="18"/>
      <w:szCs w:val="24"/>
      <w:lang w:eastAsia="ja-JP"/>
    </w:rPr>
  </w:style>
  <w:style w:type="paragraph" w:customStyle="1" w:styleId="PostHeadPara">
    <w:name w:val="PostHeadPara"/>
    <w:basedOn w:val="Para"/>
    <w:qFormat/>
    <w:rsid w:val="00B73374"/>
    <w:pPr>
      <w:ind w:firstLine="0"/>
    </w:pPr>
    <w:rPr>
      <w:lang w:eastAsia="en-US"/>
    </w:rPr>
  </w:style>
  <w:style w:type="paragraph" w:customStyle="1" w:styleId="Paper-Title">
    <w:name w:val="Paper-Title"/>
    <w:basedOn w:val="a3"/>
    <w:rsid w:val="001E46A4"/>
    <w:pPr>
      <w:spacing w:after="120"/>
      <w:jc w:val="center"/>
    </w:pPr>
    <w:rPr>
      <w:rFonts w:ascii="Helvetica" w:eastAsiaTheme="minorEastAsia" w:hAnsi="Helvetica"/>
      <w:b/>
      <w:sz w:val="36"/>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70178">
      <w:bodyDiv w:val="1"/>
      <w:marLeft w:val="0"/>
      <w:marRight w:val="0"/>
      <w:marTop w:val="0"/>
      <w:marBottom w:val="0"/>
      <w:divBdr>
        <w:top w:val="none" w:sz="0" w:space="0" w:color="auto"/>
        <w:left w:val="none" w:sz="0" w:space="0" w:color="auto"/>
        <w:bottom w:val="none" w:sz="0" w:space="0" w:color="auto"/>
        <w:right w:val="none" w:sz="0" w:space="0" w:color="auto"/>
      </w:divBdr>
    </w:div>
    <w:div w:id="372729552">
      <w:bodyDiv w:val="1"/>
      <w:marLeft w:val="0"/>
      <w:marRight w:val="0"/>
      <w:marTop w:val="0"/>
      <w:marBottom w:val="0"/>
      <w:divBdr>
        <w:top w:val="none" w:sz="0" w:space="0" w:color="auto"/>
        <w:left w:val="none" w:sz="0" w:space="0" w:color="auto"/>
        <w:bottom w:val="none" w:sz="0" w:space="0" w:color="auto"/>
        <w:right w:val="none" w:sz="0" w:space="0" w:color="auto"/>
      </w:divBdr>
    </w:div>
    <w:div w:id="581959698">
      <w:bodyDiv w:val="1"/>
      <w:marLeft w:val="0"/>
      <w:marRight w:val="0"/>
      <w:marTop w:val="0"/>
      <w:marBottom w:val="0"/>
      <w:divBdr>
        <w:top w:val="none" w:sz="0" w:space="0" w:color="auto"/>
        <w:left w:val="none" w:sz="0" w:space="0" w:color="auto"/>
        <w:bottom w:val="none" w:sz="0" w:space="0" w:color="auto"/>
        <w:right w:val="none" w:sz="0" w:space="0" w:color="auto"/>
      </w:divBdr>
    </w:div>
    <w:div w:id="592936317">
      <w:bodyDiv w:val="1"/>
      <w:marLeft w:val="0"/>
      <w:marRight w:val="0"/>
      <w:marTop w:val="0"/>
      <w:marBottom w:val="0"/>
      <w:divBdr>
        <w:top w:val="none" w:sz="0" w:space="0" w:color="auto"/>
        <w:left w:val="none" w:sz="0" w:space="0" w:color="auto"/>
        <w:bottom w:val="none" w:sz="0" w:space="0" w:color="auto"/>
        <w:right w:val="none" w:sz="0" w:space="0" w:color="auto"/>
      </w:divBdr>
      <w:divsChild>
        <w:div w:id="792552476">
          <w:marLeft w:val="0"/>
          <w:marRight w:val="0"/>
          <w:marTop w:val="0"/>
          <w:marBottom w:val="0"/>
          <w:divBdr>
            <w:top w:val="none" w:sz="0" w:space="0" w:color="auto"/>
            <w:left w:val="none" w:sz="0" w:space="0" w:color="auto"/>
            <w:bottom w:val="none" w:sz="0" w:space="0" w:color="auto"/>
            <w:right w:val="none" w:sz="0" w:space="0" w:color="auto"/>
          </w:divBdr>
        </w:div>
      </w:divsChild>
    </w:div>
    <w:div w:id="731851286">
      <w:bodyDiv w:val="1"/>
      <w:marLeft w:val="0"/>
      <w:marRight w:val="0"/>
      <w:marTop w:val="0"/>
      <w:marBottom w:val="0"/>
      <w:divBdr>
        <w:top w:val="none" w:sz="0" w:space="0" w:color="auto"/>
        <w:left w:val="none" w:sz="0" w:space="0" w:color="auto"/>
        <w:bottom w:val="none" w:sz="0" w:space="0" w:color="auto"/>
        <w:right w:val="none" w:sz="0" w:space="0" w:color="auto"/>
      </w:divBdr>
    </w:div>
    <w:div w:id="738409494">
      <w:bodyDiv w:val="1"/>
      <w:marLeft w:val="0"/>
      <w:marRight w:val="0"/>
      <w:marTop w:val="0"/>
      <w:marBottom w:val="0"/>
      <w:divBdr>
        <w:top w:val="none" w:sz="0" w:space="0" w:color="auto"/>
        <w:left w:val="none" w:sz="0" w:space="0" w:color="auto"/>
        <w:bottom w:val="none" w:sz="0" w:space="0" w:color="auto"/>
        <w:right w:val="none" w:sz="0" w:space="0" w:color="auto"/>
      </w:divBdr>
      <w:divsChild>
        <w:div w:id="336883448">
          <w:marLeft w:val="0"/>
          <w:marRight w:val="0"/>
          <w:marTop w:val="0"/>
          <w:marBottom w:val="0"/>
          <w:divBdr>
            <w:top w:val="single" w:sz="4" w:space="2" w:color="auto"/>
            <w:left w:val="none" w:sz="0" w:space="0" w:color="auto"/>
            <w:bottom w:val="single" w:sz="4" w:space="2" w:color="auto"/>
            <w:right w:val="none" w:sz="0" w:space="0" w:color="auto"/>
          </w:divBdr>
        </w:div>
      </w:divsChild>
    </w:div>
    <w:div w:id="988679481">
      <w:bodyDiv w:val="1"/>
      <w:marLeft w:val="0"/>
      <w:marRight w:val="0"/>
      <w:marTop w:val="0"/>
      <w:marBottom w:val="0"/>
      <w:divBdr>
        <w:top w:val="none" w:sz="0" w:space="0" w:color="auto"/>
        <w:left w:val="none" w:sz="0" w:space="0" w:color="auto"/>
        <w:bottom w:val="none" w:sz="0" w:space="0" w:color="auto"/>
        <w:right w:val="none" w:sz="0" w:space="0" w:color="auto"/>
      </w:divBdr>
    </w:div>
    <w:div w:id="993266864">
      <w:bodyDiv w:val="1"/>
      <w:marLeft w:val="0"/>
      <w:marRight w:val="0"/>
      <w:marTop w:val="0"/>
      <w:marBottom w:val="0"/>
      <w:divBdr>
        <w:top w:val="none" w:sz="0" w:space="0" w:color="auto"/>
        <w:left w:val="none" w:sz="0" w:space="0" w:color="auto"/>
        <w:bottom w:val="none" w:sz="0" w:space="0" w:color="auto"/>
        <w:right w:val="none" w:sz="0" w:space="0" w:color="auto"/>
      </w:divBdr>
    </w:div>
    <w:div w:id="1119451610">
      <w:bodyDiv w:val="1"/>
      <w:marLeft w:val="0"/>
      <w:marRight w:val="0"/>
      <w:marTop w:val="0"/>
      <w:marBottom w:val="0"/>
      <w:divBdr>
        <w:top w:val="none" w:sz="0" w:space="0" w:color="auto"/>
        <w:left w:val="none" w:sz="0" w:space="0" w:color="auto"/>
        <w:bottom w:val="none" w:sz="0" w:space="0" w:color="auto"/>
        <w:right w:val="none" w:sz="0" w:space="0" w:color="auto"/>
      </w:divBdr>
    </w:div>
    <w:div w:id="1148933819">
      <w:bodyDiv w:val="1"/>
      <w:marLeft w:val="0"/>
      <w:marRight w:val="0"/>
      <w:marTop w:val="0"/>
      <w:marBottom w:val="0"/>
      <w:divBdr>
        <w:top w:val="none" w:sz="0" w:space="0" w:color="auto"/>
        <w:left w:val="none" w:sz="0" w:space="0" w:color="auto"/>
        <w:bottom w:val="none" w:sz="0" w:space="0" w:color="auto"/>
        <w:right w:val="none" w:sz="0" w:space="0" w:color="auto"/>
      </w:divBdr>
    </w:div>
    <w:div w:id="1369137681">
      <w:bodyDiv w:val="1"/>
      <w:marLeft w:val="0"/>
      <w:marRight w:val="0"/>
      <w:marTop w:val="0"/>
      <w:marBottom w:val="0"/>
      <w:divBdr>
        <w:top w:val="none" w:sz="0" w:space="0" w:color="auto"/>
        <w:left w:val="none" w:sz="0" w:space="0" w:color="auto"/>
        <w:bottom w:val="none" w:sz="0" w:space="0" w:color="auto"/>
        <w:right w:val="none" w:sz="0" w:space="0" w:color="auto"/>
      </w:divBdr>
    </w:div>
    <w:div w:id="1403867923">
      <w:bodyDiv w:val="1"/>
      <w:marLeft w:val="0"/>
      <w:marRight w:val="0"/>
      <w:marTop w:val="0"/>
      <w:marBottom w:val="0"/>
      <w:divBdr>
        <w:top w:val="none" w:sz="0" w:space="0" w:color="auto"/>
        <w:left w:val="none" w:sz="0" w:space="0" w:color="auto"/>
        <w:bottom w:val="none" w:sz="0" w:space="0" w:color="auto"/>
        <w:right w:val="none" w:sz="0" w:space="0" w:color="auto"/>
      </w:divBdr>
    </w:div>
    <w:div w:id="1738934892">
      <w:bodyDiv w:val="1"/>
      <w:marLeft w:val="0"/>
      <w:marRight w:val="0"/>
      <w:marTop w:val="0"/>
      <w:marBottom w:val="0"/>
      <w:divBdr>
        <w:top w:val="none" w:sz="0" w:space="0" w:color="auto"/>
        <w:left w:val="none" w:sz="0" w:space="0" w:color="auto"/>
        <w:bottom w:val="none" w:sz="0" w:space="0" w:color="auto"/>
        <w:right w:val="none" w:sz="0" w:space="0" w:color="auto"/>
      </w:divBdr>
    </w:div>
    <w:div w:id="1790514484">
      <w:bodyDiv w:val="1"/>
      <w:marLeft w:val="0"/>
      <w:marRight w:val="0"/>
      <w:marTop w:val="0"/>
      <w:marBottom w:val="0"/>
      <w:divBdr>
        <w:top w:val="none" w:sz="0" w:space="0" w:color="auto"/>
        <w:left w:val="none" w:sz="0" w:space="0" w:color="auto"/>
        <w:bottom w:val="none" w:sz="0" w:space="0" w:color="auto"/>
        <w:right w:val="none" w:sz="0" w:space="0" w:color="auto"/>
      </w:divBdr>
    </w:div>
    <w:div w:id="1850093974">
      <w:bodyDiv w:val="1"/>
      <w:marLeft w:val="0"/>
      <w:marRight w:val="0"/>
      <w:marTop w:val="0"/>
      <w:marBottom w:val="0"/>
      <w:divBdr>
        <w:top w:val="none" w:sz="0" w:space="0" w:color="auto"/>
        <w:left w:val="none" w:sz="0" w:space="0" w:color="auto"/>
        <w:bottom w:val="none" w:sz="0" w:space="0" w:color="auto"/>
        <w:right w:val="none" w:sz="0" w:space="0" w:color="auto"/>
      </w:divBdr>
      <w:divsChild>
        <w:div w:id="1648626813">
          <w:marLeft w:val="0"/>
          <w:marRight w:val="0"/>
          <w:marTop w:val="0"/>
          <w:marBottom w:val="0"/>
          <w:divBdr>
            <w:top w:val="none" w:sz="0" w:space="0" w:color="auto"/>
            <w:left w:val="none" w:sz="0" w:space="0" w:color="auto"/>
            <w:bottom w:val="none" w:sz="0" w:space="0" w:color="auto"/>
            <w:right w:val="none" w:sz="0" w:space="0" w:color="auto"/>
          </w:divBdr>
        </w:div>
        <w:div w:id="292256835">
          <w:marLeft w:val="0"/>
          <w:marRight w:val="0"/>
          <w:marTop w:val="0"/>
          <w:marBottom w:val="0"/>
          <w:divBdr>
            <w:top w:val="none" w:sz="0" w:space="0" w:color="auto"/>
            <w:left w:val="none" w:sz="0" w:space="0" w:color="auto"/>
            <w:bottom w:val="none" w:sz="0" w:space="0" w:color="auto"/>
            <w:right w:val="none" w:sz="0" w:space="0" w:color="auto"/>
          </w:divBdr>
        </w:div>
        <w:div w:id="1139029088">
          <w:marLeft w:val="0"/>
          <w:marRight w:val="0"/>
          <w:marTop w:val="0"/>
          <w:marBottom w:val="0"/>
          <w:divBdr>
            <w:top w:val="none" w:sz="0" w:space="0" w:color="auto"/>
            <w:left w:val="none" w:sz="0" w:space="0" w:color="auto"/>
            <w:bottom w:val="none" w:sz="0" w:space="0" w:color="auto"/>
            <w:right w:val="none" w:sz="0" w:space="0" w:color="auto"/>
          </w:divBdr>
        </w:div>
        <w:div w:id="1396391033">
          <w:marLeft w:val="0"/>
          <w:marRight w:val="0"/>
          <w:marTop w:val="0"/>
          <w:marBottom w:val="0"/>
          <w:divBdr>
            <w:top w:val="none" w:sz="0" w:space="0" w:color="auto"/>
            <w:left w:val="none" w:sz="0" w:space="0" w:color="auto"/>
            <w:bottom w:val="none" w:sz="0" w:space="0" w:color="auto"/>
            <w:right w:val="none" w:sz="0" w:space="0" w:color="auto"/>
          </w:divBdr>
        </w:div>
        <w:div w:id="381560177">
          <w:marLeft w:val="0"/>
          <w:marRight w:val="0"/>
          <w:marTop w:val="0"/>
          <w:marBottom w:val="0"/>
          <w:divBdr>
            <w:top w:val="none" w:sz="0" w:space="0" w:color="auto"/>
            <w:left w:val="none" w:sz="0" w:space="0" w:color="auto"/>
            <w:bottom w:val="none" w:sz="0" w:space="0" w:color="auto"/>
            <w:right w:val="none" w:sz="0" w:space="0" w:color="auto"/>
          </w:divBdr>
        </w:div>
        <w:div w:id="2076195316">
          <w:marLeft w:val="0"/>
          <w:marRight w:val="0"/>
          <w:marTop w:val="0"/>
          <w:marBottom w:val="0"/>
          <w:divBdr>
            <w:top w:val="none" w:sz="0" w:space="0" w:color="auto"/>
            <w:left w:val="none" w:sz="0" w:space="0" w:color="auto"/>
            <w:bottom w:val="none" w:sz="0" w:space="0" w:color="auto"/>
            <w:right w:val="none" w:sz="0" w:space="0" w:color="auto"/>
          </w:divBdr>
        </w:div>
        <w:div w:id="1510294631">
          <w:marLeft w:val="0"/>
          <w:marRight w:val="0"/>
          <w:marTop w:val="0"/>
          <w:marBottom w:val="0"/>
          <w:divBdr>
            <w:top w:val="none" w:sz="0" w:space="0" w:color="auto"/>
            <w:left w:val="none" w:sz="0" w:space="0" w:color="auto"/>
            <w:bottom w:val="none" w:sz="0" w:space="0" w:color="auto"/>
            <w:right w:val="none" w:sz="0" w:space="0" w:color="auto"/>
          </w:divBdr>
        </w:div>
        <w:div w:id="1282421971">
          <w:marLeft w:val="0"/>
          <w:marRight w:val="0"/>
          <w:marTop w:val="0"/>
          <w:marBottom w:val="0"/>
          <w:divBdr>
            <w:top w:val="none" w:sz="0" w:space="0" w:color="auto"/>
            <w:left w:val="none" w:sz="0" w:space="0" w:color="auto"/>
            <w:bottom w:val="none" w:sz="0" w:space="0" w:color="auto"/>
            <w:right w:val="none" w:sz="0" w:space="0" w:color="auto"/>
          </w:divBdr>
        </w:div>
        <w:div w:id="540288642">
          <w:marLeft w:val="0"/>
          <w:marRight w:val="0"/>
          <w:marTop w:val="0"/>
          <w:marBottom w:val="0"/>
          <w:divBdr>
            <w:top w:val="none" w:sz="0" w:space="0" w:color="auto"/>
            <w:left w:val="none" w:sz="0" w:space="0" w:color="auto"/>
            <w:bottom w:val="none" w:sz="0" w:space="0" w:color="auto"/>
            <w:right w:val="none" w:sz="0" w:space="0" w:color="auto"/>
          </w:divBdr>
        </w:div>
      </w:divsChild>
    </w:div>
    <w:div w:id="1975401568">
      <w:bodyDiv w:val="1"/>
      <w:marLeft w:val="0"/>
      <w:marRight w:val="0"/>
      <w:marTop w:val="0"/>
      <w:marBottom w:val="0"/>
      <w:divBdr>
        <w:top w:val="none" w:sz="0" w:space="0" w:color="auto"/>
        <w:left w:val="none" w:sz="0" w:space="0" w:color="auto"/>
        <w:bottom w:val="none" w:sz="0" w:space="0" w:color="auto"/>
        <w:right w:val="none" w:sz="0" w:space="0" w:color="auto"/>
      </w:divBdr>
    </w:div>
    <w:div w:id="2010325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m.org/publications/class-2012" TargetMode="External"/><Relationship Id="rId13" Type="http://schemas.openxmlformats.org/officeDocument/2006/relationships/hyperlink" Target="https://commons.wikimedia.org/wiki/File:TuringBombeBletchleyPark.jpg" TargetMode="External"/><Relationship Id="rId18" Type="http://schemas.openxmlformats.org/officeDocument/2006/relationships/hyperlink" Target="http://wwtug.org/instmem.html"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hyperlink" Target="https://doi.org/10.1145/567446.567449" TargetMode="External"/><Relationship Id="rId2" Type="http://schemas.openxmlformats.org/officeDocument/2006/relationships/numbering" Target="numbering.xml"/><Relationship Id="rId16" Type="http://schemas.openxmlformats.org/officeDocument/2006/relationships/hyperlink" Target="https://doi.org/10.1007/3-540-09237-4"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www.iesl.cs.umass.edu/data/data-umasscitationfield" TargetMode="External"/><Relationship Id="rId23" Type="http://schemas.openxmlformats.org/officeDocument/2006/relationships/theme" Target="theme/theme1.xml"/><Relationship Id="rId10" Type="http://schemas.openxmlformats.org/officeDocument/2006/relationships/hyperlink" Target="https://dl.acm.org/ccs/ccs.cfm" TargetMode="External"/><Relationship Id="rId19" Type="http://schemas.openxmlformats.org/officeDocument/2006/relationships/hyperlink" Target="http://tinyurl.com/lzny753" TargetMode="External"/><Relationship Id="rId4" Type="http://schemas.openxmlformats.org/officeDocument/2006/relationships/settings" Target="settings.xml"/><Relationship Id="rId9" Type="http://schemas.openxmlformats.org/officeDocument/2006/relationships/hyperlink" Target="http://dl.acm.org/ccs/ccs.cfm?" TargetMode="External"/><Relationship Id="rId14" Type="http://schemas.openxmlformats.org/officeDocument/2006/relationships/hyperlink" Target="https://www.acm.org/accessibility"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91A9299C-92C4-41D5-9976-B7A71F448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Manager/>
  <Company/>
  <LinksUpToDate>false</LinksUpToDate>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Invariant Game Representation Learning from Steam Reviews: Appendices</dc:title>
  <dc:subject/>
  <dc:creator/>
  <cp:keywords/>
  <dc:description/>
  <cp:lastModifiedBy/>
  <cp:revision>1</cp:revision>
  <dcterms:created xsi:type="dcterms:W3CDTF">2026-01-01T00:00:00Z</dcterms:created>
  <dcterms:modified xsi:type="dcterms:W3CDTF">2026-01-01T00:00:00Z</dcterms:modified>
  <cp:category/>
  <cp:contentStatus/>
</cp:coreProperties>
</file>