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w9 Zero-Shot Retrieval &amp; Tag Comparison</w:t>
      </w:r>
    </w:p>
    <w:p>
      <w:r>
        <w:rPr>
          <w:sz w:val="17"/>
        </w:rPr>
        <w:t xml:space="preserve">All metrics are zero-shot (raw tower, no fine-tuned head), fully inductive: queries from 204 held-out wiki games, gallery = full 2020-game library. Best checkpoint per row selected by </w:t>
      </w:r>
      <w:r>
        <w:rPr>
          <w:b/>
          <w:sz w:val="17"/>
        </w:rPr>
        <w:t>DEPLOYMENT-style selection (protocol v3): random REVIEW queries of the 203 validation games -&gt; NAME retrieval (h@1 + h@5 vs the full 2020-game gallery) + 2 x tag-F1, averaged over 10 fixed seeded draws (1 of 4 precomputed review pseudo-queries per game); candidates every 100 ep</w:t>
      </w:r>
      <w:r>
        <w:rPr>
          <w:sz w:val="17"/>
        </w:rPr>
        <w:t>. All reported metrics are TEST-set wiki values at the selected epoch. Rationale (user decree 2026-07-18): real deployments have neither noname nor neutral wiki queries -- only reviews, names and store tags; selection must use only those. neu = neutral rewrite, non = noname rewrite (game title stripped; the anti-memorization stress test). tag-F1 = micro-F1 of a ridge tag classifier on the same ZS embeddings.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3024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anchor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neu h@1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neu h@5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neu tag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non h@1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non h@5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non tag</w:t>
            </w:r>
          </w:p>
        </w:tc>
        <w:tc>
          <w:tcPr>
            <w:tcW w:type="dxa" w:w="893"/>
            <w:shd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ep</w:t>
            </w:r>
          </w:p>
        </w:tc>
      </w:tr>
      <w:tr>
        <w:tc>
          <w:tcPr>
            <w:tcW w:type="dxa" w:w="893"/>
            <w:gridSpan w:val="9"/>
            <w:shd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Anchor-cap scaling &amp; MoCo (I-CE family, cap &gt; 512)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(stop-grad anchors)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8192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0.669</w:t>
            </w:r>
          </w:p>
        </w:tc>
        <w:tc>
          <w:tcPr>
            <w:tcW w:type="dxa" w:w="893"/>
            <w:shd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0.745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I2CCEC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I2q2CE (soft-band I)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(EMA anchors)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(stop-grad anchors)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I2CCEC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CEgate2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CEgate2c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 (MoCo q3072)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 (bank q192)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 (bank q48)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 (bank q12)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I2CCE (bank=batch)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0.069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</w:t>
            </w:r>
          </w:p>
        </w:tc>
      </w:tr>
      <w:tr>
        <w:tc>
          <w:tcPr>
            <w:tcW w:type="dxa" w:w="893"/>
            <w:gridSpan w:val="9"/>
            <w:shd w:fill="E2EFDA"/>
          </w:tcPr>
          <w:p>
            <w:pPr>
              <w:jc w:val="center"/>
            </w:pPr>
            <w:r/>
            <w:r>
              <w:rPr>
                <w:b/>
                <w:sz w:val="17"/>
              </w:rPr>
              <w:t>Cap 512 — full method comparison (W=16 views, fixed protocol)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aI2CE (+anchor rope)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CEgate3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CEgate4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Rgate2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(no-doc)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bCE (SimCLR/in-batch)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I2+bCE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aI2+bCE (rope, batch 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I6+uni (W&amp;I batch)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0.162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I4+uni (W&amp;I batch)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aI2+auni t25 (anchor unif.)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aI6+auni t2 (anchor unif.)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aI4+auni t2 (anchor unif.)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aI25+auni t2 (rebalanced)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aI25+auni t2 (best E-gated)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BYOL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BYOL (BN proj.)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VICReg epd 20/10/15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VICReg epd 20/10/20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VICReg epd 25/25/1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VICReg epd-batch 20/10/20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VICReg epd-batch 25/25/1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VICReg (centroid, buggy)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VICReg2 (centroid, buggy)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0.020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893"/>
            <w:gridSpan w:val="9"/>
            <w:shd w:fill="FCE4D6"/>
          </w:tcPr>
          <w:p>
            <w:pPr>
              <w:jc w:val="center"/>
            </w:pPr>
            <w:r/>
            <w:r>
              <w:rPr>
                <w:b/>
                <w:sz w:val="17"/>
              </w:rPr>
              <w:t>Cap 512 — structure ablation (where CE/I attach; grid in progress)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CE@E (expce, no I)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CE@cmp (cmpce, no I)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pooled CE (poolce, no I)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pool-&gt;E-&gt;CE (no I)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pool-&gt;cmp-&gt;CE (no I)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 + CE@E (i2expce)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 + CE@cmp (i2cmpce)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 + pooled CE (i2poolce)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 + pool-&gt;E-&gt;CE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 + pool-&gt;cmp-&gt;CE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+ I2@E (ceexpi2)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+ I2@cmp (cecmpi2)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pooled CE + I2@E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pooled CE + I2@cmp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shared E: I2+CE@E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shared cmp: I2+CE@cmp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shared E, pool-after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shared cmp, pool-after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shared E, pool-before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shared cmp, pool-before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 E: I2@exp+CE@exp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dual: I2@exp+CE@cmp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dual: I2@cmp+CE@exp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dual: I2@cmp+CE@cmp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dual: I2@exp+pool-&gt;E-&gt;CE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dual: I2@exp+pool-&gt;cmp-&gt;CE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0.098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dual: I2@cmp+pool-&gt;E-&gt;CE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dual: I2@cmp+pool-&gt;cmp-&gt;CE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0.137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400</w:t>
            </w:r>
          </w:p>
        </w:tc>
      </w:tr>
      <w:tr>
        <w:tc>
          <w:tcPr>
            <w:tcW w:type="dxa" w:w="893"/>
            <w:gridSpan w:val="9"/>
            <w:shd w:fill="FFF2CC"/>
          </w:tcPr>
          <w:p>
            <w:pPr>
              <w:jc w:val="center"/>
            </w:pPr>
            <w:r/>
            <w:r>
              <w:rPr>
                <w:b/>
                <w:sz w:val="17"/>
              </w:rPr>
              <w:t>FINAL 5-fold CV grid — {CE, I2CE} x anchor caps, rvsel selection, all ZS (mean±std)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0.875±0.021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0.975±0.013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0.687±0.012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0.580±0.012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0.838±0.014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0.686±0.023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50-1650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0.901±0.021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0.988±0.004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0.701±0.013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0.657±0.028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0.882±0.019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0.705±0.015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1100-1800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0.913±0.018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0.985±0.006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0.693±0.013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0.654±0.013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0.862±0.013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0.702±0.011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550-1850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 (n=4)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0.934±0.027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0.992±0.007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0.705±0.022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0.713±0.014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0.897±0.020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0.708±0.018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1000-1850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0.924±0.022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0.986±0.006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0.684±0.019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0.644±0.004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0.871±0.012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0.699±0.022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600-1850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0.946±0.030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0.994±0.004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0.715±0.010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0.731±0.024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0.915±0.019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0.719±0.019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900-1900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CE (anchored=aCE)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0.921±0.018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0.993±0.009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0.693±0.007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0.657±0.031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0.887±0.019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0.697±0.018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350-1800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6"/>
              </w:rPr>
              <w:t>I2CE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0.947±0.018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0.995±0.005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0.712±0.017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0.730±0.036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0.914±0.026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0.718±0.016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450-1750</w:t>
            </w:r>
          </w:p>
        </w:tc>
      </w:tr>
    </w:tbl>
    <w:p>
      <w:r>
        <w:rPr>
          <w:b/>
        </w:rPr>
        <w:t xml:space="preserve">Notes. </w:t>
      </w:r>
      <w:r>
        <w:rPr>
          <w:sz w:val="16"/>
        </w:rPr>
        <w:t>Rows sorted within each band by table intent, not score. Bold noname-hit@1 = best across all rows. MoCo = shadow-tower momentum key queue (length 3072) supplying negatives beyond the anchor cap. VICReg 'vic/vic2' use the centroid-MSE wiring and collapse (retrieval ~0); 'epd' is the canonical expander-output fix and is the fair VICReg baseline. aI*+auni rows apply Wang&amp;Isola uniformity against the fixed anchor field and collapse to the anti-anchor pole (documented failure mode). All numbers reproducible from projection npz caches on the bucket via the recorded selection rule. MoCo q3072 @8192 is still in training and omitted (no projection cache yet). SCALING (2026-07-16): anchored CE also scales with cap (noname h@1 .618@512 -&gt; .681@2048 by h1-peak read) but the I-CE margin is preserved (~+0.05 at both caps): I is an intercept, not a slope; ce@4096 / the 1024 column / ai2ce@caps are in training. Anchor-uniformity postscript: the full rebalanced (pull IW25) + E-gated 3x3 + shared grid (13 cells) ALL collapse -- anchor-field uniformity is structurally unrescuable; only CE's per-sample softmax coupling holds a one-sided prototype field. Structure band: E-space attachment costs ~-0.045 vs deployed both ways (i2expce, ceexpi2); pooled CE crashes late (i2poolce .475@200 -&gt; .083@1000, views shielded as predicted); FULL STRUCTURE GRID READ: nothing beats deployed per-view I2CE; every E attachment costs 0.035-0.064; ALL pooled variants collapse or starve (pooled CE is the failure axis, direction/sharing barely matter). FINAL 5-FOLD GRID (paper main table, rvsel selection, folds paired -- shared split+seed per fold): I2CE beats CE on noname h@1 in 19/19 paired folds (+.077/.060/.087/.073 at caps 512/1024/2048/4096) and on noname h@5 19/19; neutral 17/19 (+.02); tag 16/19 (+.02). This supersedes the earlier @512-only CV (+.012 under noname-cvsel): under deployment-style rvsel the I-CE margin is large and uniform across caps. CE's per-fold rvsel best_ep scatters wildly (50-1850) while I2CE concentrates at 1500-1900 -- CE selection fragility recurs at fold level. i2ce@1024 fold4 still training (n=4). PROTOCOL v3 RESULTS (2026-07-18): scaling curve under deployment-style selection, test non h@1 (neu): CE .598(.882)/.647(.917)/.598(.907)/.672(.922) vs I2CE .613(.926)/.686(.936)/.696(.926)/.745(.980) at caps 512/1024/2048/4096 -- I2CE leads at every cap and the gap widens with cap (+.015/+.039/+.098/+.073). NEW FINDING -- selection robustness: I2CE's review-val signal tracks its wiki-test trajectory (4096 pick ep1800 -&gt; .745, near its .765 trajectory peak) while CE's is misaligned (2048 pick ep700 -&gt; .598 vs its .681 wiki-peak at ep1400): invariance makes improvement trajectories consistent across domains, so deployment-realistic model selection itself favors I-CE. CAVEAT: at cap 512 the review signal saturates (h@1 ~1.0 for most arms incl. collapsed-on-wiki towers) -- it ranks epochs within an arm, never arms against each other. The cap-4096 tag slide was mostly a 1000ep-budget artifact. Save-the-tag trio: soft-band I2q2CE = no gain; EMA-anchor I2esCE recovers tag (.748) at -0.147 retrieval (Pareto endpoint only); STOP-GRAD ANCHORS ARE FATAL (.152 at 4096 and 8192) -- anchors must be learnable, the anchor-side gradient of CE is the tower's main learning path. MoCo-queue rows: the q3072 queue now paired with plain CE and I2CE across caps 512-4096.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