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70A36" w14:textId="77777777" w:rsidR="00303835" w:rsidRPr="00FA5B90" w:rsidRDefault="00303835" w:rsidP="00303835">
      <w:pPr>
        <w:widowControl w:val="0"/>
        <w:tabs>
          <w:tab w:val="left" w:pos="5420"/>
        </w:tabs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FA5B90">
        <w:rPr>
          <w:rFonts w:eastAsia="Times New Roman" w:cs="Times New Roman"/>
          <w:smallCaps/>
          <w:color w:val="000000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79F7018" w14:textId="77777777" w:rsidR="00303835" w:rsidRPr="00FA5B90" w:rsidRDefault="00303835" w:rsidP="00303835">
      <w:pPr>
        <w:widowControl w:val="0"/>
        <w:tabs>
          <w:tab w:val="left" w:pos="5420"/>
        </w:tabs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FA5B90">
        <w:rPr>
          <w:rFonts w:eastAsia="Times New Roman" w:cs="Times New Roman"/>
          <w:smallCaps/>
          <w:color w:val="000000"/>
          <w:szCs w:val="26"/>
          <w:lang w:eastAsia="ru-RU"/>
        </w:rPr>
        <w:t>«НАЦИОНАЛЬНЫЙ ИССЛЕДОВАТЕЛЬСКИЙ УНИВЕРСИТЕТ</w:t>
      </w:r>
    </w:p>
    <w:p w14:paraId="2A9BFE38" w14:textId="77777777" w:rsidR="00303835" w:rsidRPr="00FA5B90" w:rsidRDefault="00303835" w:rsidP="00303835">
      <w:pPr>
        <w:widowControl w:val="0"/>
        <w:tabs>
          <w:tab w:val="left" w:pos="5420"/>
        </w:tabs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FA5B90">
        <w:rPr>
          <w:rFonts w:eastAsia="Times New Roman" w:cs="Times New Roman"/>
          <w:smallCaps/>
          <w:color w:val="000000"/>
          <w:szCs w:val="26"/>
          <w:lang w:eastAsia="ru-RU"/>
        </w:rPr>
        <w:t>«ВЫСШАЯ ШКОЛА ЭКОНОМИКИ»</w:t>
      </w:r>
    </w:p>
    <w:p w14:paraId="3D747858" w14:textId="77777777" w:rsidR="00303835" w:rsidRPr="00FA5B90" w:rsidRDefault="00303835" w:rsidP="00303835">
      <w:pPr>
        <w:jc w:val="center"/>
        <w:rPr>
          <w:rFonts w:ascii="Cambria" w:eastAsia="MS Gothic" w:hAnsi="Cambria" w:cs="Times New Roman"/>
          <w:i/>
          <w:iCs/>
          <w:szCs w:val="26"/>
          <w:lang w:eastAsia="ru-RU"/>
        </w:rPr>
      </w:pPr>
      <w:r w:rsidRPr="00FA5B90">
        <w:rPr>
          <w:rFonts w:eastAsia="MS Gothic" w:cs="Times New Roman"/>
          <w:i/>
          <w:iCs/>
          <w:szCs w:val="26"/>
          <w:lang w:eastAsia="ru-RU"/>
        </w:rPr>
        <w:t>Факультет социальных наук</w:t>
      </w:r>
    </w:p>
    <w:p w14:paraId="3839A52E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1682AE0E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2E5C087B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FA5B90">
        <w:rPr>
          <w:rFonts w:eastAsia="Times New Roman" w:cs="Times New Roman"/>
          <w:color w:val="000000"/>
          <w:szCs w:val="26"/>
          <w:lang w:eastAsia="ru-RU"/>
        </w:rPr>
        <w:t>Ядрышников Михаил Сергеевич</w:t>
      </w:r>
    </w:p>
    <w:p w14:paraId="1BBE35C5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6B218D4C" w14:textId="77777777" w:rsidR="00303835" w:rsidRPr="00FA5B90" w:rsidRDefault="00303835" w:rsidP="00303835">
      <w:pPr>
        <w:jc w:val="center"/>
        <w:rPr>
          <w:rFonts w:eastAsia="Times New Roman" w:cs="Times New Roman"/>
          <w:b/>
          <w:color w:val="000000"/>
          <w:szCs w:val="26"/>
          <w:lang w:eastAsia="ru-RU"/>
        </w:rPr>
      </w:pPr>
    </w:p>
    <w:p w14:paraId="0136886F" w14:textId="77777777" w:rsidR="00303835" w:rsidRPr="00FA5B90" w:rsidRDefault="00303835" w:rsidP="00303835">
      <w:pPr>
        <w:jc w:val="center"/>
        <w:rPr>
          <w:rFonts w:eastAsia="Times New Roman" w:cs="Times New Roman"/>
          <w:b/>
          <w:color w:val="000000"/>
          <w:szCs w:val="26"/>
          <w:lang w:eastAsia="ru-RU"/>
        </w:rPr>
      </w:pPr>
      <w:r w:rsidRPr="00FA5B90">
        <w:rPr>
          <w:rFonts w:eastAsia="Times New Roman" w:cs="Times New Roman"/>
          <w:b/>
          <w:color w:val="000000"/>
          <w:szCs w:val="26"/>
          <w:lang w:eastAsia="ru-RU"/>
        </w:rPr>
        <w:t>КУРСОВАЯ РАБОТА</w:t>
      </w:r>
    </w:p>
    <w:p w14:paraId="241CCC7D" w14:textId="5F30AB59" w:rsidR="00303835" w:rsidRPr="00FA5B90" w:rsidRDefault="00221112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FA5B90">
        <w:rPr>
          <w:rFonts w:eastAsia="Times New Roman" w:cs="Times New Roman"/>
          <w:b/>
          <w:smallCaps/>
          <w:color w:val="000000"/>
          <w:szCs w:val="26"/>
          <w:lang w:eastAsia="ru-RU"/>
        </w:rPr>
        <w:t>«Состояние</w:t>
      </w:r>
      <w:r w:rsidR="00303835" w:rsidRPr="00FA5B90">
        <w:rPr>
          <w:rFonts w:eastAsia="Times New Roman" w:cs="Times New Roman"/>
          <w:b/>
          <w:smallCaps/>
          <w:color w:val="000000"/>
          <w:szCs w:val="26"/>
          <w:lang w:eastAsia="ru-RU"/>
        </w:rPr>
        <w:t xml:space="preserve"> </w:t>
      </w:r>
      <w:r w:rsidRPr="00FA5B90">
        <w:rPr>
          <w:rFonts w:eastAsia="Times New Roman" w:cs="Times New Roman"/>
          <w:b/>
          <w:smallCaps/>
          <w:color w:val="000000"/>
          <w:szCs w:val="26"/>
          <w:lang w:eastAsia="ru-RU"/>
        </w:rPr>
        <w:t>российской системы</w:t>
      </w:r>
      <w:r w:rsidR="00303835" w:rsidRPr="00FA5B90">
        <w:rPr>
          <w:rFonts w:eastAsia="Times New Roman" w:cs="Times New Roman"/>
          <w:b/>
          <w:smallCaps/>
          <w:color w:val="000000"/>
          <w:szCs w:val="26"/>
          <w:lang w:eastAsia="ru-RU"/>
        </w:rPr>
        <w:t xml:space="preserve"> высшего образования: проблемы и перспективы»</w:t>
      </w:r>
    </w:p>
    <w:p w14:paraId="7FDD99CB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736209E6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1322BC9C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36AA707C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FA5B90">
        <w:rPr>
          <w:rFonts w:eastAsia="Times New Roman" w:cs="Times New Roman"/>
          <w:color w:val="000000"/>
          <w:szCs w:val="26"/>
          <w:lang w:eastAsia="ru-RU"/>
        </w:rPr>
        <w:t xml:space="preserve">по направлению подготовки </w:t>
      </w:r>
      <w:r w:rsidRPr="00FA5B90">
        <w:rPr>
          <w:rFonts w:eastAsia="Times New Roman" w:cs="Times New Roman"/>
          <w:i/>
          <w:color w:val="000000"/>
          <w:szCs w:val="26"/>
          <w:u w:val="single"/>
          <w:lang w:eastAsia="ru-RU"/>
        </w:rPr>
        <w:t>38.04.04 Государственное и муниципальное управление</w:t>
      </w:r>
      <w:r w:rsidRPr="00FA5B90">
        <w:rPr>
          <w:rFonts w:eastAsia="Times New Roman" w:cs="Times New Roman"/>
          <w:color w:val="000000"/>
          <w:szCs w:val="26"/>
          <w:lang w:eastAsia="ru-RU"/>
        </w:rPr>
        <w:t xml:space="preserve"> </w:t>
      </w:r>
    </w:p>
    <w:p w14:paraId="43AA0749" w14:textId="77777777" w:rsidR="00303835" w:rsidRPr="00FA5B90" w:rsidRDefault="00303835" w:rsidP="00303835">
      <w:pPr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6CE644DF" w14:textId="77777777" w:rsidR="00303835" w:rsidRPr="00FA5B90" w:rsidRDefault="00303835" w:rsidP="00303835">
      <w:pPr>
        <w:jc w:val="left"/>
        <w:rPr>
          <w:rFonts w:eastAsia="Times New Roman" w:cs="Times New Roman"/>
          <w:color w:val="000000"/>
          <w:szCs w:val="26"/>
          <w:lang w:eastAsia="ru-RU"/>
        </w:rPr>
      </w:pPr>
    </w:p>
    <w:tbl>
      <w:tblPr>
        <w:tblW w:w="9720" w:type="dxa"/>
        <w:tblLayout w:type="fixed"/>
        <w:tblLook w:val="00A0" w:firstRow="1" w:lastRow="0" w:firstColumn="1" w:lastColumn="0" w:noHBand="0" w:noVBand="0"/>
      </w:tblPr>
      <w:tblGrid>
        <w:gridCol w:w="4788"/>
        <w:gridCol w:w="4932"/>
      </w:tblGrid>
      <w:tr w:rsidR="00303835" w:rsidRPr="00FA5B90" w14:paraId="415B8A55" w14:textId="77777777" w:rsidTr="00111E24">
        <w:trPr>
          <w:trHeight w:val="3480"/>
        </w:trPr>
        <w:tc>
          <w:tcPr>
            <w:tcW w:w="4785" w:type="dxa"/>
          </w:tcPr>
          <w:p w14:paraId="58ED188B" w14:textId="77777777" w:rsidR="00303835" w:rsidRPr="00FA5B90" w:rsidRDefault="00303835" w:rsidP="00111E24">
            <w:pPr>
              <w:rPr>
                <w:rFonts w:eastAsia="Times New Roman" w:cs="Times New Roman"/>
                <w:color w:val="000000"/>
                <w:szCs w:val="26"/>
              </w:rPr>
            </w:pPr>
          </w:p>
          <w:p w14:paraId="1AD37E51" w14:textId="77777777" w:rsidR="00303835" w:rsidRPr="00FA5B90" w:rsidRDefault="00303835" w:rsidP="00111E24">
            <w:pPr>
              <w:rPr>
                <w:rFonts w:eastAsia="Times New Roman" w:cs="Times New Roman"/>
                <w:color w:val="000000"/>
                <w:szCs w:val="26"/>
              </w:rPr>
            </w:pPr>
          </w:p>
          <w:p w14:paraId="3EA19988" w14:textId="77777777" w:rsidR="00303835" w:rsidRPr="00FA5B90" w:rsidRDefault="00303835" w:rsidP="00111E24">
            <w:pPr>
              <w:rPr>
                <w:rFonts w:eastAsia="Times New Roman" w:cs="Times New Roman"/>
                <w:color w:val="000000"/>
                <w:szCs w:val="26"/>
              </w:rPr>
            </w:pPr>
          </w:p>
          <w:p w14:paraId="588BC169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</w:p>
          <w:p w14:paraId="0487AC2B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</w:p>
          <w:p w14:paraId="63E4AAFC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</w:p>
          <w:p w14:paraId="56807CAF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</w:p>
          <w:p w14:paraId="3CABDDFE" w14:textId="0987B549" w:rsidR="001F479E" w:rsidRPr="00FA5B90" w:rsidRDefault="001F479E" w:rsidP="001F479E">
            <w:pPr>
              <w:ind w:firstLine="0"/>
              <w:rPr>
                <w:rFonts w:eastAsia="Times New Roman" w:cs="Times New Roman"/>
                <w:color w:val="000000"/>
                <w:szCs w:val="26"/>
              </w:rPr>
            </w:pPr>
          </w:p>
          <w:p w14:paraId="0E7443DB" w14:textId="77777777" w:rsidR="00303835" w:rsidRPr="00FA5B90" w:rsidRDefault="00303835" w:rsidP="00303835">
            <w:pPr>
              <w:jc w:val="righ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FA5B90">
              <w:rPr>
                <w:rFonts w:eastAsia="Times New Roman" w:cs="Times New Roman"/>
                <w:color w:val="000000"/>
                <w:szCs w:val="26"/>
              </w:rPr>
              <w:t>Москва 2024</w:t>
            </w:r>
          </w:p>
        </w:tc>
        <w:tc>
          <w:tcPr>
            <w:tcW w:w="4928" w:type="dxa"/>
          </w:tcPr>
          <w:p w14:paraId="1D5BEFD1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FA5B90">
              <w:rPr>
                <w:rFonts w:eastAsia="Times New Roman" w:cs="Times New Roman"/>
                <w:color w:val="000000"/>
                <w:szCs w:val="26"/>
              </w:rPr>
              <w:t>Руководитель КР</w:t>
            </w:r>
          </w:p>
          <w:p w14:paraId="6B0BF4CC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FA5B90">
              <w:rPr>
                <w:rFonts w:eastAsia="Times New Roman" w:cs="Times New Roman"/>
                <w:color w:val="000000"/>
                <w:szCs w:val="26"/>
              </w:rPr>
              <w:t>Доцент факультета социальных наук.</w:t>
            </w:r>
          </w:p>
          <w:p w14:paraId="44BB2813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</w:p>
          <w:p w14:paraId="5AFD4561" w14:textId="77777777" w:rsidR="00303835" w:rsidRPr="00FA5B90" w:rsidRDefault="00303835" w:rsidP="00111E24">
            <w:pPr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FA5B90">
              <w:rPr>
                <w:rFonts w:eastAsia="Times New Roman" w:cs="Times New Roman"/>
                <w:color w:val="000000"/>
                <w:szCs w:val="26"/>
              </w:rPr>
              <w:t>Попова Елена Павловна.</w:t>
            </w:r>
          </w:p>
        </w:tc>
      </w:tr>
    </w:tbl>
    <w:p w14:paraId="6FD6AE86" w14:textId="77777777" w:rsidR="00035E78" w:rsidRPr="00FA5B90" w:rsidRDefault="00035E78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32027423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9F24E1B" w14:textId="1F1C5376" w:rsidR="00442D0D" w:rsidRPr="00FA5B90" w:rsidRDefault="009A0D7E" w:rsidP="009A0D7E">
          <w:pPr>
            <w:pStyle w:val="a4"/>
            <w:jc w:val="center"/>
            <w:rPr>
              <w:rFonts w:ascii="Times New Roman" w:hAnsi="Times New Roman" w:cs="Times New Roman"/>
              <w:szCs w:val="28"/>
            </w:rPr>
          </w:pPr>
          <w:r w:rsidRPr="00FA5B90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Содержание</w:t>
          </w:r>
        </w:p>
        <w:p w14:paraId="1CCF184A" w14:textId="1AAB298D" w:rsidR="00115D77" w:rsidRPr="00FA5B90" w:rsidRDefault="00442D0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A5B90">
            <w:fldChar w:fldCharType="begin"/>
          </w:r>
          <w:r w:rsidRPr="00FA5B90">
            <w:instrText xml:space="preserve"> TOC \o "1-3" \h \z \u </w:instrText>
          </w:r>
          <w:r w:rsidRPr="00FA5B90">
            <w:fldChar w:fldCharType="separate"/>
          </w:r>
          <w:hyperlink w:anchor="_Toc196598691" w:history="1">
            <w:r w:rsidR="00115D77" w:rsidRPr="00FA5B90">
              <w:rPr>
                <w:rStyle w:val="a5"/>
                <w:noProof/>
              </w:rPr>
              <w:t>Введение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_Toc196598691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3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4FE38727" w14:textId="680B3063" w:rsidR="00115D77" w:rsidRPr="00FA5B90" w:rsidRDefault="003E08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98692" w:history="1">
            <w:r w:rsidR="00115D77" w:rsidRPr="00FA5B90">
              <w:rPr>
                <w:rStyle w:val="a5"/>
                <w:noProof/>
              </w:rPr>
              <w:t>Глава 1. Теоретические основы системы высшего образования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_Toc196598692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5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66C4CCD1" w14:textId="799DB635" w:rsidR="00115D77" w:rsidRPr="00FA5B90" w:rsidRDefault="003E0850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6598693" w:history="1">
            <w:r w:rsidR="00115D77" w:rsidRPr="00FA5B90">
              <w:rPr>
                <w:rStyle w:val="a5"/>
                <w:noProof/>
              </w:rPr>
              <w:t>1.1</w:t>
            </w:r>
            <w:r w:rsidR="00115D77" w:rsidRPr="00FA5B90">
              <w:rPr>
                <w:rFonts w:cstheme="minorBidi"/>
                <w:noProof/>
              </w:rPr>
              <w:tab/>
            </w:r>
            <w:r w:rsidR="00115D77" w:rsidRPr="00FA5B90">
              <w:rPr>
                <w:rStyle w:val="a5"/>
                <w:noProof/>
              </w:rPr>
              <w:t>Функции системы высшего образования России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_Toc196598693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5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26F24C1D" w14:textId="5F2929FA" w:rsidR="00115D77" w:rsidRPr="00FA5B90" w:rsidRDefault="003E0850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6598694" w:history="1">
            <w:r w:rsidR="00115D77" w:rsidRPr="00FA5B90">
              <w:rPr>
                <w:rStyle w:val="a5"/>
                <w:noProof/>
              </w:rPr>
              <w:t>1.2</w:t>
            </w:r>
            <w:r w:rsidR="00115D77" w:rsidRPr="00FA5B90">
              <w:rPr>
                <w:rFonts w:cstheme="minorBidi"/>
                <w:noProof/>
              </w:rPr>
              <w:tab/>
            </w:r>
            <w:r w:rsidR="00115D77" w:rsidRPr="00FA5B90">
              <w:rPr>
                <w:rStyle w:val="a5"/>
                <w:noProof/>
              </w:rPr>
              <w:t>Общие модели и типология вузов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_Toc196598694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6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385EB460" w14:textId="7AA566F0" w:rsidR="00115D77" w:rsidRPr="00FA5B90" w:rsidRDefault="003E085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695" w:history="1">
            <w:r w:rsidR="00115D77" w:rsidRPr="00FA5B90">
              <w:rPr>
                <w:rStyle w:val="a5"/>
                <w:rFonts w:ascii="Times New Roman" w:hAnsi="Times New Roman"/>
                <w:noProof/>
              </w:rPr>
              <w:t>1.2.1 Университет-генератор знаний (гумбольдтовская модель)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_Toc196598695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7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243A976D" w14:textId="3C428985" w:rsidR="00115D77" w:rsidRPr="00FA5B90" w:rsidRDefault="003E085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696" w:history="1">
            <w:r w:rsidR="00115D77" w:rsidRPr="00FA5B90">
              <w:rPr>
                <w:rStyle w:val="a5"/>
                <w:rFonts w:ascii="Times New Roman" w:hAnsi="Times New Roman"/>
                <w:noProof/>
              </w:rPr>
              <w:t>1.2.2 Университет-предприниматель (англо-американская модель)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_Toc196598696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7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76CFEE30" w14:textId="06250A17" w:rsidR="00115D77" w:rsidRPr="00FA5B90" w:rsidRDefault="003E085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697" w:history="1">
            <w:r w:rsidR="00115D77" w:rsidRPr="00FA5B90">
              <w:rPr>
                <w:rStyle w:val="a5"/>
                <w:rFonts w:ascii="Times New Roman" w:hAnsi="Times New Roman"/>
                <w:noProof/>
              </w:rPr>
              <w:t>1.2.3 Смешанный тип университета («третья волна»)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_Toc196598697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9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21F18D1E" w14:textId="4E98B4B5" w:rsidR="00115D77" w:rsidRPr="00FA5B90" w:rsidRDefault="003E0850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6598698" w:history="1">
            <w:r w:rsidR="00115D77" w:rsidRPr="00FA5B90">
              <w:rPr>
                <w:rStyle w:val="a5"/>
                <w:noProof/>
              </w:rPr>
              <w:t>1.3</w:t>
            </w:r>
            <w:r w:rsidR="00115D77" w:rsidRPr="00FA5B90">
              <w:rPr>
                <w:rFonts w:cstheme="minorBidi"/>
                <w:noProof/>
              </w:rPr>
              <w:tab/>
            </w:r>
            <w:r w:rsidR="00115D77" w:rsidRPr="00FA5B90">
              <w:rPr>
                <w:rStyle w:val="a5"/>
                <w:noProof/>
              </w:rPr>
              <w:t>Методы оценки качества деятельности вузов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_Toc196598698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9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4ABF7E1B" w14:textId="22AB14E3" w:rsidR="00115D77" w:rsidRPr="00FA5B90" w:rsidRDefault="003E08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98699" w:history="1">
            <w:r w:rsidR="00115D77" w:rsidRPr="00FA5B90">
              <w:rPr>
                <w:rStyle w:val="a5"/>
                <w:noProof/>
              </w:rPr>
              <w:t>Глава 2. Специфика Российской системы высшего образования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_Toc196598699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11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2F55B337" w14:textId="0CDE6F98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0" w:history="1">
            <w:r w:rsidR="00115D77" w:rsidRPr="00FA5B90">
              <w:rPr>
                <w:rStyle w:val="a5"/>
                <w:noProof/>
              </w:rPr>
              <w:t>2.1 Несоответствие программ рынку труда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_Toc196598700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11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05C923EB" w14:textId="19EB5DE1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1" w:history="1">
            <w:r w:rsidR="00115D77" w:rsidRPr="00FA5B90">
              <w:rPr>
                <w:rStyle w:val="a5"/>
                <w:noProof/>
              </w:rPr>
              <w:t>2.2 Противоречие государственного заказа и рыночного спроса на подготовку специалистов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_Toc196598701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15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1073A72C" w14:textId="4D32FCE7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2" w:history="1">
            <w:r w:rsidR="00115D77" w:rsidRPr="00FA5B90">
              <w:rPr>
                <w:rStyle w:val="a5"/>
                <w:noProof/>
              </w:rPr>
              <w:t>2.3 Государственная политика и ключевые реформы 2020-х годов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_Toc196598702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16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3FE0EA52" w14:textId="2B86AEA6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3" w:history="1">
            <w:r w:rsidR="00115D77" w:rsidRPr="00FA5B90">
              <w:rPr>
                <w:rStyle w:val="a5"/>
                <w:noProof/>
              </w:rPr>
              <w:t>2.4 Проблемы научно-исследовательской функции в российских вузах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_Toc196598703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18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328A337E" w14:textId="5FA05F99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4" w:history="1">
            <w:r w:rsidR="00115D77" w:rsidRPr="00FA5B90">
              <w:rPr>
                <w:rStyle w:val="a5"/>
                <w:noProof/>
              </w:rPr>
              <w:t>2.5 Институциональная дифференциация и её последствия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_Toc196598704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19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7AE62B3B" w14:textId="15E07E60" w:rsidR="00115D77" w:rsidRPr="00FA5B90" w:rsidRDefault="003E08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98705" w:history="1">
            <w:r w:rsidR="00115D77" w:rsidRPr="00FA5B90">
              <w:rPr>
                <w:rStyle w:val="a5"/>
                <w:noProof/>
              </w:rPr>
              <w:t>Глава 3. Эмпирическое исследование структуры и дифференциации российских университетов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_Toc196598705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21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6B157B0E" w14:textId="7BC3112D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6" w:history="1">
            <w:r w:rsidR="00115D77" w:rsidRPr="00FA5B90">
              <w:rPr>
                <w:rStyle w:val="a5"/>
                <w:noProof/>
              </w:rPr>
              <w:t>3.1 Кластеризация университетов по исследовательским характеристикам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_Toc196598706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21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321EB568" w14:textId="21A6A088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7" w:history="1">
            <w:r w:rsidR="00115D77" w:rsidRPr="00FA5B90">
              <w:rPr>
                <w:rStyle w:val="a5"/>
                <w:noProof/>
              </w:rPr>
              <w:t>3.2 Анализ факторов, влияющих на положение в кластере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_Toc196598707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25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5F223138" w14:textId="3405F44A" w:rsidR="00115D77" w:rsidRPr="00FA5B90" w:rsidRDefault="003E08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98708" w:history="1">
            <w:r w:rsidR="00115D77" w:rsidRPr="00FA5B90">
              <w:rPr>
                <w:rStyle w:val="a5"/>
                <w:noProof/>
              </w:rPr>
              <w:t>Глава 4. Рекомендации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_Toc196598708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27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3DC71466" w14:textId="78B9D74C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09" w:history="1">
            <w:r w:rsidR="00115D77" w:rsidRPr="00FA5B90">
              <w:rPr>
                <w:rStyle w:val="a5"/>
                <w:noProof/>
              </w:rPr>
              <w:t>4.1 Чёткое разделение функций вузов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_Toc196598709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28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19666BD7" w14:textId="5421B50F" w:rsidR="00115D77" w:rsidRPr="00FA5B90" w:rsidRDefault="003E08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598710" w:history="1">
            <w:r w:rsidR="00115D77" w:rsidRPr="00FA5B90">
              <w:rPr>
                <w:rStyle w:val="a5"/>
                <w:noProof/>
              </w:rPr>
              <w:t>4.2 Делегирование части образовательных программ внешним онлайн-школам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_Toc196598710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29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0943E855" w14:textId="3E8AEAE2" w:rsidR="00115D77" w:rsidRPr="00FA5B90" w:rsidRDefault="003E08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98711" w:history="1">
            <w:r w:rsidR="00115D77" w:rsidRPr="00FA5B90">
              <w:rPr>
                <w:rStyle w:val="a5"/>
                <w:noProof/>
              </w:rPr>
              <w:t>Список литературы:</w:t>
            </w:r>
            <w:r w:rsidR="00115D77" w:rsidRPr="00FA5B90">
              <w:rPr>
                <w:noProof/>
                <w:webHidden/>
              </w:rPr>
              <w:tab/>
            </w:r>
            <w:r w:rsidR="00115D77" w:rsidRPr="00FA5B90">
              <w:rPr>
                <w:noProof/>
                <w:webHidden/>
              </w:rPr>
              <w:fldChar w:fldCharType="begin"/>
            </w:r>
            <w:r w:rsidR="00115D77" w:rsidRPr="00FA5B90">
              <w:rPr>
                <w:noProof/>
                <w:webHidden/>
              </w:rPr>
              <w:instrText xml:space="preserve"> PAGEREF _Toc196598711 \h </w:instrText>
            </w:r>
            <w:r w:rsidR="00115D77" w:rsidRPr="00FA5B90">
              <w:rPr>
                <w:noProof/>
                <w:webHidden/>
              </w:rPr>
            </w:r>
            <w:r w:rsidR="00115D77" w:rsidRPr="00FA5B90">
              <w:rPr>
                <w:noProof/>
                <w:webHidden/>
              </w:rPr>
              <w:fldChar w:fldCharType="separate"/>
            </w:r>
            <w:r w:rsidR="00115D77" w:rsidRPr="00FA5B90">
              <w:rPr>
                <w:noProof/>
                <w:webHidden/>
              </w:rPr>
              <w:t>32</w:t>
            </w:r>
            <w:r w:rsidR="00115D77" w:rsidRPr="00FA5B90">
              <w:rPr>
                <w:noProof/>
                <w:webHidden/>
              </w:rPr>
              <w:fldChar w:fldCharType="end"/>
            </w:r>
          </w:hyperlink>
        </w:p>
        <w:p w14:paraId="549F6540" w14:textId="7A57FE98" w:rsidR="00442D0D" w:rsidRPr="00FA5B90" w:rsidRDefault="00442D0D" w:rsidP="00B67677">
          <w:pPr>
            <w:spacing w:before="120" w:after="120"/>
            <w:ind w:firstLine="0"/>
            <w:rPr>
              <w:rFonts w:cs="Times New Roman"/>
              <w:szCs w:val="28"/>
            </w:rPr>
          </w:pPr>
          <w:r w:rsidRPr="00FA5B9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1FC2A8F" w14:textId="77777777" w:rsidR="00303835" w:rsidRPr="00FA5B90" w:rsidRDefault="00303835"/>
    <w:p w14:paraId="10F6ABC0" w14:textId="77777777" w:rsidR="009A0D7E" w:rsidRPr="00FA5B90" w:rsidRDefault="009A0D7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FA5B90">
        <w:br w:type="page"/>
      </w:r>
    </w:p>
    <w:p w14:paraId="53441F50" w14:textId="64FE75B6" w:rsidR="00FF3A91" w:rsidRPr="00FA5B90" w:rsidRDefault="00442D0D" w:rsidP="00442D0D">
      <w:pPr>
        <w:pStyle w:val="1"/>
      </w:pPr>
      <w:bookmarkStart w:id="0" w:name="_Toc196598691"/>
      <w:r w:rsidRPr="00FA5B90">
        <w:lastRenderedPageBreak/>
        <w:t>Введение</w:t>
      </w:r>
      <w:bookmarkEnd w:id="0"/>
    </w:p>
    <w:p w14:paraId="4EADE7AA" w14:textId="322FFDF0" w:rsidR="00AC15BE" w:rsidRPr="00FA5B90" w:rsidRDefault="00AC15BE" w:rsidP="007B2E0E">
      <w:r w:rsidRPr="00FA5B90">
        <w:t>Система высшего образования в России на протяжении последних десятилетий находится в состоянии глубокой трансформации, начавшейся ещё в 1990-х годах. Эти изменения были вызваны как внутренними социально-экономическими процессами, так и глобальными вызовами, включая развитие цифровых технологий, усиление международной конкуренции и новые формы сотрудничества (в том числе в рамках БРИКС, СНГ и стран Азии). В результате многолетней адаптации к условиям рыночной экономики и реформирования управления образованием сформировался ряд устойчивых проблем, требующих внимательного анализа и поиска решений.</w:t>
      </w:r>
    </w:p>
    <w:p w14:paraId="471B23B9" w14:textId="77777777" w:rsidR="00B84085" w:rsidRPr="00FA5B90" w:rsidRDefault="00B84085" w:rsidP="00B84085">
      <w:r w:rsidRPr="00FA5B90">
        <w:t>Во-первых, учебные программы часто не успевают за тем, что требует рынок труда: длительные процедуры согласования, бюрократические нормы и инерция образовательных стандартов мешают оперативно обновлять содержание курсов.</w:t>
      </w:r>
    </w:p>
    <w:p w14:paraId="12570573" w14:textId="7497BB7C" w:rsidR="00AC15BE" w:rsidRPr="00FA5B90" w:rsidRDefault="00B84085" w:rsidP="00B84085">
      <w:r w:rsidRPr="00FA5B90">
        <w:t>Во-вторых, вузы стараются развивать и образовательную, и исследовательскую функции, но преподаватели и студенты зачастую разделены между преподаванием и научной работой, вместо того чтобы совмещать их в учебном процессе.</w:t>
      </w:r>
    </w:p>
    <w:p w14:paraId="5251EDD8" w14:textId="31A8E5FA" w:rsidR="00AC15BE" w:rsidRPr="00FA5B90" w:rsidRDefault="00B84085" w:rsidP="007B2E0E">
      <w:r w:rsidRPr="00FA5B90">
        <w:rPr>
          <w:b/>
        </w:rPr>
        <w:t>Цель данной работы</w:t>
      </w:r>
      <w:r w:rsidRPr="00FA5B90">
        <w:t xml:space="preserve"> — проанализировать современное состояние системы высшего образования России, выявить причины указанных противоречий и предложить направления их преодоления.</w:t>
      </w:r>
    </w:p>
    <w:p w14:paraId="76EA0506" w14:textId="77777777" w:rsidR="00B84085" w:rsidRPr="00FA5B90" w:rsidRDefault="00B84085" w:rsidP="00B84085">
      <w:r w:rsidRPr="00FA5B90">
        <w:rPr>
          <w:b/>
          <w:bCs/>
        </w:rPr>
        <w:t>Задачи работы:</w:t>
      </w:r>
    </w:p>
    <w:p w14:paraId="0ACFC180" w14:textId="77777777" w:rsidR="00B84085" w:rsidRPr="00FA5B90" w:rsidRDefault="00B84085" w:rsidP="00B84085">
      <w:pPr>
        <w:numPr>
          <w:ilvl w:val="0"/>
          <w:numId w:val="20"/>
        </w:numPr>
      </w:pPr>
      <w:r w:rsidRPr="00FA5B90">
        <w:t>Определить, что понимается под эффективной интеграцией образовательной и научной деятельности в университетской среде, и проанализировать степень её реализации в российских вузах.</w:t>
      </w:r>
    </w:p>
    <w:p w14:paraId="5F3F0AF6" w14:textId="77777777" w:rsidR="00B84085" w:rsidRPr="00FA5B90" w:rsidRDefault="00B84085" w:rsidP="00B84085">
      <w:pPr>
        <w:numPr>
          <w:ilvl w:val="0"/>
          <w:numId w:val="20"/>
        </w:numPr>
      </w:pPr>
      <w:r w:rsidRPr="00FA5B90">
        <w:t>Исследовать причины и последствия несоответствия между содержанием образовательных программ и потребностями рынка труда.</w:t>
      </w:r>
    </w:p>
    <w:p w14:paraId="109479CE" w14:textId="77777777" w:rsidR="00B84085" w:rsidRPr="00FA5B90" w:rsidRDefault="00B84085" w:rsidP="00B84085">
      <w:pPr>
        <w:numPr>
          <w:ilvl w:val="0"/>
          <w:numId w:val="20"/>
        </w:numPr>
      </w:pPr>
      <w:r w:rsidRPr="00FA5B90">
        <w:t>Провести сравнительный анализ российской модели высшего образования с международными практиками и сформулировать рекомендации по оптимизации системы.</w:t>
      </w:r>
    </w:p>
    <w:p w14:paraId="2B117FAC" w14:textId="77777777" w:rsidR="00B84085" w:rsidRPr="00FA5B90" w:rsidRDefault="00B84085" w:rsidP="00B84085">
      <w:r w:rsidRPr="00FA5B90">
        <w:rPr>
          <w:b/>
          <w:bCs/>
        </w:rPr>
        <w:lastRenderedPageBreak/>
        <w:t>Методы исследования:</w:t>
      </w:r>
    </w:p>
    <w:p w14:paraId="595BA6ED" w14:textId="77777777" w:rsidR="00B84085" w:rsidRPr="00FA5B90" w:rsidRDefault="00B84085" w:rsidP="00B84085">
      <w:pPr>
        <w:numPr>
          <w:ilvl w:val="0"/>
          <w:numId w:val="21"/>
        </w:numPr>
      </w:pPr>
      <w:r w:rsidRPr="00FA5B90">
        <w:t>Анализ статистических данных (в том числе данные Росстата, мониторинги НИУ ВШЭ);</w:t>
      </w:r>
    </w:p>
    <w:p w14:paraId="2C1FA9D7" w14:textId="77777777" w:rsidR="00B84085" w:rsidRPr="00FA5B90" w:rsidRDefault="00B84085" w:rsidP="00B84085">
      <w:pPr>
        <w:numPr>
          <w:ilvl w:val="0"/>
          <w:numId w:val="21"/>
        </w:numPr>
      </w:pPr>
      <w:r w:rsidRPr="00FA5B90">
        <w:t>Сравнительный анализ моделей высшего образования в России и за рубежом;</w:t>
      </w:r>
    </w:p>
    <w:p w14:paraId="2153874A" w14:textId="222566E1" w:rsidR="00442D0D" w:rsidRPr="00FA5B90" w:rsidRDefault="00B84085" w:rsidP="000D5EAA">
      <w:pPr>
        <w:numPr>
          <w:ilvl w:val="0"/>
          <w:numId w:val="21"/>
        </w:numPr>
      </w:pPr>
      <w:r w:rsidRPr="00FA5B90">
        <w:t>Применение модели Random Forest для оценки значимости факторов, влияющих на качество интеграции научной и образовательной функций.</w:t>
      </w:r>
    </w:p>
    <w:p w14:paraId="1C79F02F" w14:textId="77777777" w:rsidR="00303835" w:rsidRPr="00FA5B90" w:rsidRDefault="00442D0D" w:rsidP="00442D0D">
      <w:pPr>
        <w:spacing w:after="160" w:line="259" w:lineRule="auto"/>
        <w:ind w:firstLine="0"/>
        <w:jc w:val="left"/>
      </w:pPr>
      <w:r w:rsidRPr="00FA5B90">
        <w:br w:type="page"/>
      </w:r>
    </w:p>
    <w:p w14:paraId="39E652B0" w14:textId="2D652537" w:rsidR="007678A6" w:rsidRPr="00FA5B90" w:rsidRDefault="00303835" w:rsidP="002E1462">
      <w:pPr>
        <w:pStyle w:val="1"/>
      </w:pPr>
      <w:bookmarkStart w:id="1" w:name="_Toc196598692"/>
      <w:r w:rsidRPr="00FA5B90">
        <w:lastRenderedPageBreak/>
        <w:t>Глава 1. Теоретические основы системы высшего образования</w:t>
      </w:r>
      <w:bookmarkEnd w:id="1"/>
    </w:p>
    <w:p w14:paraId="39FC3C4E" w14:textId="32B5523C" w:rsidR="005D62B4" w:rsidRPr="00FA5B90" w:rsidRDefault="00CA42D9" w:rsidP="00CA42D9">
      <w:pPr>
        <w:pStyle w:val="a3"/>
        <w:numPr>
          <w:ilvl w:val="1"/>
          <w:numId w:val="22"/>
        </w:numPr>
        <w:outlineLvl w:val="1"/>
        <w:rPr>
          <w:b/>
        </w:rPr>
      </w:pPr>
      <w:bookmarkStart w:id="2" w:name="_Toc196598693"/>
      <w:r w:rsidRPr="00FA5B90">
        <w:rPr>
          <w:b/>
        </w:rPr>
        <w:t>Функции системы высшего образования России</w:t>
      </w:r>
      <w:bookmarkEnd w:id="2"/>
    </w:p>
    <w:p w14:paraId="25A45ADE" w14:textId="77777777" w:rsidR="00CA42D9" w:rsidRPr="00FA5B90" w:rsidRDefault="00CA42D9" w:rsidP="00CA42D9">
      <w:pPr>
        <w:rPr>
          <w:lang w:eastAsia="ru-RU"/>
        </w:rPr>
      </w:pPr>
      <w:r w:rsidRPr="00FA5B90">
        <w:rPr>
          <w:lang w:eastAsia="ru-RU"/>
        </w:rPr>
        <w:t>Современная система высшего образования традиционно исполняет четыре основные функции, каждая из которых должна дополнять другие и совместно обеспечивать всестороннее развитие студентов и удовлетворение общественных потребностей.</w:t>
      </w:r>
    </w:p>
    <w:p w14:paraId="65516198" w14:textId="77777777" w:rsidR="00CA42D9" w:rsidRPr="00FA5B90" w:rsidRDefault="00CA42D9" w:rsidP="00CA42D9">
      <w:pPr>
        <w:pStyle w:val="a3"/>
        <w:numPr>
          <w:ilvl w:val="0"/>
          <w:numId w:val="24"/>
        </w:numPr>
        <w:ind w:left="851" w:hanging="284"/>
        <w:rPr>
          <w:lang w:eastAsia="ru-RU"/>
        </w:rPr>
      </w:pPr>
      <w:r w:rsidRPr="00FA5B90">
        <w:rPr>
          <w:b/>
          <w:bCs/>
          <w:lang w:eastAsia="ru-RU"/>
        </w:rPr>
        <w:t>Профессионально-подготовительная функция</w:t>
      </w:r>
    </w:p>
    <w:p w14:paraId="2D3ECF4A" w14:textId="0B12A505" w:rsidR="00CA42D9" w:rsidRPr="00FA5B90" w:rsidRDefault="00CA42D9" w:rsidP="00CA42D9">
      <w:pPr>
        <w:pStyle w:val="a3"/>
        <w:ind w:left="851" w:firstLine="0"/>
        <w:rPr>
          <w:lang w:eastAsia="ru-RU"/>
        </w:rPr>
      </w:pPr>
      <w:r w:rsidRPr="00FA5B90">
        <w:rPr>
          <w:lang w:eastAsia="ru-RU"/>
        </w:rPr>
        <w:t>Ориентирована на формирование у выпускников комплекса теоретических знаний и практических умений, необходимых для успешного выполнения профессиональных задач и быстрой адаптации к изменяющимся запросам рынка труда. В рамках компетентностного подхода подчеркивается важность не только накопления фактических сведений, но и развития навыков решения реальных профессиональных проблем [1].</w:t>
      </w:r>
    </w:p>
    <w:p w14:paraId="7D83213B" w14:textId="77777777" w:rsidR="00CA42D9" w:rsidRPr="00FA5B90" w:rsidRDefault="00CA42D9" w:rsidP="00CA42D9">
      <w:pPr>
        <w:pStyle w:val="a3"/>
        <w:numPr>
          <w:ilvl w:val="0"/>
          <w:numId w:val="24"/>
        </w:numPr>
        <w:ind w:left="851" w:hanging="284"/>
        <w:rPr>
          <w:lang w:eastAsia="ru-RU"/>
        </w:rPr>
      </w:pPr>
      <w:r w:rsidRPr="00FA5B90">
        <w:rPr>
          <w:b/>
          <w:bCs/>
          <w:lang w:eastAsia="ru-RU"/>
        </w:rPr>
        <w:t>Научно-исследовательская функция</w:t>
      </w:r>
    </w:p>
    <w:p w14:paraId="5DA31F26" w14:textId="6C788E1B" w:rsidR="00CA42D9" w:rsidRPr="00FA5B90" w:rsidRDefault="00CA42D9" w:rsidP="00CA42D9">
      <w:pPr>
        <w:pStyle w:val="a3"/>
        <w:ind w:left="851" w:firstLine="0"/>
        <w:rPr>
          <w:lang w:eastAsia="ru-RU"/>
        </w:rPr>
      </w:pPr>
      <w:r w:rsidRPr="00FA5B90">
        <w:rPr>
          <w:lang w:eastAsia="ru-RU"/>
        </w:rPr>
        <w:t>Включает вовлечение преподавателей и студентов в научные проекты и исследования, что способствует развитию критического мышления, умению ставить исследовательские вопросы и генерировать новые знания. В отечественных условиях эта функция часто сталкивается с нехваткой устойчивых механизмов поддержки университетской науки и формальн</w:t>
      </w:r>
      <w:r w:rsidR="00AB3B5E" w:rsidRPr="00FA5B90">
        <w:rPr>
          <w:lang w:eastAsia="ru-RU"/>
        </w:rPr>
        <w:t>ой ориентацией на отчётность</w:t>
      </w:r>
      <w:r w:rsidRPr="00FA5B90">
        <w:rPr>
          <w:lang w:eastAsia="ru-RU"/>
        </w:rPr>
        <w:t>.</w:t>
      </w:r>
    </w:p>
    <w:p w14:paraId="6E636A47" w14:textId="77777777" w:rsidR="00CA42D9" w:rsidRPr="00FA5B90" w:rsidRDefault="00CA42D9" w:rsidP="00CA42D9">
      <w:pPr>
        <w:pStyle w:val="a3"/>
        <w:numPr>
          <w:ilvl w:val="0"/>
          <w:numId w:val="24"/>
        </w:numPr>
        <w:ind w:left="851" w:hanging="284"/>
        <w:rPr>
          <w:lang w:eastAsia="ru-RU"/>
        </w:rPr>
      </w:pPr>
      <w:r w:rsidRPr="00FA5B90">
        <w:rPr>
          <w:b/>
          <w:bCs/>
          <w:lang w:eastAsia="ru-RU"/>
        </w:rPr>
        <w:t>Социально-мобилизационная функция</w:t>
      </w:r>
    </w:p>
    <w:p w14:paraId="55EEE9C4" w14:textId="04A6093D" w:rsidR="00CA42D9" w:rsidRPr="00FA5B90" w:rsidRDefault="00CA42D9" w:rsidP="00CA42D9">
      <w:pPr>
        <w:pStyle w:val="a3"/>
        <w:ind w:left="851" w:firstLine="0"/>
        <w:rPr>
          <w:lang w:eastAsia="ru-RU"/>
        </w:rPr>
      </w:pPr>
      <w:r w:rsidRPr="00FA5B90">
        <w:rPr>
          <w:lang w:eastAsia="ru-RU"/>
        </w:rPr>
        <w:t>Обеспечивает доступ к высшему образованию для широких слоёв населения, способствует социальной и профессиональной мобильности выпускников. Теория «человеческого капитала» рассматривает образование как инвестицию в будущие доходы, однако массовизация приводит к тому, что диплом перестает гарантировать высокие карьерные перспективы и усиливает конкуренцию выпускников [3].</w:t>
      </w:r>
    </w:p>
    <w:p w14:paraId="40150A51" w14:textId="77777777" w:rsidR="00CA42D9" w:rsidRPr="00FA5B90" w:rsidRDefault="00CA42D9" w:rsidP="00CA42D9">
      <w:pPr>
        <w:pStyle w:val="a3"/>
        <w:numPr>
          <w:ilvl w:val="0"/>
          <w:numId w:val="24"/>
        </w:numPr>
        <w:ind w:left="851" w:hanging="284"/>
        <w:rPr>
          <w:lang w:eastAsia="ru-RU"/>
        </w:rPr>
      </w:pPr>
      <w:r w:rsidRPr="00FA5B90">
        <w:rPr>
          <w:b/>
          <w:bCs/>
          <w:lang w:eastAsia="ru-RU"/>
        </w:rPr>
        <w:t>Культурно-воспитательная функция</w:t>
      </w:r>
    </w:p>
    <w:p w14:paraId="498AF2CC" w14:textId="3CA27952" w:rsidR="00CA42D9" w:rsidRPr="00FA5B90" w:rsidRDefault="00CA42D9" w:rsidP="00CA42D9">
      <w:pPr>
        <w:pStyle w:val="a3"/>
        <w:ind w:left="851" w:firstLine="0"/>
        <w:rPr>
          <w:lang w:eastAsia="ru-RU"/>
        </w:rPr>
      </w:pPr>
      <w:r w:rsidRPr="00FA5B90">
        <w:rPr>
          <w:lang w:eastAsia="ru-RU"/>
        </w:rPr>
        <w:lastRenderedPageBreak/>
        <w:t>Направлена на формирование у студентов гражданской позиции, этических норм и коммуникативных компетенций, а также на сохранение и развитие национального и мирового культурного наследия. Несмотря на свою значимость, в современных рыночных условиях она зачастую отходит на второй план в пользу прикладной подготовки и научной активности.</w:t>
      </w:r>
    </w:p>
    <w:p w14:paraId="2DC8E31A" w14:textId="77777777" w:rsidR="00CA42D9" w:rsidRPr="00FA5B90" w:rsidRDefault="00CA42D9" w:rsidP="00CA42D9">
      <w:pPr>
        <w:rPr>
          <w:lang w:eastAsia="ru-RU"/>
        </w:rPr>
      </w:pPr>
    </w:p>
    <w:p w14:paraId="729159D8" w14:textId="315F3D8C" w:rsidR="00CA42D9" w:rsidRPr="00FA5B90" w:rsidRDefault="00CA42D9" w:rsidP="00CA42D9">
      <w:pPr>
        <w:rPr>
          <w:lang w:eastAsia="ru-RU"/>
        </w:rPr>
      </w:pPr>
      <w:r w:rsidRPr="00FA5B90">
        <w:rPr>
          <w:lang w:eastAsia="ru-RU"/>
        </w:rPr>
        <w:t>Эффективность работы вузов оценивается по тому, насколько сбалансированно и согласованно эти четыре функции реализуются через учебные программы, научные проекты и внеклассные практики. Смещение акцентов в пользу одной функции (например, массовая подготовка кадров или приоритет публикаций) ведёт к ослаблению остальных и снижает общую результативность системы.</w:t>
      </w:r>
    </w:p>
    <w:p w14:paraId="19FC5736" w14:textId="77777777" w:rsidR="00CA42D9" w:rsidRPr="00FA5B90" w:rsidRDefault="00CA42D9" w:rsidP="00CA42D9">
      <w:r w:rsidRPr="00FA5B90">
        <w:t>Таким образом, университеты оказываются в ситуации, когда им необходимо одновременно соответствовать требованиям государства (ориентация на подготовку кадров для приоритетных отраслей), рыночным механизмам (борьба за студентов и финансирование) и академическим стандартам (обеспечение качества научных исследований и образовательных программ) [4]. Такая многозадачность не только усложняет внутреннюю организацию вузов, но и ведёт к тому, что ни одна из функций не реализуется в полном объёме. В результате усиливается институциональное напряжение, при котором система высшего образования оказывается неспособной последовательно решать поставленные перед ней задачи.</w:t>
      </w:r>
    </w:p>
    <w:p w14:paraId="46B5CAD9" w14:textId="0227497A" w:rsidR="00CA42D9" w:rsidRPr="00FA5B90" w:rsidRDefault="00A25DA8" w:rsidP="00A25DA8">
      <w:pPr>
        <w:pStyle w:val="a3"/>
        <w:numPr>
          <w:ilvl w:val="1"/>
          <w:numId w:val="22"/>
        </w:numPr>
        <w:outlineLvl w:val="1"/>
        <w:rPr>
          <w:b/>
        </w:rPr>
      </w:pPr>
      <w:bookmarkStart w:id="3" w:name="_Toc196598694"/>
      <w:r w:rsidRPr="00FA5B90">
        <w:rPr>
          <w:b/>
        </w:rPr>
        <w:t>Общие модели и типология вузов</w:t>
      </w:r>
      <w:bookmarkEnd w:id="3"/>
    </w:p>
    <w:p w14:paraId="70D8BE19" w14:textId="1F4769D8" w:rsidR="00A25DA8" w:rsidRPr="00FA5B90" w:rsidRDefault="00A25DA8" w:rsidP="00334036">
      <w:r w:rsidRPr="00FA5B90">
        <w:t>В мировой практике выделяют несколько идеальных моделей университетов, отражающих разные приоритеты и задачи. Одни акцентируют фундаментальную науку и академическую свободу, другие — коммерческую деятельность и тесное сотрудничество с индустрией, а третьи пытаются сочетать все функции в одном учреждении, добавляя социальную и инновационную миссии.</w:t>
      </w:r>
    </w:p>
    <w:p w14:paraId="4601AA4F" w14:textId="77777777" w:rsidR="00A25DA8" w:rsidRPr="00FA5B90" w:rsidRDefault="00A25DA8" w:rsidP="00254C67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4" w:name="_Toc196598695"/>
      <w:r w:rsidRPr="00FA5B90">
        <w:rPr>
          <w:rFonts w:ascii="Times New Roman" w:hAnsi="Times New Roman" w:cs="Times New Roman"/>
          <w:b/>
          <w:color w:val="auto"/>
          <w:sz w:val="28"/>
        </w:rPr>
        <w:lastRenderedPageBreak/>
        <w:t>1.2.1 Университет-генератор знаний (гумбольдтовская модель)</w:t>
      </w:r>
      <w:bookmarkEnd w:id="4"/>
    </w:p>
    <w:p w14:paraId="3ACD8818" w14:textId="69642879" w:rsidR="00A25DA8" w:rsidRPr="00FA5B90" w:rsidRDefault="00A25DA8" w:rsidP="00A25DA8">
      <w:r w:rsidRPr="00FA5B90">
        <w:t>Эта модель восходит к идеям В. фон Гумбольдта (1810) и ставит во главу угла единство преподавания и исследования, академическую свободу и автономию вузов. Основная цель — порождение нового знания (Bildung), причём преподаватели одновременно выступают активными учёными, а учебный процесс строится вокруг актуальных научных вопрос</w:t>
      </w:r>
      <w:r w:rsidR="00254C67" w:rsidRPr="00FA5B90">
        <w:t>ов [стр. 49, 14].</w:t>
      </w:r>
    </w:p>
    <w:p w14:paraId="7E938501" w14:textId="4F7D00F2" w:rsidR="00D11599" w:rsidRPr="00FA5B90" w:rsidRDefault="00254C67" w:rsidP="00D11599">
      <w:r w:rsidRPr="00FA5B90">
        <w:t>Несмотря на давление рынка и государственных регуляций, гумбольдтовский подход рассматривается как образец развития интеллектуальной элиты и генерации новых теорий и методологий</w:t>
      </w:r>
      <w:r w:rsidR="00D11599" w:rsidRPr="00FA5B90">
        <w:t>. Но на практике она сталкивается с рядом ограничений. Во-первых, акцент на фундаментальной науке и академической свободе часто ведёт к слабой привязке учебных программ к потребностям практики: студенты получают глубокие теоретические знания, но недостаточно развивают прикладные навыки и опыт работы в реальных условиях. Во-вторых, автономия вузов и свобода преподавания, присущие классической модели, иногда перерастают в академическую изоляцию: без внешних стимулов и механизмов оценки качества сложнее обеспечить регулярное обновление курсов и своевременное внедрение инноваций. Наконец, ставка на науку «ради науки» требует значительных ресурсов, и в современных условиях ограничения государственного финансирования делают такую модель уязвимой к бюджетным сокращениям и нестабильности поддержки.</w:t>
      </w:r>
    </w:p>
    <w:p w14:paraId="7A4ADA89" w14:textId="2DC23E36" w:rsidR="00334036" w:rsidRPr="00FA5B90" w:rsidRDefault="00334036" w:rsidP="00334036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5" w:name="_Toc196598696"/>
      <w:r w:rsidRPr="00FA5B90">
        <w:rPr>
          <w:rFonts w:ascii="Times New Roman" w:hAnsi="Times New Roman" w:cs="Times New Roman"/>
          <w:b/>
          <w:color w:val="auto"/>
          <w:sz w:val="28"/>
        </w:rPr>
        <w:t>1.2.2 Университет-предприниматель (англо-американская модель)</w:t>
      </w:r>
      <w:bookmarkEnd w:id="5"/>
    </w:p>
    <w:p w14:paraId="5B165A2D" w14:textId="34700E77" w:rsidR="00334036" w:rsidRPr="00FA5B90" w:rsidRDefault="00334036" w:rsidP="00334036">
      <w:r w:rsidRPr="00FA5B90">
        <w:t xml:space="preserve">В последние десятилетия вырос интерес к модели «предпринимательского» университета, которая получила развитие на англо-американском пространстве. В таких вузах основная мотивация смещается от чистой академической деятельности к формированию доходов через коммерциализацию научных разработок и платные образовательные программы [стр 445, 15]. Преподаватели здесь нередко выполняют роль </w:t>
      </w:r>
      <w:r w:rsidRPr="00FA5B90">
        <w:lastRenderedPageBreak/>
        <w:t>«менеджеров знаний», отвечая не только за преподавание и исследования, но и за поиск грантов, партнёрств с индустрией и запуск стартапов.</w:t>
      </w:r>
    </w:p>
    <w:p w14:paraId="05537E85" w14:textId="7E02E536" w:rsidR="00334036" w:rsidRPr="00FA5B90" w:rsidRDefault="00334036" w:rsidP="00334036">
      <w:r w:rsidRPr="00FA5B90">
        <w:t>В подобной системе университет рассматривается как экономический агент:</w:t>
      </w:r>
    </w:p>
    <w:p w14:paraId="0B38460B" w14:textId="77777777" w:rsidR="00334036" w:rsidRPr="00FA5B90" w:rsidRDefault="00334036" w:rsidP="00334036">
      <w:pPr>
        <w:pStyle w:val="a3"/>
        <w:numPr>
          <w:ilvl w:val="0"/>
          <w:numId w:val="24"/>
        </w:numPr>
        <w:ind w:left="851" w:hanging="284"/>
      </w:pPr>
      <w:r w:rsidRPr="00FA5B90">
        <w:t>Исследования направлены на решение конкретных прикладных задач, результатом которых становятся патенты, лицензии и технологические компании.</w:t>
      </w:r>
    </w:p>
    <w:p w14:paraId="1F8D1286" w14:textId="77777777" w:rsidR="00334036" w:rsidRPr="00FA5B90" w:rsidRDefault="00334036" w:rsidP="00334036">
      <w:pPr>
        <w:pStyle w:val="a3"/>
        <w:numPr>
          <w:ilvl w:val="0"/>
          <w:numId w:val="24"/>
        </w:numPr>
        <w:ind w:left="851" w:hanging="284"/>
      </w:pPr>
      <w:r w:rsidRPr="00FA5B90">
        <w:t>Активно развиваются совместные проекты с бизнес-структурами — от подготовительных курсов для сотрудников до корпоративных программ переподготовки.</w:t>
      </w:r>
    </w:p>
    <w:p w14:paraId="6F250DA0" w14:textId="77777777" w:rsidR="00334036" w:rsidRPr="00FA5B90" w:rsidRDefault="00334036" w:rsidP="00334036">
      <w:pPr>
        <w:pStyle w:val="a3"/>
        <w:numPr>
          <w:ilvl w:val="0"/>
          <w:numId w:val="24"/>
        </w:numPr>
        <w:ind w:left="851" w:hanging="284"/>
      </w:pPr>
      <w:r w:rsidRPr="00FA5B90">
        <w:t>Финансовая автономия достигается за счёт доходов от исследований, консалтинга и платного образования, что позволяет ослаблять зависимость от государственного бюджета.</w:t>
      </w:r>
    </w:p>
    <w:p w14:paraId="54C70BB6" w14:textId="219869F1" w:rsidR="00A25DA8" w:rsidRPr="00FA5B90" w:rsidRDefault="00334036" w:rsidP="00334036">
      <w:pPr>
        <w:pStyle w:val="a3"/>
        <w:numPr>
          <w:ilvl w:val="0"/>
          <w:numId w:val="24"/>
        </w:numPr>
        <w:ind w:left="851" w:hanging="284"/>
      </w:pPr>
      <w:r w:rsidRPr="00FA5B90">
        <w:t>Организация работы строится по принципам New Public Management: вводятся KPI-ориентированные контракты для сотрудников, маркетинговые службы для привлечения студентов и гибкие бюджеты под конкретные проекты.</w:t>
      </w:r>
    </w:p>
    <w:p w14:paraId="12683EE5" w14:textId="2A40E507" w:rsidR="00A25DA8" w:rsidRPr="00FA5B90" w:rsidRDefault="00D11599" w:rsidP="004A279B">
      <w:r w:rsidRPr="00FA5B90">
        <w:t>Университеты-предприниматели активно внедряют практики коммерциализации исследований и New Public Management, но и этот подход не лишён минусов. Во-первых, давление на привлечение внешнего финансирования и ориентация на доходы часто смещает приоритет в сторону выгодных проектов, оставляя без внимания менее рентабельные образовательные и научные направления. Во-вторых, KPI-контракты и конкуренция за гранты приводят к «академическому менеджериализму»: преподаватели вынуждены тратить больше времени на отчёты и поиск средств, чем на подготовку студ</w:t>
      </w:r>
      <w:r w:rsidR="004A279B" w:rsidRPr="00FA5B90">
        <w:t>ентов и глубокую научную работу</w:t>
      </w:r>
      <w:r w:rsidRPr="00FA5B90">
        <w:t>. В результате внутри вуза формируется среда, где наиболее коммерчески привлекательные подразделения получают наибольшие ресурсы, а менее «маркетинговые» направления испытывают дефицит внимания и поддержки.</w:t>
      </w:r>
    </w:p>
    <w:p w14:paraId="169F173C" w14:textId="65CCA353" w:rsidR="004A279B" w:rsidRPr="00FA5B90" w:rsidRDefault="004A279B" w:rsidP="004A279B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6" w:name="_Toc196598697"/>
      <w:r w:rsidRPr="00FA5B90">
        <w:rPr>
          <w:rFonts w:ascii="Times New Roman" w:hAnsi="Times New Roman" w:cs="Times New Roman"/>
          <w:b/>
          <w:color w:val="auto"/>
          <w:sz w:val="28"/>
        </w:rPr>
        <w:lastRenderedPageBreak/>
        <w:t>1.2.3 Смешанный тип университета («третья волна»)</w:t>
      </w:r>
      <w:bookmarkEnd w:id="6"/>
    </w:p>
    <w:p w14:paraId="76A295F8" w14:textId="4DF5DCAA" w:rsidR="004A279B" w:rsidRPr="00FA5B90" w:rsidRDefault="004A279B" w:rsidP="004A279B">
      <w:r w:rsidRPr="00FA5B90">
        <w:t>Смешанный тип университетов, или «университеты третьей волны» (термин из работ Etzkowitz, 1997 и Douglass, 2016), сочетает научно-исследовательскую и предпринимательскую функции. В отличие от классических вузов (образование + наука), они активно вовлечены в коммерциализацию знаний: создание стартапов, патентование, консалтинг для бизнеса и решение социальных задач [стр. 27-28. 16]</w:t>
      </w:r>
    </w:p>
    <w:p w14:paraId="313F179B" w14:textId="4573C08A" w:rsidR="004A279B" w:rsidRPr="00FA5B90" w:rsidRDefault="004A279B" w:rsidP="004A279B">
      <w:r w:rsidRPr="00FA5B90">
        <w:t>Главное преимущество такой модели заключается в создании устойчивой финансовой базы [стр. 29, 16]. Доходы от коммерческих проектов и консалтинговых услуг позволяют вузам снижать зависимость от государственного финансирования. При этом студенты получают уникальную возможность применять знания на практике, что значительно повышает их профессиональную подготовку.</w:t>
      </w:r>
    </w:p>
    <w:p w14:paraId="6C1F4451" w14:textId="753A6DA1" w:rsidR="004A279B" w:rsidRPr="00FA5B90" w:rsidRDefault="004A279B" w:rsidP="004A279B">
      <w:r w:rsidRPr="00FA5B90">
        <w:t>Однако у смешанной модели есть и серьезные недостатки. Исследователи обращают внимание на конфликт между традиционными академическими ценностями и коммерческими интересами. Давление на ученых, вынужденных одновременно заниматься фундаментальными исследованиями и прикладными разработками, может снижать качество и той, и другой деятельности.</w:t>
      </w:r>
    </w:p>
    <w:p w14:paraId="5D8CBDA9" w14:textId="2DD246D6" w:rsidR="004A279B" w:rsidRPr="00FA5B90" w:rsidRDefault="004A279B" w:rsidP="004A279B">
      <w:r w:rsidRPr="00FA5B90">
        <w:t>Эти три модели показывают полярные варианты организации университета — от автономных «храмов знаний» до активных участников социально-экономических процессов, а также дают основу для анализа того, каким путём идёт современное высшее образование.</w:t>
      </w:r>
    </w:p>
    <w:p w14:paraId="60DB89BB" w14:textId="6D9E622B" w:rsidR="004A279B" w:rsidRPr="00FA5B90" w:rsidRDefault="004A279B" w:rsidP="004A279B">
      <w:pPr>
        <w:pStyle w:val="a3"/>
        <w:numPr>
          <w:ilvl w:val="1"/>
          <w:numId w:val="22"/>
        </w:numPr>
        <w:outlineLvl w:val="1"/>
        <w:rPr>
          <w:b/>
        </w:rPr>
      </w:pPr>
      <w:bookmarkStart w:id="7" w:name="_Toc196598698"/>
      <w:r w:rsidRPr="00FA5B90">
        <w:rPr>
          <w:b/>
        </w:rPr>
        <w:t>Методы оценки качества деятельности вузов</w:t>
      </w:r>
      <w:bookmarkEnd w:id="7"/>
    </w:p>
    <w:p w14:paraId="6BB5CF5E" w14:textId="77777777" w:rsidR="007B1107" w:rsidRPr="00FA5B90" w:rsidRDefault="007B1107" w:rsidP="007B1107">
      <w:r w:rsidRPr="00FA5B90">
        <w:t>В условиях растущего институционального напряжения особую актуальность приобретает вопрос об оценке эффективности системы высшего образования. Понимание того, насколько успешно вузы выполняют свои функции, требует не только сбора статистических данных, но и обращения к теоретическим моделям, объясняющим природу «качества» в образовании.</w:t>
      </w:r>
    </w:p>
    <w:p w14:paraId="38E1326C" w14:textId="77777777" w:rsidR="007B1107" w:rsidRPr="00FA5B90" w:rsidRDefault="007B1107" w:rsidP="007B1107"/>
    <w:p w14:paraId="32583B04" w14:textId="77777777" w:rsidR="007B1107" w:rsidRPr="00FA5B90" w:rsidRDefault="007B1107" w:rsidP="007B1107">
      <w:r w:rsidRPr="00FA5B90">
        <w:lastRenderedPageBreak/>
        <w:t>В научной литературе под качеством высшего образования понимается соответствие между целями, процессами и результатами образовательной деятельности. Существуют разные подходы к оценке эффективности:</w:t>
      </w:r>
    </w:p>
    <w:p w14:paraId="7DDCE3DD" w14:textId="77777777" w:rsidR="007B1107" w:rsidRPr="00FA5B90" w:rsidRDefault="007B1107" w:rsidP="007B1107"/>
    <w:p w14:paraId="6CD179C1" w14:textId="77777777" w:rsidR="007B1107" w:rsidRPr="00FA5B90" w:rsidRDefault="007B1107" w:rsidP="007B1107">
      <w:pPr>
        <w:pStyle w:val="a3"/>
        <w:numPr>
          <w:ilvl w:val="0"/>
          <w:numId w:val="25"/>
        </w:numPr>
        <w:ind w:left="851" w:hanging="284"/>
      </w:pPr>
      <w:r w:rsidRPr="00FA5B90">
        <w:t>Целевой подход (goal-oriented) акцентирует внимание на соответствии результатов заранее поставленным задачам (например, подготовка кадров, научная продукция).</w:t>
      </w:r>
    </w:p>
    <w:p w14:paraId="1951AFB7" w14:textId="77777777" w:rsidR="007B1107" w:rsidRPr="00FA5B90" w:rsidRDefault="007B1107" w:rsidP="007B1107">
      <w:pPr>
        <w:pStyle w:val="a3"/>
        <w:numPr>
          <w:ilvl w:val="0"/>
          <w:numId w:val="25"/>
        </w:numPr>
        <w:ind w:left="851" w:hanging="284"/>
      </w:pPr>
      <w:r w:rsidRPr="00FA5B90">
        <w:t>Ресурсно-процессный подход оценивает качество через организацию процессов — кадровые ресурсы, учебные планы, вовлечённость студентов (Dill &amp; Beerkens, 2010).</w:t>
      </w:r>
    </w:p>
    <w:p w14:paraId="50F0B1EE" w14:textId="77777777" w:rsidR="007B1107" w:rsidRPr="00FA5B90" w:rsidRDefault="007B1107" w:rsidP="007B1107">
      <w:pPr>
        <w:pStyle w:val="a3"/>
        <w:numPr>
          <w:ilvl w:val="0"/>
          <w:numId w:val="25"/>
        </w:numPr>
        <w:ind w:left="851" w:hanging="284"/>
      </w:pPr>
      <w:r w:rsidRPr="00FA5B90">
        <w:t>Потребительский подход (stakeholder model) делает акцент на удовлетворённости внешних и внутренних потребителей — студентов, работодателей, государства (Harvey &amp; Green, 1993).</w:t>
      </w:r>
    </w:p>
    <w:p w14:paraId="1FBED401" w14:textId="0F086AAA" w:rsidR="004A279B" w:rsidRPr="00FA5B90" w:rsidRDefault="007B1107" w:rsidP="007B1107">
      <w:pPr>
        <w:pStyle w:val="a3"/>
        <w:numPr>
          <w:ilvl w:val="0"/>
          <w:numId w:val="25"/>
        </w:numPr>
        <w:ind w:left="851" w:hanging="284"/>
      </w:pPr>
      <w:r w:rsidRPr="00FA5B90">
        <w:t>Рейтинговый/метрический подход — типичный для глобальной системы университетов, использует агрегированные количественные показатели (Scopus, доходы от НИОКР и др.), но часто подвергается критике за формализм и игнорирование контекста.</w:t>
      </w:r>
    </w:p>
    <w:p w14:paraId="3488DD6F" w14:textId="3BD7C53D" w:rsidR="004A279B" w:rsidRPr="00FA5B90" w:rsidRDefault="007B1107" w:rsidP="004A279B">
      <w:r w:rsidRPr="00FA5B90">
        <w:t xml:space="preserve">В данной работе в качестве рабочего определения эффективности используется сочетание </w:t>
      </w:r>
      <w:r w:rsidRPr="00FA5B90">
        <w:rPr>
          <w:rStyle w:val="af2"/>
          <w:b w:val="0"/>
        </w:rPr>
        <w:t>целевого, метрического и потребительского подходов</w:t>
      </w:r>
      <w:r w:rsidRPr="00FA5B90">
        <w:t>, согласно которому эффективность — это степень соответствия фактических результатов деятельности вузов тем задачам, которые ставятся перед системой на уровне государства, общества и рынка труда.</w:t>
      </w:r>
    </w:p>
    <w:p w14:paraId="2017FEB1" w14:textId="59258BF8" w:rsidR="005A2C39" w:rsidRPr="00FA5B90" w:rsidRDefault="00BE0414" w:rsidP="005A2C39">
      <w:r w:rsidRPr="00FA5B90">
        <w:t xml:space="preserve">Поэтому </w:t>
      </w:r>
      <w:r w:rsidR="005A2C39" w:rsidRPr="00FA5B90">
        <w:t>в качестве основных критериев оценки эффективности российской университетской системы предлагается использовать следующие показатели:</w:t>
      </w:r>
    </w:p>
    <w:p w14:paraId="53927DDD" w14:textId="77777777" w:rsidR="005A2C39" w:rsidRPr="00FA5B90" w:rsidRDefault="005A2C39" w:rsidP="005A2C39">
      <w:pPr>
        <w:pStyle w:val="a3"/>
        <w:numPr>
          <w:ilvl w:val="0"/>
          <w:numId w:val="14"/>
        </w:numPr>
      </w:pPr>
      <w:r w:rsidRPr="00FA5B90">
        <w:t xml:space="preserve">Показатели профессионально-подготовительной функции: </w:t>
      </w:r>
    </w:p>
    <w:p w14:paraId="35F37A43" w14:textId="77777777" w:rsidR="005A2C39" w:rsidRPr="00FA5B90" w:rsidRDefault="005A2C39" w:rsidP="005A2C39">
      <w:r w:rsidRPr="00FA5B90">
        <w:t>– уровень трудоустройства выпускников по специальности;</w:t>
      </w:r>
    </w:p>
    <w:p w14:paraId="58A63EF2" w14:textId="77777777" w:rsidR="005A2C39" w:rsidRPr="00FA5B90" w:rsidRDefault="005A2C39" w:rsidP="00BE0414">
      <w:pPr>
        <w:ind w:left="851" w:firstLine="0"/>
      </w:pPr>
      <w:r w:rsidRPr="00FA5B90">
        <w:t>– соответствие компетенций выпускников требованиям работодателей (опросы, экспертизы);</w:t>
      </w:r>
    </w:p>
    <w:p w14:paraId="5ED57232" w14:textId="77777777" w:rsidR="005A2C39" w:rsidRPr="00FA5B90" w:rsidRDefault="005A2C39" w:rsidP="005A2C39">
      <w:pPr>
        <w:pStyle w:val="a3"/>
        <w:numPr>
          <w:ilvl w:val="0"/>
          <w:numId w:val="14"/>
        </w:numPr>
      </w:pPr>
      <w:r w:rsidRPr="00FA5B90">
        <w:lastRenderedPageBreak/>
        <w:t xml:space="preserve">Показатели научно-исследовательской функции: </w:t>
      </w:r>
    </w:p>
    <w:p w14:paraId="3D8AE25F" w14:textId="77777777" w:rsidR="005A2C39" w:rsidRPr="00FA5B90" w:rsidRDefault="005A2C39" w:rsidP="005A2C39">
      <w:r w:rsidRPr="00FA5B90">
        <w:t>– публикационная активность (в РИНЦ, Scopus, WoS);</w:t>
      </w:r>
    </w:p>
    <w:p w14:paraId="141B3A2B" w14:textId="77777777" w:rsidR="005A2C39" w:rsidRPr="00FA5B90" w:rsidRDefault="005A2C39" w:rsidP="00BE0414">
      <w:pPr>
        <w:ind w:left="993" w:firstLine="0"/>
      </w:pPr>
      <w:r w:rsidRPr="00FA5B90">
        <w:t>– объем привлечённых средств на НИОКР (включая государственные гранты и договоры с бизнесом);</w:t>
      </w:r>
    </w:p>
    <w:p w14:paraId="4A1BD4C9" w14:textId="336BB278" w:rsidR="005D62B4" w:rsidRPr="00FA5B90" w:rsidRDefault="005A2C39" w:rsidP="00BE0414">
      <w:pPr>
        <w:ind w:left="851" w:firstLine="0"/>
      </w:pPr>
      <w:r w:rsidRPr="00FA5B90">
        <w:t>– степень вовлеченности студентов в исследовательские проекты (наличие студенческих НИР, доля магистрантов и аспирантов, занятых в научной деятельности).</w:t>
      </w:r>
    </w:p>
    <w:p w14:paraId="0F4893E8" w14:textId="724BF6D8" w:rsidR="005D62B4" w:rsidRPr="00FA5B90" w:rsidRDefault="00BE0414" w:rsidP="000962BB">
      <w:r w:rsidRPr="00FA5B90">
        <w:t>Х</w:t>
      </w:r>
      <w:r w:rsidR="007B1107" w:rsidRPr="00FA5B90">
        <w:t>отя перечисленные показатели активно используются в практике (в том числе при формировании программ развития вузов), они требуют комплексной интерпретации, контекстуализации и корректировки в зависимости от миссии и типа учреждения. Эти ограничения будут учтены в ходе эмпирического анализа в последующих главах.</w:t>
      </w:r>
    </w:p>
    <w:p w14:paraId="4B010392" w14:textId="63AF4AB6" w:rsidR="005D62B4" w:rsidRPr="00FA5B90" w:rsidRDefault="00D5046A" w:rsidP="00D5046A">
      <w:pPr>
        <w:pStyle w:val="1"/>
      </w:pPr>
      <w:bookmarkStart w:id="8" w:name="_Toc196598699"/>
      <w:r w:rsidRPr="00FA5B90">
        <w:t>Глава 2. Специфика Российской системы высшего образования</w:t>
      </w:r>
      <w:bookmarkEnd w:id="8"/>
    </w:p>
    <w:p w14:paraId="3484E775" w14:textId="7DA773CA" w:rsidR="00D5046A" w:rsidRPr="00FA5B90" w:rsidRDefault="00595678" w:rsidP="00595678">
      <w:pPr>
        <w:pStyle w:val="2"/>
      </w:pPr>
      <w:bookmarkStart w:id="9" w:name="_Toc196598700"/>
      <w:r w:rsidRPr="00FA5B90">
        <w:t>2.1 Несоответствие программ рынку труда</w:t>
      </w:r>
      <w:bookmarkEnd w:id="9"/>
    </w:p>
    <w:p w14:paraId="28C0BC63" w14:textId="71C244A4" w:rsidR="00D5046A" w:rsidRPr="00FA5B90" w:rsidRDefault="00595678" w:rsidP="00595678">
      <w:r w:rsidRPr="00FA5B90">
        <w:t xml:space="preserve">В рамках компетентностного подхода, образование рассматривается как процесс формирования не только теоретических знаний, но и прикладных навыков, необходимых для успешной профессиональной деятельности [1]. Однако на практике значительная часть выпускников оказывается неготовой к решению реальных рабочих задач, вынужденно восполняя пробелы в знаниях уже после трудоустройства – через корпоративное обучение, онлайн-курсы или самостоятельное освоение навыков. </w:t>
      </w:r>
    </w:p>
    <w:p w14:paraId="3021C671" w14:textId="03D03139" w:rsidR="00595678" w:rsidRPr="00FA5B90" w:rsidRDefault="00595678" w:rsidP="00595678">
      <w:r w:rsidRPr="00FA5B90">
        <w:t>Особенно остро нехватка практических навыков ощущается у студентов технологических специальностей, что подтверждает наличие разрыва между содержанием учебных программ и реальными запросами работодателей [9]. Причины такого несоответствия могут быть разными:</w:t>
      </w:r>
    </w:p>
    <w:p w14:paraId="296A1D6A" w14:textId="77777777" w:rsidR="00595678" w:rsidRPr="00FA5B90" w:rsidRDefault="00595678" w:rsidP="00595678">
      <w:pPr>
        <w:pStyle w:val="a3"/>
        <w:numPr>
          <w:ilvl w:val="0"/>
          <w:numId w:val="14"/>
        </w:numPr>
      </w:pPr>
      <w:r w:rsidRPr="00FA5B90">
        <w:t>часть студентов действительно не усваивает материал из-за пропусков занятий (например, совмещая учёбу с работой);</w:t>
      </w:r>
    </w:p>
    <w:p w14:paraId="4799562A" w14:textId="77777777" w:rsidR="00595678" w:rsidRPr="00FA5B90" w:rsidRDefault="00595678" w:rsidP="00595678">
      <w:pPr>
        <w:pStyle w:val="a3"/>
        <w:numPr>
          <w:ilvl w:val="0"/>
          <w:numId w:val="14"/>
        </w:numPr>
      </w:pPr>
      <w:r w:rsidRPr="00FA5B90">
        <w:lastRenderedPageBreak/>
        <w:t>учебные программы строятся не столько под требования профессии, сколько с учётом запросов и интересов студентов (большая вариативная часть вместо чёткой профессиональной траектории) [7];</w:t>
      </w:r>
    </w:p>
    <w:p w14:paraId="39C65F5B" w14:textId="1D0E45D2" w:rsidR="00D5046A" w:rsidRPr="00FA5B90" w:rsidRDefault="00595678" w:rsidP="00595678">
      <w:pPr>
        <w:pStyle w:val="a3"/>
        <w:numPr>
          <w:ilvl w:val="0"/>
          <w:numId w:val="14"/>
        </w:numPr>
      </w:pPr>
      <w:r w:rsidRPr="00FA5B90">
        <w:t>традиционные классические университеты по привычке ориентированы на широкое гуманитарно-научное образование и подготовку исследователей, а не на узкопрофильную практику [14].</w:t>
      </w:r>
    </w:p>
    <w:p w14:paraId="6718E72A" w14:textId="77777777" w:rsidR="00C20B22" w:rsidRPr="00FA5B90" w:rsidRDefault="00C20B22" w:rsidP="00595678"/>
    <w:p w14:paraId="7EE4FE03" w14:textId="0779884E" w:rsidR="00595678" w:rsidRPr="00FA5B90" w:rsidRDefault="00C20B22" w:rsidP="00C4213E">
      <w:r w:rsidRPr="00FA5B90">
        <w:t>В связи с этим о</w:t>
      </w:r>
      <w:r w:rsidR="00595678" w:rsidRPr="00FA5B90">
        <w:t>дна из ключевых тенденций российского рынка труда последних лет — увеличение роли корпоративного обучения, стажировок и программ адаптации сотрудников в первые месяцы после трудоустройства. Это происходит в том числе из-за большей гибкости обучения и меньшей стоимости [13]. Компании всё чаще вынуждены брать на себя часть образовательной функции, поскольку выпускники вузов, даже имея профильное образование, приходят на работу с недостаточным уровнем практической подготовки.</w:t>
      </w:r>
      <w:r w:rsidR="00C4213E" w:rsidRPr="00FA5B90">
        <w:t xml:space="preserve"> Эти тенденции компенсации пробелов высшего образования за счет внутреннего обучения в компаниях подтверждает исследование НИУ ВШЭ [9], согласно которому студенты сами утверждают, что им не хватает «жестких навыков». </w:t>
      </w:r>
    </w:p>
    <w:p w14:paraId="31F1A570" w14:textId="18413027" w:rsidR="00595678" w:rsidRPr="00FA5B90" w:rsidRDefault="00595678" w:rsidP="00595678">
      <w:r w:rsidRPr="00FA5B90">
        <w:t>Так, по данным опроса, проведенного среди студентов [7], 56,9% респондентов отметили, что работодатели в первую очередь ценят опыт работы, который у выпускников зачастую отсутствует. При этом лишь 36,1% студентов, уже пробовавших устроиться на работу, не столкнулись с трудностями, что указывает на высокий уровень требований к практическим навыкам со стороны работодателей.</w:t>
      </w:r>
    </w:p>
    <w:p w14:paraId="238F42D7" w14:textId="0C47FB7F" w:rsidR="00D5046A" w:rsidRPr="00FA5B90" w:rsidRDefault="00595678" w:rsidP="00595678">
      <w:r w:rsidRPr="00FA5B90">
        <w:t xml:space="preserve">Усиление роли вневузовского обучения проявляется и в росте популярности альтернативных образовательных платформ – онлайн-школ, корпоративных университетов, краткосрочных курсов, которые напрямую сотрудничают с компаниями и готовят кадры под конкретные задачи бизнеса. Этот тренд отражает недоверие работодателей к традиционной системе </w:t>
      </w:r>
      <w:r w:rsidRPr="00FA5B90">
        <w:lastRenderedPageBreak/>
        <w:t>высшего образования, которая зачастую не успевает адаптироваться к динамике рынка. В результате выпускники, даже имея диплом, вынуждены проходить дополнительное обучение, чтобы соответствовать ожиданиям работодателей.</w:t>
      </w:r>
    </w:p>
    <w:p w14:paraId="5F228B2C" w14:textId="1B729038" w:rsidR="000D1C25" w:rsidRPr="00FA5B90" w:rsidRDefault="008756CC" w:rsidP="000D1C25">
      <w:r w:rsidRPr="00FA5B90">
        <w:t xml:space="preserve">Тем самым </w:t>
      </w:r>
      <w:r w:rsidR="000D1C25" w:rsidRPr="00FA5B90">
        <w:t>современная система высшего образования демонстрирует существенные различия в способности обеспечивать профессиональную релевантность подготовки выпускников. Анализ данных Росстата о соответствии работы полученной специальности (2021-2023 гг.), представленных на графике 3, позволяет выделить три категории направлений подготовки, отличающиеся степенью адаптации к требованиям рынка труда, выраженных по проценту трудоустроенных студентов в течении 3 лет после окончания университета.</w:t>
      </w:r>
    </w:p>
    <w:p w14:paraId="4B420CFF" w14:textId="77777777" w:rsidR="000D1C25" w:rsidRPr="00FA5B90" w:rsidRDefault="000D1C25" w:rsidP="000D1C25">
      <w:r w:rsidRPr="00FA5B90">
        <w:t>Наиболее успешными в плане профессионального соответствия (80-97%) оказались специальности с жесткой профессиональной идентичностью и лицензионными требованиями: клиническая медицина (97%), фармация (96%), аэронавигация (91%). Чуть менее выраженные, но все же значительные показатели демонстрируют технические направления с четкой отраслевой привязкой - информатика (83%), приборостроение (79%). Особого внимания заслуживает педагогическое образование (85%), где высокий процент работы по специальности сочетается с общеизвестными проблемами низкой оплаты труда.</w:t>
      </w:r>
    </w:p>
    <w:p w14:paraId="3FF96FB3" w14:textId="77777777" w:rsidR="000D1C25" w:rsidRPr="00FA5B90" w:rsidRDefault="000D1C25" w:rsidP="000D1C25">
      <w:r w:rsidRPr="00FA5B90">
        <w:t xml:space="preserve">Вторая группа (65-79%) включает направления с частичной профессиональной определенностью. Здесь наблюдается парадоксальная ситуация: такие массовые специальности, как экономика (68%) и юриспруденция (73%), показывают относительно высокие показатели соответствия, несмотря на общепризнанное перенасыщение рынка. Это может объясняться либо широкой трактовкой "соответствия специальности" в данных росстата, либо действительно высокой профессиональной мобильностью выпускников данных направлений. </w:t>
      </w:r>
    </w:p>
    <w:p w14:paraId="5F3EF06E" w14:textId="77777777" w:rsidR="000D1C25" w:rsidRPr="00FA5B90" w:rsidRDefault="000D1C25" w:rsidP="000D1C25">
      <w:r w:rsidRPr="00FA5B90">
        <w:lastRenderedPageBreak/>
        <w:t>Наиболее проблемная группа (ниже 65%) объединяет направления с размытой профессиональной идентичностью: философия (35%), политология (47%), физико-технические науки (36%). Низкие показатели здесь могут отражать как недостатки в подготовке, так и объективное отсутствие достаточного количества соответствующих рабочих мест, что ставит вопрос об адекватности масштабов подготовки кадров в данной области.</w:t>
      </w:r>
    </w:p>
    <w:p w14:paraId="4087EDE9" w14:textId="7CFAA774" w:rsidR="008756CC" w:rsidRPr="00FA5B90" w:rsidRDefault="000D1C25" w:rsidP="00595678">
      <w:r w:rsidRPr="00FA5B90">
        <w:t>Методологические ограничения данных росстата требуют осторожной интерпретации статистики. Трехлетний период наблюдения после выпуска, хотя и дает более полную картину трудоустройства, может нивелировать динамику профессионального становления. Кроме того, критерий "соответствия специальности" не учитывает такие важные параметры, как уровень должности, адекватность квалификации и удовлетворенность работой. Эти факторы особенно значимы для гуманитарных и социальных направлений, где профессиональные траектории часто носят нелинейный характер.</w:t>
      </w:r>
    </w:p>
    <w:p w14:paraId="36F71031" w14:textId="6CCA1EB0" w:rsidR="000D1C25" w:rsidRPr="00FA5B90" w:rsidRDefault="000D1C25" w:rsidP="000D1C25">
      <w:pPr>
        <w:ind w:firstLine="0"/>
      </w:pPr>
      <w:r w:rsidRPr="00FA5B90">
        <w:rPr>
          <w:noProof/>
          <w:lang w:eastAsia="ru-RU"/>
        </w:rPr>
        <w:drawing>
          <wp:inline distT="0" distB="0" distL="0" distR="0" wp14:anchorId="4BE24B1B" wp14:editId="4368247F">
            <wp:extent cx="5934075" cy="4438650"/>
            <wp:effectExtent l="0" t="0" r="9525" b="0"/>
            <wp:docPr id="3" name="Рисунок 3" descr="C:\Users\yamis\Downloads\загруженное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is\Downloads\загруженное (3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05A" w14:textId="77777777" w:rsidR="000D1C25" w:rsidRPr="00FA5B90" w:rsidRDefault="000D1C25" w:rsidP="000D1C25">
      <w:pPr>
        <w:ind w:firstLine="0"/>
        <w:jc w:val="right"/>
      </w:pPr>
      <w:r w:rsidRPr="00FA5B90">
        <w:lastRenderedPageBreak/>
        <w:t>График 3. % трудоустроенных по специальности выпускников.</w:t>
      </w:r>
    </w:p>
    <w:p w14:paraId="21082493" w14:textId="1C141A83" w:rsidR="000D1C25" w:rsidRPr="00FA5B90" w:rsidRDefault="000D1C25" w:rsidP="000D1C25">
      <w:r w:rsidRPr="00FA5B90">
        <w:t>Полученные данные позволяют сделать несколько значимых выводов. Во-первых, система высшего образования демонстрирует различную эффективность в подготовке кадров для разных секторов экономики. Во-вторых, проблемы профессионального соответствия связаны не только с качеством образования, но и со структурными диспропорциями на рынке труда.</w:t>
      </w:r>
    </w:p>
    <w:p w14:paraId="3E0D91AC" w14:textId="1C7175DC" w:rsidR="00D5046A" w:rsidRPr="00FA5B90" w:rsidRDefault="00C4213E" w:rsidP="003220CF">
      <w:pPr>
        <w:pStyle w:val="2"/>
      </w:pPr>
      <w:bookmarkStart w:id="10" w:name="_Toc196598701"/>
      <w:r w:rsidRPr="00FA5B90">
        <w:t xml:space="preserve">2.2 </w:t>
      </w:r>
      <w:r w:rsidR="003220CF" w:rsidRPr="00FA5B90">
        <w:t>Противоречие государственного заказа и рыночного спроса на подготовку специалистов</w:t>
      </w:r>
      <w:bookmarkEnd w:id="10"/>
    </w:p>
    <w:p w14:paraId="00EFABB8" w14:textId="5D382380" w:rsidR="003220CF" w:rsidRPr="00FA5B90" w:rsidRDefault="003220CF" w:rsidP="003220CF">
      <w:r w:rsidRPr="00FA5B90">
        <w:t>В идеальной модели подготовки кадров государство определяет потребности экономики и транслирует их в параметры учебных планов: численность, структуру и профиль подготовки специалистов. Такие прогнозы разрабатываются Минтрудом, Минобрнауки и отраслевыми аналитическими центрами на основании макроэкономических данных и стратегических программ развития страны ​</w:t>
      </w:r>
    </w:p>
    <w:p w14:paraId="34B87C91" w14:textId="737AEEF1" w:rsidR="003220CF" w:rsidRPr="00FA5B90" w:rsidRDefault="003220CF" w:rsidP="003220CF">
      <w:r w:rsidRPr="00FA5B90">
        <w:t>На практике же прогностические расчёты часто остаются формальными: они не успевают за динамичными изменениями на рынке труда и слабо учитывают региональные особенности спроса на специалистов. В результате вертикальные планы по подготовке «приоритетных» кадров (цифровые технологии, инженерия, медицина, образование) расходятся с реальными потребностями работодателей — особенно в регионах, где индустриальная структура экономики может значительно отличаться от общероссийской.</w:t>
      </w:r>
    </w:p>
    <w:p w14:paraId="292679C3" w14:textId="08835982" w:rsidR="001B6EB6" w:rsidRPr="00FA5B90" w:rsidRDefault="001B6EB6" w:rsidP="001B6EB6">
      <w:r w:rsidRPr="00FA5B90">
        <w:t xml:space="preserve">Эта ситуация усугубляется рыночной трансформацией системы высшего образования, где доминирует логика теории человеческого капитала Г.Беккера [3], которая объясняет стремление людей получать высшее образование как рациональную инвестицию в будущий доход. Однако чрезмерная массовизация высшего образования изменила эту логику: диплом перестал быть гарантией высокого заработка, а конкуренция среди выпускников усилилась. В результате университеты, вынужденные </w:t>
      </w:r>
      <w:r w:rsidRPr="00FA5B90">
        <w:lastRenderedPageBreak/>
        <w:t xml:space="preserve">конкурировать за студентов в условиях академического капитализма, всё чаще ориентируются не на объективные потребности рынка труда, а на субъективные представления абитуриентов о востребованных профессиях, а также желание максимально удовлетворить потребительский спрос [2]. </w:t>
      </w:r>
      <w:r w:rsidR="003220CF" w:rsidRPr="00FA5B90">
        <w:t>С одной стороны, это поддерживает финансовую устойчивость вузов за счёт набора на популярные (в первую очередь гуманитарно-экономические) направления. С другой — приводит к перепроизводству специалистов там, где спрос уже удовлетворён</w:t>
      </w:r>
      <w:r w:rsidRPr="00FA5B90">
        <w:t xml:space="preserve"> (например, юриспруденции, экономике)</w:t>
      </w:r>
      <w:r w:rsidR="003220CF" w:rsidRPr="00FA5B90">
        <w:t xml:space="preserve">, и дефициту кадров в более затратных для обучения технических и прикладных областях. </w:t>
      </w:r>
    </w:p>
    <w:p w14:paraId="5EC44D19" w14:textId="2387BB3B" w:rsidR="003220CF" w:rsidRPr="00FA5B90" w:rsidRDefault="003220CF" w:rsidP="003220CF">
      <w:r w:rsidRPr="00FA5B90">
        <w:t>Дополнительное напряжение создаёт несогласованность федеральных и региональных стратегий:</w:t>
      </w:r>
    </w:p>
    <w:p w14:paraId="2BCEA418" w14:textId="77777777" w:rsidR="003220CF" w:rsidRPr="00FA5B90" w:rsidRDefault="003220CF" w:rsidP="003220CF"/>
    <w:p w14:paraId="393AA5C1" w14:textId="77777777" w:rsidR="003220CF" w:rsidRPr="00FA5B90" w:rsidRDefault="003220CF" w:rsidP="003220CF">
      <w:pPr>
        <w:pStyle w:val="a3"/>
        <w:numPr>
          <w:ilvl w:val="0"/>
          <w:numId w:val="26"/>
        </w:numPr>
      </w:pPr>
      <w:r w:rsidRPr="00FA5B90">
        <w:t>Региональные вузы готовят кадры под локальные рынки, но далеко не всегда эти рынки способны их поглотить.</w:t>
      </w:r>
    </w:p>
    <w:p w14:paraId="59E53F40" w14:textId="2B7CE43D" w:rsidR="003220CF" w:rsidRPr="00FA5B90" w:rsidRDefault="003220CF" w:rsidP="003220CF">
      <w:pPr>
        <w:pStyle w:val="a3"/>
        <w:numPr>
          <w:ilvl w:val="0"/>
          <w:numId w:val="26"/>
        </w:numPr>
      </w:pPr>
      <w:r w:rsidRPr="00FA5B90">
        <w:t>Молодые специалисты переезжают в крупные города, усиливая отток талантов из регионов и кадровый дисбаланс между центром и периферией.</w:t>
      </w:r>
    </w:p>
    <w:p w14:paraId="4AB8519E" w14:textId="77777777" w:rsidR="003220CF" w:rsidRPr="00FA5B90" w:rsidRDefault="003220CF" w:rsidP="003220CF"/>
    <w:p w14:paraId="716540E6" w14:textId="464DAB4D" w:rsidR="00595678" w:rsidRPr="00FA5B90" w:rsidRDefault="003220CF" w:rsidP="003220CF">
      <w:r w:rsidRPr="00FA5B90">
        <w:t>Таким образом, система сталкивается с двумя конфликтующими логиками: централизованного государственного заказа, задающего отраслевые приоритеты, и рыночного спроса студентов–потребителей образования. Разрыв между ними порождает одновременно избыток «модных» направлений и нехватку специалистов, без которых государственные программы не смогут быть реализованы в полном объёме.</w:t>
      </w:r>
    </w:p>
    <w:p w14:paraId="2CB18CDB" w14:textId="196465E6" w:rsidR="00F726A4" w:rsidRPr="00FA5B90" w:rsidRDefault="00F726A4" w:rsidP="00F726A4">
      <w:pPr>
        <w:pStyle w:val="2"/>
      </w:pPr>
      <w:bookmarkStart w:id="11" w:name="_Toc196598702"/>
      <w:r w:rsidRPr="00FA5B90">
        <w:t>2.3 Государственная политика и ключевые реформы 2020-х годов</w:t>
      </w:r>
      <w:bookmarkEnd w:id="11"/>
    </w:p>
    <w:p w14:paraId="2560E42A" w14:textId="2E621CAC" w:rsidR="00F726A4" w:rsidRPr="00FA5B90" w:rsidRDefault="00F726A4" w:rsidP="00F726A4">
      <w:r w:rsidRPr="00FA5B90">
        <w:t xml:space="preserve">В России, где традиционная модель "образование ради знания" сталкивается с требованиями рыночной эффективности [5]. В результате университеты оказываются в ситуации, когда они вынуждены повышать </w:t>
      </w:r>
      <w:r w:rsidRPr="00FA5B90">
        <w:lastRenderedPageBreak/>
        <w:t>привлекательность своих программ ради абитуриентов, жертвуя глубиной обучения и фундаментальной подготовкой.</w:t>
      </w:r>
    </w:p>
    <w:p w14:paraId="111DD309" w14:textId="2F0A1651" w:rsidR="00F726A4" w:rsidRPr="00FA5B90" w:rsidRDefault="00F726A4" w:rsidP="00F726A4">
      <w:r w:rsidRPr="00FA5B90">
        <w:t>В последние годы государственная политика в области высшего образования в России претерпевает значительные изменения. Одним из ключевых трендов стало ослабление международного сотрудничества и постепенный отказ от Болонской системы. В 2022 году было принято решение о выходе России из Болонского процесса, что означает возвращение к национальной системе подготовки специалистов с более жёсткими требованиями к образовательным программам. Государственная политика всё активнее ориентируется на:</w:t>
      </w:r>
    </w:p>
    <w:p w14:paraId="4035C774" w14:textId="77777777" w:rsidR="00F726A4" w:rsidRPr="00FA5B90" w:rsidRDefault="00F726A4" w:rsidP="00F726A4"/>
    <w:p w14:paraId="6A31760B" w14:textId="77777777" w:rsidR="00F726A4" w:rsidRPr="00FA5B90" w:rsidRDefault="00F726A4" w:rsidP="00F726A4">
      <w:pPr>
        <w:numPr>
          <w:ilvl w:val="0"/>
          <w:numId w:val="5"/>
        </w:numPr>
      </w:pPr>
      <w:r w:rsidRPr="00FA5B90">
        <w:rPr>
          <w:b/>
          <w:bCs/>
        </w:rPr>
        <w:t>Импортозамещение в образовании</w:t>
      </w:r>
      <w:r w:rsidRPr="00FA5B90">
        <w:t>. В условиях геополитической нестабильности особое внимание уделяется разработке национальных образовательных стандартов, независимых от западных методик и программ.</w:t>
      </w:r>
    </w:p>
    <w:p w14:paraId="068A7A16" w14:textId="77777777" w:rsidR="00F726A4" w:rsidRPr="00FA5B90" w:rsidRDefault="00F726A4" w:rsidP="00F726A4">
      <w:pPr>
        <w:numPr>
          <w:ilvl w:val="0"/>
          <w:numId w:val="5"/>
        </w:numPr>
      </w:pPr>
      <w:r w:rsidRPr="00FA5B90">
        <w:rPr>
          <w:b/>
          <w:bCs/>
        </w:rPr>
        <w:t>Усиление роли прикладного образования</w:t>
      </w:r>
      <w:r w:rsidRPr="00FA5B90">
        <w:t>. Акцент смещается на инженерно-технические и естественнонаучные специальности, которые критически важны для развития экономики и технологического суверенитета. (график 1)</w:t>
      </w:r>
    </w:p>
    <w:p w14:paraId="097A5BA9" w14:textId="77777777" w:rsidR="00F726A4" w:rsidRPr="00FA5B90" w:rsidRDefault="00F726A4" w:rsidP="00F726A4">
      <w:pPr>
        <w:numPr>
          <w:ilvl w:val="0"/>
          <w:numId w:val="5"/>
        </w:numPr>
      </w:pPr>
      <w:r w:rsidRPr="00FA5B90">
        <w:rPr>
          <w:b/>
          <w:bCs/>
        </w:rPr>
        <w:t>Централизацию управления высшим образованием</w:t>
      </w:r>
      <w:r w:rsidRPr="00FA5B90">
        <w:t>. Усиливается государственный контроль за содержанием образовательных программ, критериями оценки и распределением бюджетного финансирования. (график 2)</w:t>
      </w:r>
    </w:p>
    <w:p w14:paraId="361B28AE" w14:textId="77777777" w:rsidR="00F726A4" w:rsidRPr="00FA5B90" w:rsidRDefault="00F726A4" w:rsidP="00F726A4">
      <w:pPr>
        <w:numPr>
          <w:ilvl w:val="0"/>
          <w:numId w:val="5"/>
        </w:numPr>
      </w:pPr>
      <w:r w:rsidRPr="00FA5B90">
        <w:rPr>
          <w:b/>
          <w:bCs/>
        </w:rPr>
        <w:t>Восстановление единой системы специалитета</w:t>
      </w:r>
      <w:r w:rsidRPr="00FA5B90">
        <w:t>. Вместо двухуровневой структуры (бакалавриат + магистратура) предполагается возвращение к пяти- и шестилетним программам подготовки специалистов в ряде направлений.</w:t>
      </w:r>
    </w:p>
    <w:p w14:paraId="4AF45D39" w14:textId="77777777" w:rsidR="00F726A4" w:rsidRPr="00FA5B90" w:rsidRDefault="00F726A4" w:rsidP="00F726A4"/>
    <w:p w14:paraId="1BA92E86" w14:textId="77777777" w:rsidR="00F726A4" w:rsidRPr="00FA5B90" w:rsidRDefault="00F726A4" w:rsidP="00F726A4">
      <w:pPr>
        <w:ind w:firstLine="0"/>
      </w:pPr>
      <w:r w:rsidRPr="00FA5B90">
        <w:rPr>
          <w:rFonts w:cs="Times New Roman"/>
          <w:noProof/>
          <w:lang w:eastAsia="ru-RU"/>
        </w:rPr>
        <w:lastRenderedPageBreak/>
        <w:drawing>
          <wp:inline distT="0" distB="0" distL="0" distR="0" wp14:anchorId="515491F8" wp14:editId="3470C1CB">
            <wp:extent cx="2931798" cy="1981200"/>
            <wp:effectExtent l="0" t="0" r="1905" b="0"/>
            <wp:docPr id="2" name="Рисунок 2" descr="загруженное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груженное (26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31" cy="19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B90">
        <w:rPr>
          <w:rFonts w:cs="Times New Roman"/>
          <w:noProof/>
          <w:lang w:eastAsia="ru-RU"/>
        </w:rPr>
        <w:drawing>
          <wp:inline distT="0" distB="0" distL="0" distR="0" wp14:anchorId="64C75565" wp14:editId="4E23FCED">
            <wp:extent cx="2647666" cy="1841152"/>
            <wp:effectExtent l="0" t="0" r="635" b="6985"/>
            <wp:docPr id="4" name="Рисунок 4" descr="C:\Users\yamis\Downloads\загруженное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mis\Downloads\загруженное (2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17" cy="18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83DA" w14:textId="77777777" w:rsidR="00F726A4" w:rsidRPr="00FA5B90" w:rsidRDefault="00F726A4" w:rsidP="00F726A4">
      <w:pPr>
        <w:jc w:val="right"/>
      </w:pPr>
      <w:r w:rsidRPr="00FA5B90">
        <w:t>Графики 1, 2.</w:t>
      </w:r>
    </w:p>
    <w:p w14:paraId="009AFFD7" w14:textId="66787370" w:rsidR="00F726A4" w:rsidRPr="00FA5B90" w:rsidRDefault="00F726A4" w:rsidP="00F726A4">
      <w:r w:rsidRPr="00FA5B90">
        <w:t>Эти реформы направлены на повышение эффективности вузов и соответствие системы образования стратегическим интересам страны. Однако остаётся открытым вопрос: позволит ли отказ от международных стандартов и усиление государственного контроля повысить качество образования или приведёт к его изоляции?</w:t>
      </w:r>
    </w:p>
    <w:p w14:paraId="14B1ACDB" w14:textId="05E8CE61" w:rsidR="00595678" w:rsidRPr="00FA5B90" w:rsidRDefault="00F726A4" w:rsidP="003220CF">
      <w:pPr>
        <w:pStyle w:val="2"/>
      </w:pPr>
      <w:bookmarkStart w:id="12" w:name="_Toc196598703"/>
      <w:r w:rsidRPr="00FA5B90">
        <w:t>2.4</w:t>
      </w:r>
      <w:r w:rsidR="003220CF" w:rsidRPr="00FA5B90">
        <w:t xml:space="preserve"> Проблемы научно-исследовательской функции в российских вузах</w:t>
      </w:r>
      <w:bookmarkEnd w:id="12"/>
    </w:p>
    <w:p w14:paraId="66EAED23" w14:textId="30B23EFD" w:rsidR="001B6EB6" w:rsidRPr="00FA5B90" w:rsidRDefault="00220FA5" w:rsidP="001B6EB6">
      <w:r w:rsidRPr="00FA5B90">
        <w:t>Исторически научные функции в советской системе были закреплены за Академией наук, а не за университетами. Лишь после реформ начала 2000-х вузам были формально делегированы исследовательские полномочия, однако устойчивые механизмы поддержки науки в университетах так и не сформировались. В результате научно-исследовательская деятельность во многих вузах остаётся фрагментарной и формальной, подчиняясь логике отчётности,</w:t>
      </w:r>
      <w:r w:rsidR="001B6EB6" w:rsidRPr="00FA5B90">
        <w:t xml:space="preserve"> а не реальным научным проектам.</w:t>
      </w:r>
      <w:r w:rsidRPr="00FA5B90">
        <w:t xml:space="preserve"> </w:t>
      </w:r>
      <w:r w:rsidR="001B6EB6" w:rsidRPr="00FA5B90">
        <w:t xml:space="preserve">Это снижает качество подготовки аспирантов, ограничивает </w:t>
      </w:r>
      <w:r w:rsidR="00CC130F" w:rsidRPr="00FA5B90">
        <w:t>вовлеченность</w:t>
      </w:r>
      <w:r w:rsidR="001B6EB6" w:rsidRPr="00FA5B90">
        <w:t xml:space="preserve"> студентов в научную работу и, в целом, ослабляет роль университета как центра генерации новых знаний.</w:t>
      </w:r>
    </w:p>
    <w:p w14:paraId="204DE557" w14:textId="05B90B3E" w:rsidR="00CC130F" w:rsidRPr="00FA5B90" w:rsidRDefault="00220FA5" w:rsidP="00CC130F">
      <w:r w:rsidRPr="00FA5B90">
        <w:t>​</w:t>
      </w:r>
      <w:r w:rsidR="00CC130F" w:rsidRPr="00FA5B90">
        <w:t xml:space="preserve"> Кроме того, в большинстве вузов процессы преподавания и научных исследований развиваются параллельно и почти не пересекаются: преподаватели вынуждены выбирать между учебной нагрузкой и публикационной активностью, а студенты редко получают опыт участия в серьёзных научных проектах.</w:t>
      </w:r>
    </w:p>
    <w:p w14:paraId="63DFA0D2" w14:textId="6752C1EC" w:rsidR="00A3709B" w:rsidRPr="00FA5B90" w:rsidRDefault="00CC130F" w:rsidP="00F726A4">
      <w:r w:rsidRPr="00FA5B90">
        <w:lastRenderedPageBreak/>
        <w:t>Такая модель работы приводит к концентрации ресурсов и кадров в вузах, ориентированных на исследования, тогда как многие региональные и профильные университеты испытывают дефицит инфраструктуры и экспертов, что усиливает институциональные дисбалансы и затрудняет формирование единой исследовательской среды в системе высшего образования</w:t>
      </w:r>
    </w:p>
    <w:p w14:paraId="0B80CA6C" w14:textId="209BEABD" w:rsidR="00595678" w:rsidRPr="00FA5B90" w:rsidRDefault="00A3709B" w:rsidP="008756CC">
      <w:pPr>
        <w:pStyle w:val="2"/>
      </w:pPr>
      <w:bookmarkStart w:id="13" w:name="_Toc196598704"/>
      <w:r w:rsidRPr="00FA5B90">
        <w:t>2.5</w:t>
      </w:r>
      <w:r w:rsidR="008756CC" w:rsidRPr="00FA5B90">
        <w:t xml:space="preserve"> Институциональная дифференциация и её последствия</w:t>
      </w:r>
      <w:bookmarkEnd w:id="13"/>
    </w:p>
    <w:p w14:paraId="5BE7AD2A" w14:textId="77777777" w:rsidR="008756CC" w:rsidRPr="00FA5B90" w:rsidRDefault="008756CC" w:rsidP="008756CC">
      <w:r w:rsidRPr="00FA5B90">
        <w:t xml:space="preserve">В контексте рассмотренных противоречий и функциональных разрывов в системе высшего образования Российской Федерации встает вопрос о стратегических направлениях развития данной системы. Некоторые исследователи предлагают институциональную дифференциацию как один из путей решения возникающих проблем. В России уже есть такая система. Вузы дифференцированы как горизонтально, по направлениям (аграрные, медицинские, технические и т.д.), так и вертикально по типу университета (федеральные, национальные исследовательские университеты и т.д.) </w:t>
      </w:r>
    </w:p>
    <w:p w14:paraId="61EB1CAA" w14:textId="77777777" w:rsidR="008756CC" w:rsidRPr="00FA5B90" w:rsidRDefault="008756CC" w:rsidP="008756CC">
      <w:r w:rsidRPr="00FA5B90">
        <w:t>Однако вертикальная дифференциация оказывается реализованной односторонне: внимание уделяется только тем вузам, которые уже обладают значительными ресурсами и высокими показателями, в то время как остальные учреждения остаются практически в забыты [стр. 23, 10]. При этом горизонтальная дифференциация, то есть четкое разделение по функциональным ролям, не получает должного внимания. В результате от слабых вузов, которым де-факто поручается выполнение единственной функции подготовки кадров, всё равно требуют достижения показателей, характерных для исследовательской деятельности. Из-за этого наблюдается серьезная дифференциация университетов по качеству образования. От сюда возникает и «неформальная дифференциация университетов по качеству, репутации, элитарности вузов, доведенная до абсолюта в ставших болезненно популярными рейтингах» [3] о которой упоминается в исследовании Рожковой К.В. и др.</w:t>
      </w:r>
    </w:p>
    <w:p w14:paraId="13B7A1FE" w14:textId="77777777" w:rsidR="008756CC" w:rsidRPr="00FA5B90" w:rsidRDefault="008756CC" w:rsidP="008756CC">
      <w:r w:rsidRPr="00FA5B90">
        <w:lastRenderedPageBreak/>
        <w:t>В подтверждение данной тенденции можно привести пример распределения грантов Министерством образования и науки в 2025 году. Всего было распределено 30,5 млрд рублей среди 119 вузов, при этом 11 ведущих университетов, включая МФТИ, НИУ ВШЭ и ИТМО, получили по 1 млрд рублей каждый, а остальные вузы распределены по группам с финансированием от 100 до 460 млн рублей. Такой подход не только подчеркивает иерархичность системы, но и усиливает разрыв с региональными вузами, получающими в 5–10 раз меньше средств. Государственная политика в данном направлении продолжает сохраняться и даже усиливаться через такие программы, как «Приоритет-2030», что подчеркивает стремление государства выделять «элитные» вузы.</w:t>
      </w:r>
    </w:p>
    <w:p w14:paraId="06CE46E6" w14:textId="77777777" w:rsidR="008756CC" w:rsidRPr="00FA5B90" w:rsidRDefault="008756CC" w:rsidP="008756CC">
      <w:r w:rsidRPr="00FA5B90">
        <w:t>Следовательно, тезис Рожковой К.В. о том что «Институциональный ландшафт высшей школы рассматривается как бинарная система: группа ведущих вузов и группа, которую образно называют «другие» или «остальные»» [стр. 8, 10] остается актуальным спустя десятилетия.</w:t>
      </w:r>
    </w:p>
    <w:p w14:paraId="32828CD1" w14:textId="77777777" w:rsidR="008756CC" w:rsidRPr="00FA5B90" w:rsidRDefault="008756CC" w:rsidP="008756CC">
      <w:r w:rsidRPr="00FA5B90">
        <w:t>С точки зрения теоретических подходов, такое сосредоточение ресурсов на элитных вузах не является самоцелью и может носить как положительные, так и отрицательные последствия. С одной стороны, концентрация инвестиций в ведущие учреждения способствует формированию качественной научной элиты и повышению рейтингов университетов, что в долгосрочной перспективе может повысить конкурентоспособность всей системы.</w:t>
      </w:r>
    </w:p>
    <w:p w14:paraId="48922B26" w14:textId="56877435" w:rsidR="00D5046A" w:rsidRPr="00FA5B90" w:rsidRDefault="008756CC" w:rsidP="000D1C25">
      <w:r w:rsidRPr="00FA5B90">
        <w:t>Однако с другой стороны, если дифференциация будет осуществляться исключительно вертикально, без учета функциональных различий между вузами, это приведет к усилению институциональных дисбалансов и созданию ситуации, когда от менее ресурсных учреждений несправедливо требуют результатов в научной деятельности, которую они, в силу ограниченности ресурсов не могут предоставить на сравнимом уровне с топовыми вузами.</w:t>
      </w:r>
    </w:p>
    <w:p w14:paraId="2114B34D" w14:textId="1443FCB3" w:rsidR="004912DA" w:rsidRPr="00FA5B90" w:rsidRDefault="008F37C9" w:rsidP="002614E9">
      <w:pPr>
        <w:pStyle w:val="1"/>
      </w:pPr>
      <w:bookmarkStart w:id="14" w:name="_Toc196598705"/>
      <w:r w:rsidRPr="00FA5B90">
        <w:lastRenderedPageBreak/>
        <w:t xml:space="preserve">Глава </w:t>
      </w:r>
      <w:r w:rsidR="00D5046A" w:rsidRPr="00FA5B90">
        <w:t>3</w:t>
      </w:r>
      <w:r w:rsidR="006521B1" w:rsidRPr="00FA5B90">
        <w:t xml:space="preserve">. </w:t>
      </w:r>
      <w:r w:rsidR="002614E9" w:rsidRPr="00FA5B90">
        <w:t>Эмпирическое исследование структуры и дифференциации российских университетов</w:t>
      </w:r>
      <w:bookmarkEnd w:id="14"/>
    </w:p>
    <w:p w14:paraId="01A8F2EB" w14:textId="52B0A7C8" w:rsidR="000D1C25" w:rsidRPr="00FA5B90" w:rsidRDefault="002614E9" w:rsidP="007713AB">
      <w:r w:rsidRPr="00FA5B90">
        <w:t xml:space="preserve">Целью данного эмпирического исследования является количественное подтверждение выявленных в теоретической части противоречий в системе высшего образования России — в частности, дифференциации вузов по исследовательскому и коммерческому потенциалу. </w:t>
      </w:r>
      <w:r w:rsidR="009A0D7E" w:rsidRPr="00FA5B90">
        <w:t>Эти компоненты представляют собой основные функции ВУЗов, выполнение которых непосредственно влияет на социально</w:t>
      </w:r>
      <w:r w:rsidRPr="00FA5B90">
        <w:t>-экономическое развитие страны.</w:t>
      </w:r>
      <w:r w:rsidR="007713AB" w:rsidRPr="00FA5B90">
        <w:t xml:space="preserve"> Для этого был проведён кластерный анализ университетов и последующая оценка факторов, определяющих их положение в образовательной системе.</w:t>
      </w:r>
    </w:p>
    <w:p w14:paraId="389BD08F" w14:textId="7DEC3EF4" w:rsidR="000D1C25" w:rsidRPr="00FA5B90" w:rsidRDefault="007713AB" w:rsidP="007713AB">
      <w:pPr>
        <w:pStyle w:val="2"/>
      </w:pPr>
      <w:bookmarkStart w:id="15" w:name="_Toc196598706"/>
      <w:r w:rsidRPr="00FA5B90">
        <w:t>3.1 Кластеризация университетов по исследовательским характеристикам</w:t>
      </w:r>
      <w:bookmarkEnd w:id="15"/>
    </w:p>
    <w:p w14:paraId="0CE5315A" w14:textId="19EE071C" w:rsidR="007713AB" w:rsidRPr="00FA5B90" w:rsidRDefault="007713AB" w:rsidP="007713AB">
      <w:r w:rsidRPr="00FA5B90">
        <w:t>В соответствии с моделью «университет–предприниматель» и «университет–генератор знаний», описанными в пункте 2 главы 1, в данном разделе проводится кластерный анализ российских вузов по двум ключевым показателям их научно-исследовательской активности:</w:t>
      </w:r>
    </w:p>
    <w:p w14:paraId="6A7398DA" w14:textId="77777777" w:rsidR="007713AB" w:rsidRPr="00FA5B90" w:rsidRDefault="007713AB" w:rsidP="007713AB">
      <w:pPr>
        <w:pStyle w:val="a3"/>
        <w:numPr>
          <w:ilvl w:val="0"/>
          <w:numId w:val="28"/>
        </w:numPr>
      </w:pPr>
      <w:r w:rsidRPr="00FA5B90">
        <w:t>Уровень фундаментальной научной активности, измеряемый через количество публикаций в РИНЦ, Scopus и WoS и средний цитируемый индекс.</w:t>
      </w:r>
    </w:p>
    <w:p w14:paraId="0BCDFDA6" w14:textId="708563B8" w:rsidR="002F6A96" w:rsidRPr="00FA5B90" w:rsidRDefault="007713AB" w:rsidP="002F6A96">
      <w:pPr>
        <w:pStyle w:val="a3"/>
        <w:numPr>
          <w:ilvl w:val="0"/>
          <w:numId w:val="28"/>
        </w:numPr>
      </w:pPr>
      <w:r w:rsidRPr="00FA5B90">
        <w:t>Уровень коммерциализации исследований, отражаемый объёмом доходов от хоздоговоров и проектов НИОКР, патентной активностью и числом договоров с индустриальными партнёрами.</w:t>
      </w:r>
    </w:p>
    <w:p w14:paraId="262347B1" w14:textId="77777777" w:rsidR="002F6A96" w:rsidRPr="00FA5B90" w:rsidRDefault="002F6A96" w:rsidP="002F6A96">
      <w:pPr>
        <w:ind w:firstLine="0"/>
      </w:pPr>
      <w:r w:rsidRPr="00FA5B90">
        <w:rPr>
          <w:noProof/>
          <w:lang w:eastAsia="ru-RU"/>
        </w:rPr>
        <w:lastRenderedPageBreak/>
        <w:drawing>
          <wp:inline distT="0" distB="0" distL="0" distR="0" wp14:anchorId="46B25644" wp14:editId="42A45894">
            <wp:extent cx="5932805" cy="3955415"/>
            <wp:effectExtent l="0" t="0" r="0" b="6985"/>
            <wp:docPr id="5" name="Рисунок 5" descr="C:\Users\yamis\Downloads\загруженное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s\Downloads\загруженное (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C4FC" w14:textId="5D4A8B04" w:rsidR="002F6A96" w:rsidRPr="00FA5B90" w:rsidRDefault="002F6A96" w:rsidP="002F6A96">
      <w:pPr>
        <w:jc w:val="right"/>
      </w:pPr>
      <w:r w:rsidRPr="00FA5B90">
        <w:t>График 3. Кластеры вузов</w:t>
      </w:r>
    </w:p>
    <w:p w14:paraId="62ED688F" w14:textId="2941ACB1" w:rsidR="00857884" w:rsidRPr="00FA5B90" w:rsidRDefault="00857884" w:rsidP="00857884">
      <w:r w:rsidRPr="00FA5B90">
        <w:t>На основе этого подхода можно выделить четыре основных кластера (график 3):</w:t>
      </w:r>
    </w:p>
    <w:p w14:paraId="48D114CF" w14:textId="7E828077" w:rsidR="00857884" w:rsidRPr="00FA5B90" w:rsidRDefault="00857884" w:rsidP="00857884">
      <w:pPr>
        <w:pStyle w:val="a3"/>
        <w:numPr>
          <w:ilvl w:val="0"/>
          <w:numId w:val="9"/>
        </w:numPr>
        <w:ind w:left="851" w:hanging="284"/>
      </w:pPr>
      <w:r w:rsidRPr="00FA5B90">
        <w:rPr>
          <w:b/>
          <w:bCs/>
        </w:rPr>
        <w:t>Университеты с доминирующей фундаментальной наукой</w:t>
      </w:r>
      <w:r w:rsidRPr="00FA5B90">
        <w:br/>
        <w:t xml:space="preserve">Данная группа характеризуется высокой публикационной активностью в международных базах (Scopus, WoS) при относительно скромных показателях доходов от НИОКР (Зарубежные журналы взяты для репрезентативности, в настоящих реалиях можно взять только  РИНЦ, однако результаты будут идентичные). Как правило, к этой категории относятся ведущие классические университеты (Сеченовский университет, институт стран востока и другие). Они соответствуют </w:t>
      </w:r>
      <w:r w:rsidRPr="00FA5B90">
        <w:rPr>
          <w:rStyle w:val="af2"/>
          <w:b w:val="0"/>
        </w:rPr>
        <w:t>гумбольдтовской модели</w:t>
      </w:r>
      <w:r w:rsidRPr="00FA5B90">
        <w:t xml:space="preserve">, где на первый план выходит порождение нового знания и академическая свобода, а не рынок. Из-за слабой коммерциализации такие институты часто сталкиваются с проблемой трансфера технологий: их научные проекты нередко ограничены </w:t>
      </w:r>
      <w:r w:rsidRPr="00FA5B90">
        <w:lastRenderedPageBreak/>
        <w:t>публикациями и формальной отчётностью, а реального взаимодействия с индустрией недостаточно.</w:t>
      </w:r>
    </w:p>
    <w:p w14:paraId="18182165" w14:textId="46D20D25" w:rsidR="00857884" w:rsidRPr="00FA5B90" w:rsidRDefault="00857884" w:rsidP="00F55DB5">
      <w:pPr>
        <w:pStyle w:val="a3"/>
        <w:numPr>
          <w:ilvl w:val="0"/>
          <w:numId w:val="9"/>
        </w:numPr>
        <w:ind w:left="851" w:hanging="284"/>
      </w:pPr>
      <w:r w:rsidRPr="00FA5B90">
        <w:rPr>
          <w:b/>
          <w:bCs/>
        </w:rPr>
        <w:t>Технологически ориентированные университеты</w:t>
      </w:r>
      <w:r w:rsidRPr="00FA5B90">
        <w:br/>
        <w:t>Эти вузы демонстрируют обратную картину: при умеренных показателях научной публикационной активности они достигают значительных успехов в коммерциализации исследований.</w:t>
      </w:r>
      <w:r w:rsidR="00F55DB5" w:rsidRPr="00FA5B90">
        <w:t xml:space="preserve"> Они отражают англо-американскую модель университета-предпринимателя, где ключевую роль играет коммерциализация и партнёрство с бизнесом. Тем не менее, ориентация на «рынок» может привести к формальной отчётности и снижению внимания к фундаментальным исследованиям.</w:t>
      </w:r>
      <w:r w:rsidRPr="00FA5B90">
        <w:t xml:space="preserve"> В российских условиях к данной группе часто относятся технические и отраслевые университеты, исторически связанные с промышленными предприятиями [8]. Их сильная сторона - решение конкретных технологических задач бизнеса и государства. </w:t>
      </w:r>
    </w:p>
    <w:p w14:paraId="70C5CB26" w14:textId="25400EA7" w:rsidR="00857884" w:rsidRPr="00FA5B90" w:rsidRDefault="00857884" w:rsidP="00857884">
      <w:pPr>
        <w:pStyle w:val="a3"/>
        <w:numPr>
          <w:ilvl w:val="0"/>
          <w:numId w:val="9"/>
        </w:numPr>
        <w:ind w:left="851" w:hanging="284"/>
      </w:pPr>
      <w:r w:rsidRPr="00FA5B90">
        <w:rPr>
          <w:b/>
          <w:bCs/>
        </w:rPr>
        <w:t>Университеты полного цикла</w:t>
      </w:r>
      <w:r w:rsidRPr="00FA5B90">
        <w:br/>
        <w:t>Наиболее редкая и ценная категория, сочетающая высокие показатели как по фундаментальным исследованиям, так и по коммерциализации. Как правило, это флагманские университеты и НИУ с развитой инновационной инфраструктурой (например, Иннополис, Сколковский университет) и сильными инженерными школами (например, МФТИ, МИФИ, ИТМО).</w:t>
      </w:r>
      <w:r w:rsidR="00F55DB5" w:rsidRPr="00FA5B90">
        <w:t xml:space="preserve"> Эти учреждения успешно сочетают высокую публикационную активность и значительный коммерческий доход, что соответствует </w:t>
      </w:r>
      <w:r w:rsidR="00F55DB5" w:rsidRPr="00FA5B90">
        <w:rPr>
          <w:rStyle w:val="af2"/>
          <w:b w:val="0"/>
        </w:rPr>
        <w:t>концепции «третьей миссии»</w:t>
      </w:r>
      <w:r w:rsidR="00F55DB5" w:rsidRPr="00FA5B90">
        <w:t>. Они одновременно выполняют образовательную, исследовательскую и инновационно-предпринимательскую функции, создавая стартапы, трансфер-офисы и социальные инициативы. Именно их профиль демонстрирует, как в идеале могут сосуществовать все ключевые функции вуза, о чем говорилось в разделе 1.1, без жертв ни в науке, ни в практике.</w:t>
      </w:r>
    </w:p>
    <w:p w14:paraId="5E6A8755" w14:textId="77777777" w:rsidR="0012747B" w:rsidRPr="00FA5B90" w:rsidRDefault="00857884" w:rsidP="0012747B">
      <w:pPr>
        <w:pStyle w:val="a3"/>
        <w:numPr>
          <w:ilvl w:val="0"/>
          <w:numId w:val="9"/>
        </w:numPr>
        <w:ind w:left="851" w:hanging="284"/>
      </w:pPr>
      <w:r w:rsidRPr="00FA5B90">
        <w:rPr>
          <w:b/>
          <w:bCs/>
        </w:rPr>
        <w:lastRenderedPageBreak/>
        <w:t>Университеты с ограниченной исследовательской функцией</w:t>
      </w:r>
      <w:r w:rsidRPr="00FA5B90">
        <w:br/>
        <w:t>К данной</w:t>
      </w:r>
      <w:r w:rsidR="00F55DB5" w:rsidRPr="00FA5B90">
        <w:t xml:space="preserve"> самой многочисленной группе</w:t>
      </w:r>
      <w:r w:rsidRPr="00FA5B90">
        <w:t xml:space="preserve"> относится значительное число, преимущественно региональных, вузов, не достигающих пороговых значений ни по одному из критериев. </w:t>
      </w:r>
      <w:r w:rsidR="00F55DB5" w:rsidRPr="00FA5B90">
        <w:t xml:space="preserve">Эта самая многочисленная группа объединяет региональные и профильные институты с низкими показателями и по публикациям, и по коммерциализации. </w:t>
      </w:r>
      <w:r w:rsidR="0012747B" w:rsidRPr="00FA5B90">
        <w:t xml:space="preserve">При этом причины попадания в этот кластер могут быть разными: </w:t>
      </w:r>
    </w:p>
    <w:p w14:paraId="353CE7D1" w14:textId="77777777" w:rsidR="0012747B" w:rsidRPr="00FA5B90" w:rsidRDefault="0012747B" w:rsidP="0012747B">
      <w:pPr>
        <w:pStyle w:val="a3"/>
        <w:numPr>
          <w:ilvl w:val="0"/>
          <w:numId w:val="9"/>
        </w:numPr>
      </w:pPr>
      <w:r w:rsidRPr="00FA5B90">
        <w:t>Специализированные профильные институты, ориентированные преимущественно на прикладное обучение (например, педагогические, полицейские, аграрные вузы). Для них исследовательская функция исторически не была ключевой, и они не претендуют на высокий научный или коммерческий результат.</w:t>
      </w:r>
    </w:p>
    <w:p w14:paraId="09B02861" w14:textId="0B03A707" w:rsidR="007713AB" w:rsidRPr="00FA5B90" w:rsidRDefault="0012747B" w:rsidP="0012747B">
      <w:pPr>
        <w:pStyle w:val="a3"/>
        <w:numPr>
          <w:ilvl w:val="0"/>
          <w:numId w:val="9"/>
        </w:numPr>
      </w:pPr>
      <w:r w:rsidRPr="00FA5B90">
        <w:t>Небольшие универсальные вузы, пытающиеся одновременно развивать и образовательную, и исследовательскую функции, но ограниченные ресурсами (кадровыми, финансовыми, инфраструктурными). Их исследовательская деятельность часто носит эпизодический характер и слабо связана с исследовательским процессом [5]. В таких случаях низкие показатели по обеим осям отражают нехватку поддержки со стороны государства. Тем самым это демонстрирует неравномерную дифференциацию, описанную выше.</w:t>
      </w:r>
    </w:p>
    <w:p w14:paraId="6BF7FCD8" w14:textId="3871B79B" w:rsidR="00D856FA" w:rsidRPr="00FA5B90" w:rsidRDefault="00D856FA" w:rsidP="00D856FA">
      <w:pPr>
        <w:ind w:left="851" w:firstLine="0"/>
      </w:pPr>
      <w:r w:rsidRPr="00FA5B90">
        <w:t xml:space="preserve">Таким образом, этот кластер иллюстрирует </w:t>
      </w:r>
      <w:r w:rsidRPr="00FA5B90">
        <w:rPr>
          <w:rStyle w:val="af2"/>
          <w:b w:val="0"/>
        </w:rPr>
        <w:t>институциональную неоднородность</w:t>
      </w:r>
      <w:r w:rsidRPr="00FA5B90">
        <w:t xml:space="preserve"> системы: часть вузов сознательно фокусируется на профессиональной подготовке без серьёзной научной активности, другие же пытаются совмещать функции, но сталкиваются с ресурсными барьерами. Это подчёркивает необходимость </w:t>
      </w:r>
      <w:r w:rsidRPr="00FA5B90">
        <w:rPr>
          <w:rStyle w:val="af2"/>
          <w:b w:val="0"/>
        </w:rPr>
        <w:t>дифференцированного подхода к поддержке разных типов вузов</w:t>
      </w:r>
      <w:r w:rsidRPr="00FA5B90">
        <w:t xml:space="preserve"> и </w:t>
      </w:r>
      <w:r w:rsidRPr="00FA5B90">
        <w:lastRenderedPageBreak/>
        <w:t>лежит в основе последующих рекомендаций по оптимизации их функций</w:t>
      </w:r>
    </w:p>
    <w:p w14:paraId="7D9D8FF8" w14:textId="77777777" w:rsidR="00D856FA" w:rsidRPr="00FA5B90" w:rsidRDefault="00D856FA" w:rsidP="00D856FA">
      <w:pPr>
        <w:ind w:left="851" w:firstLine="0"/>
      </w:pPr>
    </w:p>
    <w:p w14:paraId="5CB61F77" w14:textId="74D11CAB" w:rsidR="00D856FA" w:rsidRPr="00FA5B90" w:rsidRDefault="00D856FA" w:rsidP="00D856FA">
      <w:r w:rsidRPr="00FA5B90">
        <w:t xml:space="preserve">Понимание того, какие группы вузов существуют и как они соответствуют теоретическим моделям, позволяет лучше увидеть корневые причины функциональных разрывов, выявленных в главе 2. </w:t>
      </w:r>
      <w:r w:rsidR="00606171" w:rsidRPr="00FA5B90">
        <w:t xml:space="preserve">При этом распределение не является равномерным - наблюдается выраженная поляризация с концентрацией научного потенциала в ограниченном числе организаций. Так, по приблизительным расчетам, лишь около 5% вузов демонстрируют сбалансированное развитие обоих направлений. </w:t>
      </w:r>
      <w:r w:rsidRPr="00FA5B90">
        <w:t>Далее мы подробно рассмотрим, какие конкретные факторы (академический потенциал, финансовое обеспечение, профиль студентов и др.) определяют принадлежность университета к тому или иному кластеру и тем самым влияют на его способность преодолевать или усиливать эти разрывы.</w:t>
      </w:r>
    </w:p>
    <w:p w14:paraId="3B82E911" w14:textId="53F35415" w:rsidR="007713AB" w:rsidRPr="00FA5B90" w:rsidRDefault="007713AB" w:rsidP="00606171">
      <w:pPr>
        <w:pStyle w:val="2"/>
      </w:pPr>
      <w:bookmarkStart w:id="16" w:name="_Toc196598707"/>
      <w:r w:rsidRPr="00FA5B90">
        <w:t>3.2 Анализ факторов, влияющих на положение в кластере</w:t>
      </w:r>
      <w:bookmarkEnd w:id="16"/>
    </w:p>
    <w:p w14:paraId="775C327D" w14:textId="77777777" w:rsidR="000C7FBD" w:rsidRPr="00FA5B90" w:rsidRDefault="00842C0E" w:rsidP="000C7FBD">
      <w:r w:rsidRPr="00FA5B90">
        <w:t>Для выявления ключевых факторов, влияющих на респредление по кластерам, был применен анализ важности признаков (feature importance) на основе алгоритма Random Forest. В результате ранжирования предикторов по метрике Mean Decrease Impurity установлено, что наибольший вклад в модель вносят следующие факторы (график 5):</w:t>
      </w:r>
      <w:r w:rsidR="005E2117" w:rsidRPr="00FA5B90">
        <w:t xml:space="preserve"> Средний балл ЕГЭ, общие доходы университета, количество учащихся, степень цифровизации, зарплата и кол-во студентов.</w:t>
      </w:r>
      <w:r w:rsidR="000C7FBD" w:rsidRPr="00FA5B90">
        <w:t xml:space="preserve"> </w:t>
      </w:r>
    </w:p>
    <w:p w14:paraId="1DA35B1D" w14:textId="35722015" w:rsidR="005E2117" w:rsidRPr="00FA5B90" w:rsidRDefault="000C7FBD" w:rsidP="000C7FBD">
      <w:r w:rsidRPr="00FA5B90">
        <w:t>Важно заметить, что Кластеризация здесь не цель, а инструмент диагностики. Она помогает понять, какие типы вузов сложились в российской системе и какие функции они в первую очередь выполняют (или не выполняют). Кластеры отражают существующие стратегии вузов.</w:t>
      </w:r>
    </w:p>
    <w:p w14:paraId="3B8A8CDB" w14:textId="3BC0057F" w:rsidR="00353CFE" w:rsidRPr="00FA5B90" w:rsidRDefault="00FA5B90" w:rsidP="005E2117">
      <w:pPr>
        <w:ind w:firstLine="0"/>
      </w:pPr>
      <w:r w:rsidRPr="00FA5B90">
        <w:lastRenderedPageBreak/>
        <w:pict w14:anchorId="7724B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1.5pt">
            <v:imagedata r:id="rId12" o:title="загруженное (39)"/>
          </v:shape>
        </w:pict>
      </w:r>
    </w:p>
    <w:p w14:paraId="667CAB29" w14:textId="532D34F2" w:rsidR="00353CFE" w:rsidRPr="00FA5B90" w:rsidRDefault="005E2117" w:rsidP="005E2117">
      <w:pPr>
        <w:jc w:val="right"/>
      </w:pPr>
      <w:r w:rsidRPr="00FA5B90">
        <w:t>График 5. Важность признаков</w:t>
      </w:r>
    </w:p>
    <w:p w14:paraId="516F815E" w14:textId="5FE3415B" w:rsidR="00B22FC1" w:rsidRPr="00FA5B90" w:rsidRDefault="005E2117" w:rsidP="002014C9">
      <w:r w:rsidRPr="00FA5B90">
        <w:t>Это можно интерпретировать следующим образом: высокое значение, например, среднего балла егэ поступивших, сильно влияет на вхождение в тот или иной класс. Для более точной оценки в какой именно класс войдет университет требуется дополнительный анализ по каждому признаку.</w:t>
      </w:r>
      <w:r w:rsidR="00B22FC1" w:rsidRPr="00FA5B90">
        <w:t xml:space="preserve"> Для примера продолжим анализ среднего балла егэ и построим распределение баллов п</w:t>
      </w:r>
      <w:r w:rsidR="00F726A4" w:rsidRPr="00FA5B90">
        <w:t>о каждому из кластеров (график 4</w:t>
      </w:r>
      <w:r w:rsidR="00B22FC1" w:rsidRPr="00FA5B90">
        <w:t>). Кластер 0 соответствует «остальным» университетам, а кластер 3 сбалансир</w:t>
      </w:r>
      <w:r w:rsidR="002014C9" w:rsidRPr="00FA5B90">
        <w:t>ованным (НИОКР + исследования).</w:t>
      </w:r>
    </w:p>
    <w:p w14:paraId="4252E1E9" w14:textId="2E552F27" w:rsidR="00B22FC1" w:rsidRPr="00FA5B90" w:rsidRDefault="00FA5B90" w:rsidP="00FB220B">
      <w:pPr>
        <w:ind w:firstLine="0"/>
      </w:pPr>
      <w:r w:rsidRPr="00FA5B90">
        <w:lastRenderedPageBreak/>
        <w:pict w14:anchorId="0272311A">
          <v:shape id="_x0000_i1026" type="#_x0000_t75" style="width:467.25pt;height:300.75pt">
            <v:imagedata r:id="rId13" o:title="загруженное (40)"/>
          </v:shape>
        </w:pict>
      </w:r>
    </w:p>
    <w:p w14:paraId="74BD7B40" w14:textId="355FC7DA" w:rsidR="00B22FC1" w:rsidRPr="00FA5B90" w:rsidRDefault="00F726A4" w:rsidP="00B22FC1">
      <w:pPr>
        <w:jc w:val="right"/>
      </w:pPr>
      <w:r w:rsidRPr="00FA5B90">
        <w:t>График 4</w:t>
      </w:r>
      <w:r w:rsidR="00B22FC1" w:rsidRPr="00FA5B90">
        <w:t>. Распределение баллов егэ по кластерам</w:t>
      </w:r>
    </w:p>
    <w:p w14:paraId="77C52E26" w14:textId="715E2F6A" w:rsidR="002E6464" w:rsidRPr="00FA5B90" w:rsidRDefault="00B22FC1" w:rsidP="002E6464">
      <w:r w:rsidRPr="00FA5B90">
        <w:t>Отсюда видим, что небольшой балл ЕГЭ у «остальных» вузов, в то время как сбалансированные имеют самый высокий балл</w:t>
      </w:r>
      <w:r w:rsidR="007B0FE8" w:rsidRPr="00FA5B90">
        <w:t>, что логично, ведь качество вузов напрямую определяется качеством его контингента</w:t>
      </w:r>
      <w:r w:rsidRPr="00FA5B90">
        <w:t>.</w:t>
      </w:r>
      <w:r w:rsidR="00FF02EC" w:rsidRPr="00FA5B90">
        <w:t xml:space="preserve"> Аналогичными методами можно разобрать и все остальные признаки.</w:t>
      </w:r>
    </w:p>
    <w:p w14:paraId="0857A597" w14:textId="06B7C4DA" w:rsidR="007B0FE8" w:rsidRPr="00FA5B90" w:rsidRDefault="005E2117" w:rsidP="007B0FE8">
      <w:r w:rsidRPr="00FA5B90">
        <w:t xml:space="preserve">Однако для наших целей необходимо знать только то, какие факторы наиболее значимы для </w:t>
      </w:r>
      <w:r w:rsidR="00B22FC1" w:rsidRPr="00FA5B90">
        <w:t xml:space="preserve">университета, </w:t>
      </w:r>
      <w:r w:rsidR="00FF02EC" w:rsidRPr="00FA5B90">
        <w:t>что именно сильнее всего влияет на нахождение в том или ином кластере</w:t>
      </w:r>
      <w:r w:rsidR="002014C9" w:rsidRPr="00FA5B90">
        <w:t xml:space="preserve"> и</w:t>
      </w:r>
      <w:r w:rsidR="002014C9" w:rsidRPr="00FA5B90">
        <w:rPr>
          <w:rStyle w:val="10"/>
        </w:rPr>
        <w:t xml:space="preserve"> </w:t>
      </w:r>
      <w:r w:rsidR="002014C9" w:rsidRPr="00FA5B90">
        <w:rPr>
          <w:rStyle w:val="af2"/>
          <w:b w:val="0"/>
        </w:rPr>
        <w:t>что надо усилить, чтобы сгладить дисбалансы</w:t>
      </w:r>
      <w:r w:rsidR="00FF02EC" w:rsidRPr="00FA5B90">
        <w:t>.</w:t>
      </w:r>
      <w:r w:rsidR="007B0FE8" w:rsidRPr="00FA5B90">
        <w:t xml:space="preserve"> Так можно сделать вывод, что наиболее значимые факторы это материальная обеспеченность вуза и качество его студентов.</w:t>
      </w:r>
    </w:p>
    <w:p w14:paraId="2C611A3C" w14:textId="254474B6" w:rsidR="00B537B2" w:rsidRPr="00FA5B90" w:rsidRDefault="00B537B2" w:rsidP="00B537B2">
      <w:pPr>
        <w:pStyle w:val="1"/>
      </w:pPr>
      <w:bookmarkStart w:id="17" w:name="_Toc196598708"/>
      <w:r w:rsidRPr="00FA5B90">
        <w:t>Глава 4. Рекомендации</w:t>
      </w:r>
      <w:bookmarkEnd w:id="17"/>
    </w:p>
    <w:p w14:paraId="530793DE" w14:textId="545A5A5B" w:rsidR="000C7FBD" w:rsidRPr="00FA5B90" w:rsidRDefault="000C7FBD" w:rsidP="007B0FE8">
      <w:r w:rsidRPr="00FA5B90">
        <w:t xml:space="preserve">Несмотря на имеющуюся институциональную дифференциацию, около 70 % российских вузов оказываются в кластере </w:t>
      </w:r>
      <w:r w:rsidR="00B537B2" w:rsidRPr="00FA5B90">
        <w:t>4</w:t>
      </w:r>
      <w:r w:rsidRPr="00FA5B90">
        <w:t>, где ни научная, ни коммерческая функции не развиты. Формально эти учреждения могли бы сконцентрироваться исключительно на образовательной миссии, однако качество этой миссии остаётся</w:t>
      </w:r>
      <w:r w:rsidR="00B537B2" w:rsidRPr="00FA5B90">
        <w:t xml:space="preserve"> низким (следует из п.1 главы 2), следовательно, диффиринциация проходит неэффективно. Таким образом, сам факт акцента </w:t>
      </w:r>
      <w:r w:rsidR="00B537B2" w:rsidRPr="00FA5B90">
        <w:lastRenderedPageBreak/>
        <w:t>на преподавании и подготовке кадров без должного уровня поддержки от государства приводит к тому, что профессионально-подготовительная функция реализуется слабо, несмотря на формальное исполнение миссии.</w:t>
      </w:r>
    </w:p>
    <w:p w14:paraId="04F2B3EE" w14:textId="0E660D99" w:rsidR="00FB220B" w:rsidRPr="00FA5B90" w:rsidRDefault="00B537B2" w:rsidP="00513EEB">
      <w:pPr>
        <w:rPr>
          <w:rFonts w:cs="Times New Roman"/>
        </w:rPr>
      </w:pPr>
      <w:r w:rsidRPr="00FA5B90">
        <w:t>Чтобы устранить выявленные противоречия и повысить эффективность профессиональной подготовки и научно-исследовательской деятельности, государству следует принять следующие меры.</w:t>
      </w:r>
    </w:p>
    <w:p w14:paraId="3C3B2881" w14:textId="5D5C8393" w:rsidR="00FB220B" w:rsidRPr="00FA5B90" w:rsidRDefault="009E1300" w:rsidP="00B51C95">
      <w:pPr>
        <w:pStyle w:val="2"/>
      </w:pPr>
      <w:bookmarkStart w:id="18" w:name="_Toc196598709"/>
      <w:r w:rsidRPr="00FA5B90">
        <w:rPr>
          <w:rFonts w:cs="Times New Roman"/>
        </w:rPr>
        <w:t xml:space="preserve">4.1 </w:t>
      </w:r>
      <w:r w:rsidR="00B51C95" w:rsidRPr="00FA5B90">
        <w:t>Чёткое разделение функций вузов</w:t>
      </w:r>
      <w:bookmarkEnd w:id="18"/>
    </w:p>
    <w:p w14:paraId="55E80C13" w14:textId="0B3F19ED" w:rsidR="00B51C95" w:rsidRPr="00FA5B90" w:rsidRDefault="00B51C95" w:rsidP="00B51C95">
      <w:r w:rsidRPr="00FA5B90">
        <w:t>В современных образовательных системах хорошо зарекомендовало себя чёткое разграничение миссий университетов в зависимости от их ключевых задач и сильных сторон. Подобно разделению на исследовательские «Universitäten» и прикладные «Fachhochschulen» в Германии или Research Universities и Universities of Applied Sciences в Нидерландах, в России целесообразно официально закрепить четыре типа вузов с разными ролями и соответствующими механизмами поддержки.</w:t>
      </w:r>
    </w:p>
    <w:p w14:paraId="7F9ADB0F" w14:textId="67A4A432" w:rsidR="00B51C95" w:rsidRPr="00FA5B90" w:rsidRDefault="00B51C95" w:rsidP="00B51C95">
      <w:r w:rsidRPr="00FA5B90">
        <w:t>Во-первых, университеты полного цикла (Например</w:t>
      </w:r>
      <w:r w:rsidR="00FE51F3" w:rsidRPr="00FA5B90">
        <w:t>,</w:t>
      </w:r>
      <w:r w:rsidRPr="00FA5B90">
        <w:t xml:space="preserve"> НИУ) должны сохранять баланс между фундаментальной наукой, прикладными исследованиями и образовательной функцией: их задачей становится едва ли не идеальная реализация «третьей миссии», когда публикации и академические проекты сочетаются с успешным трансфером технологий и подготовкой кадров высокого уровня. Для них необходимо комплексное программно-целевое финансирование, позволяющее одновременно развивать крупные исследовательские гранты, технопарки и образовательные инновации, без искусственных приоритетов одной функции над другой.</w:t>
      </w:r>
    </w:p>
    <w:p w14:paraId="1ABF2052" w14:textId="190B37D0" w:rsidR="00B51C95" w:rsidRPr="00FA5B90" w:rsidRDefault="00B51C95" w:rsidP="00B51C95">
      <w:r w:rsidRPr="00FA5B90">
        <w:t>Во-вторых, есть университеты-генераторы знаний, для которых приоритет по-прежнему остаётся на фундаментальных исследованиях и формировании научной элиты. Таким вузам целесообразно упростить доступ к грантам на чистую науку, стимулировать международные публикации и коллаборации, а образовательная работа должна концентрироваться на подготовке исследователей, для которых участие в лабораторных и проектных группах будет обязательным компонентом учебного плана.</w:t>
      </w:r>
    </w:p>
    <w:p w14:paraId="22F6108D" w14:textId="6DC06868" w:rsidR="00B51C95" w:rsidRPr="00FA5B90" w:rsidRDefault="00FE51F3" w:rsidP="00B51C95">
      <w:r w:rsidRPr="00FA5B90">
        <w:lastRenderedPageBreak/>
        <w:t xml:space="preserve">Третья категория - </w:t>
      </w:r>
      <w:r w:rsidR="00B51C95" w:rsidRPr="00FA5B90">
        <w:t xml:space="preserve">технологические вузы, или </w:t>
      </w:r>
      <w:r w:rsidRPr="00FA5B90">
        <w:t xml:space="preserve">университеты-предприниматели, </w:t>
      </w:r>
      <w:r w:rsidR="00B51C95" w:rsidRPr="00FA5B90">
        <w:t>призвана решать прикладные задачи экономики и обеспечивать промышленность готовыми решениями. Для них эффективнее всего введение механизмов софинансирования совместных НИОКР с бизнесом, налоговых льгот для индустриальных партнёров, а образовательная функция должна концентрироваться на дуальных программах и стажировках в компаниях, где студенты, под руководством практикующих инженеров, выполняют реальные технологические проекты.</w:t>
      </w:r>
    </w:p>
    <w:p w14:paraId="0A8FE5D2" w14:textId="564F234D" w:rsidR="00B51C95" w:rsidRPr="00FA5B90" w:rsidRDefault="00B51C95" w:rsidP="00B51C95">
      <w:r w:rsidRPr="00FA5B90">
        <w:t>Наконец, педагогические и региональные институты, ориентированные на массовую подготовку кадров для локальных рынков труда, должны сосредоточиться исключительно на образовательной миссии. В отношении них надлежит снять требования по публикационной активности и НИОКР, направив все государственные субсидии на обновлени</w:t>
      </w:r>
      <w:r w:rsidR="00FE51F3" w:rsidRPr="00FA5B90">
        <w:t>е практической инфраструктуры (</w:t>
      </w:r>
      <w:r w:rsidRPr="00FA5B90">
        <w:t>лабораторий, учебных мастерских, платфо</w:t>
      </w:r>
      <w:r w:rsidR="00FE51F3" w:rsidRPr="00FA5B90">
        <w:t>рм для дистанционного обучения)</w:t>
      </w:r>
      <w:r w:rsidRPr="00FA5B90">
        <w:t xml:space="preserve"> а аккредитация и оценка качества должны базироваться на показателях трудоустройства выпускников и удовлетворённости работодателей.</w:t>
      </w:r>
    </w:p>
    <w:p w14:paraId="41308115" w14:textId="44B83283" w:rsidR="00B51C95" w:rsidRPr="00FA5B90" w:rsidRDefault="00FE51F3" w:rsidP="00B51C95">
      <w:r w:rsidRPr="00FA5B90">
        <w:t>Такое разделение функций (</w:t>
      </w:r>
      <w:r w:rsidR="00B51C95" w:rsidRPr="00FA5B90">
        <w:t>подкреплённое соответствующими целевыми показателями и дифф</w:t>
      </w:r>
      <w:r w:rsidRPr="00FA5B90">
        <w:t>еренцированным финансированием)</w:t>
      </w:r>
      <w:r w:rsidR="00B51C95" w:rsidRPr="00FA5B90">
        <w:t xml:space="preserve"> позволит государству не распылять ресурсы, а адресно поддерживать каждый тип вузов в соответствии с их миссией и потребностями национальной экономики. Это обеспечит более быстрый и сбалансированный рост профессиональной подготовки и научно-исследовательской деятельности в тех сегментах, где они наиболее востребованы.</w:t>
      </w:r>
    </w:p>
    <w:p w14:paraId="7CDE6E28" w14:textId="199027B5" w:rsidR="00B51C95" w:rsidRPr="00FA5B90" w:rsidRDefault="00B51C95" w:rsidP="00AD1EA4">
      <w:pPr>
        <w:pStyle w:val="2"/>
      </w:pPr>
      <w:bookmarkStart w:id="19" w:name="_Toc196598710"/>
      <w:r w:rsidRPr="00FA5B90">
        <w:rPr>
          <w:rFonts w:cs="Times New Roman"/>
        </w:rPr>
        <w:t xml:space="preserve">4.2 </w:t>
      </w:r>
      <w:r w:rsidR="003E12A8" w:rsidRPr="00FA5B90">
        <w:t>Делегирование части образовательных программ внешним онлайн-</w:t>
      </w:r>
      <w:r w:rsidR="00AD1EA4" w:rsidRPr="00FA5B90">
        <w:t>школам</w:t>
      </w:r>
      <w:bookmarkEnd w:id="19"/>
    </w:p>
    <w:p w14:paraId="6A268584" w14:textId="50CCA42B" w:rsidR="00AD1EA4" w:rsidRPr="00FA5B90" w:rsidRDefault="00AD1EA4" w:rsidP="00AD1EA4">
      <w:r w:rsidRPr="00FA5B90">
        <w:t xml:space="preserve">Одним из эффективных путей оптимизации системы высшего образования может стать делегирование подготовки по ряду направлений внешним образовательным платформам и онлайн-школам. Подобная практика уже постепенно развивается в России стихийно — через курсы </w:t>
      </w:r>
      <w:r w:rsidRPr="00FA5B90">
        <w:lastRenderedPageBreak/>
        <w:t>дополнительного образования и коммерческие онлайн-программы. Однако в условиях бюджетных ограничений и необходимости сфокусироваться на стратегически важных направлениях её можно институционализировать и превратить в инструмент государственной политики.</w:t>
      </w:r>
    </w:p>
    <w:p w14:paraId="56DE87EB" w14:textId="222123A1" w:rsidR="00AD1EA4" w:rsidRPr="00FA5B90" w:rsidRDefault="00AD1EA4" w:rsidP="00AD1EA4">
      <w:r w:rsidRPr="00FA5B90">
        <w:t>Предлагается зафиксировать, что программы подготовки кадров по профессиям, не являющимся критически важными для национальной экономики (например, в ряде гуманитарных и сервисных направлений), могут реализовываться вне рамок традиционной университетской системы через лицензированные онлайн-школы и частные образовательные организации. При этом государство будет минимально субсидировать такие программы или вовсе исключит их из системы бюджетного финансирования.</w:t>
      </w:r>
    </w:p>
    <w:p w14:paraId="56DB651F" w14:textId="699E0803" w:rsidR="00AD1EA4" w:rsidRPr="00FA5B90" w:rsidRDefault="00AD1EA4" w:rsidP="00AD1EA4">
      <w:r w:rsidRPr="00FA5B90">
        <w:t>Такой подход позволит решить сразу несколько задач. Во-первых, снизится финансовая нагрузка на государственный бюджет: высвободятся средства, которые можно будет направить на поддержку университетов, обеспечивающих подготовку специалистов в инженерных, медицинских, педагогических и иных стратегических областях. Во-вторых, повысится доступность образования для широких слоёв населения, поскольку стоимость обучения в онлайн-форматах зачастую существенно ниже, чем в традиционных вузах. В-третьих, сократится избыточная сеть неэффективных вузов, существующих преимущественно за счёт подготовки специалистов по непродуктивным направлениям. Ряд университетов, утративших реальную образовательную миссию, может быть реорганизован или выведен из системы бюджетной поддержки.</w:t>
      </w:r>
    </w:p>
    <w:p w14:paraId="13522201" w14:textId="1B46C723" w:rsidR="00AD1EA4" w:rsidRPr="00FA5B90" w:rsidRDefault="00AD1EA4" w:rsidP="00AD1EA4">
      <w:r w:rsidRPr="00FA5B90">
        <w:t>Важно подчеркнуть, что данная мера не предполагает полного отказа от очного высшего образования, а направлена именно на сегментирование: подготовку по сложным и социально значимым профессиям (инженеры, врачи, учителя) оставляют за сильными университетами, тогда как менее приоритетные сферы передаются на рынок, с последующей сертификацией выпускников через независимые аттестационные центры.</w:t>
      </w:r>
    </w:p>
    <w:p w14:paraId="4A501801" w14:textId="50EF39E8" w:rsidR="00AD1EA4" w:rsidRPr="00FA5B90" w:rsidRDefault="00AD1EA4" w:rsidP="00AD1EA4">
      <w:r w:rsidRPr="00FA5B90">
        <w:lastRenderedPageBreak/>
        <w:t>Таким образом, делегирование части образовательных функций онлайн-платформам позволяет повысить эффективность использования бюджетных средств, сфокусировать усилия вузов на приоритетных задачах и расширить доступ к высшему образованию для населения без увеличения нагрузки на государственные ресурсы.</w:t>
      </w:r>
    </w:p>
    <w:p w14:paraId="26E2D7B0" w14:textId="34BFC4F2" w:rsidR="008F2C4A" w:rsidRPr="00FA5B90" w:rsidRDefault="00AD1EA4" w:rsidP="00AD1EA4">
      <w:r w:rsidRPr="00FA5B90">
        <w:t>В долгосрочной перспективе такая реформа будет способствовать структурному оздоровлению системы высшего образования: укрепится роль университетов как центров научных исследований и подготовки высококвалифицированных специалистов, а за счёт вовлечения рынка в сегменты массового обучения удастся повысить гибкость и скорость адаптации образовательных программ к запросам экономики. Это обеспечит более рациональное распределение ресурсов, повысит качество подготовки по стратегическим направлениям и сделает высшее образование более доступным и разнообразным без потери его качества.</w:t>
      </w:r>
    </w:p>
    <w:p w14:paraId="6E78759D" w14:textId="77777777" w:rsidR="002E1462" w:rsidRPr="00FA5B90" w:rsidRDefault="002E146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FA5B90">
        <w:br w:type="page"/>
      </w:r>
    </w:p>
    <w:p w14:paraId="30FBD2E7" w14:textId="2BB8E00F" w:rsidR="008F2C4A" w:rsidRPr="00FA5B90" w:rsidRDefault="008F2C4A" w:rsidP="008F2C4A">
      <w:pPr>
        <w:pStyle w:val="1"/>
      </w:pPr>
      <w:bookmarkStart w:id="20" w:name="_Toc196598711"/>
      <w:r w:rsidRPr="00FA5B90">
        <w:lastRenderedPageBreak/>
        <w:t>Список литературы:</w:t>
      </w:r>
      <w:bookmarkEnd w:id="20"/>
    </w:p>
    <w:p w14:paraId="47D6B46B" w14:textId="1C5B37F3" w:rsidR="008F2C4A" w:rsidRPr="00FA5B90" w:rsidRDefault="00326D17" w:rsidP="00326D17">
      <w:pPr>
        <w:pStyle w:val="a3"/>
        <w:numPr>
          <w:ilvl w:val="0"/>
          <w:numId w:val="7"/>
        </w:numPr>
      </w:pPr>
      <w:r w:rsidRPr="00FA5B90">
        <w:t>Дж.Равен, 1984. Компетентность в современном обществе. Выявление, развитие и реализация</w:t>
      </w:r>
    </w:p>
    <w:p w14:paraId="12D4582C" w14:textId="30C6F3D3" w:rsidR="008F2C4A" w:rsidRPr="00FA5B90" w:rsidRDefault="00326D17" w:rsidP="00326D17">
      <w:pPr>
        <w:pStyle w:val="a3"/>
        <w:numPr>
          <w:ilvl w:val="0"/>
          <w:numId w:val="7"/>
        </w:numPr>
        <w:rPr>
          <w:lang w:val="en-US"/>
        </w:rPr>
      </w:pPr>
      <w:r w:rsidRPr="00FA5B90">
        <w:rPr>
          <w:lang w:val="en-US"/>
        </w:rPr>
        <w:t xml:space="preserve">Slaughter, Sheila and Larry L. Leslie. “Expanding and Elaborating the Concept of Academic Capitalism.” </w:t>
      </w:r>
    </w:p>
    <w:p w14:paraId="05FD7E4D" w14:textId="77777777" w:rsidR="000A4475" w:rsidRPr="00FA5B90" w:rsidRDefault="00326D17" w:rsidP="000A4475">
      <w:pPr>
        <w:pStyle w:val="a3"/>
        <w:numPr>
          <w:ilvl w:val="0"/>
          <w:numId w:val="7"/>
        </w:numPr>
      </w:pPr>
      <w:r w:rsidRPr="00FA5B90">
        <w:t>Г. Беккер «Человеческий капитал: теоретический и эмпирический анализ»</w:t>
      </w:r>
    </w:p>
    <w:p w14:paraId="537201E8" w14:textId="3DCC6ABC" w:rsidR="00326D17" w:rsidRPr="00FA5B90" w:rsidRDefault="000A4475" w:rsidP="000A4475">
      <w:pPr>
        <w:pStyle w:val="a3"/>
        <w:numPr>
          <w:ilvl w:val="0"/>
          <w:numId w:val="7"/>
        </w:numPr>
      </w:pPr>
      <w:r w:rsidRPr="00FA5B90">
        <w:t>Попова Е. П., Климова А. В. Российские вузы: организационная специфика и выбор ориентиров развития // Социологические исследования. 2018. № 12. С. 63-72.</w:t>
      </w:r>
    </w:p>
    <w:p w14:paraId="66277E9E" w14:textId="0CAE0597" w:rsidR="000A4475" w:rsidRPr="00FA5B90" w:rsidRDefault="00BD1C97" w:rsidP="000A4475">
      <w:pPr>
        <w:pStyle w:val="a3"/>
        <w:numPr>
          <w:ilvl w:val="0"/>
          <w:numId w:val="7"/>
        </w:numPr>
      </w:pPr>
      <w:r w:rsidRPr="00FA5B90">
        <w:t>Фрумин И., Кузьминов Я.</w:t>
      </w:r>
      <w:r w:rsidR="000A4475" w:rsidRPr="00FA5B90">
        <w:t xml:space="preserve">, Семенов Д. Незавершенный переход - от Госплана к мастер-плану // отечественные записки: журнал для медленного чтения. - М. - 2013. - № 4 (55). - режим доступа: </w:t>
      </w:r>
      <w:r w:rsidR="000A4475" w:rsidRPr="00FA5B90">
        <w:rPr>
          <w:lang w:val="en-US"/>
        </w:rPr>
        <w:t>http</w:t>
      </w:r>
      <w:r w:rsidR="000A4475" w:rsidRPr="00FA5B90">
        <w:t>://</w:t>
      </w:r>
      <w:r w:rsidR="000A4475" w:rsidRPr="00FA5B90">
        <w:rPr>
          <w:lang w:val="en-US"/>
        </w:rPr>
        <w:t>www</w:t>
      </w:r>
      <w:r w:rsidR="000A4475" w:rsidRPr="00FA5B90">
        <w:t xml:space="preserve">. </w:t>
      </w:r>
      <w:r w:rsidR="000A4475" w:rsidRPr="00FA5B90">
        <w:rPr>
          <w:lang w:val="en-US"/>
        </w:rPr>
        <w:t>Strana</w:t>
      </w:r>
      <w:r w:rsidR="000A4475" w:rsidRPr="00FA5B90">
        <w:t>-</w:t>
      </w:r>
      <w:r w:rsidR="000A4475" w:rsidRPr="00FA5B90">
        <w:rPr>
          <w:lang w:val="en-US"/>
        </w:rPr>
        <w:t>oz</w:t>
      </w:r>
      <w:r w:rsidR="000A4475" w:rsidRPr="00FA5B90">
        <w:t xml:space="preserve">. </w:t>
      </w:r>
      <w:r w:rsidR="000A4475" w:rsidRPr="00FA5B90">
        <w:rPr>
          <w:lang w:val="en-US"/>
        </w:rPr>
        <w:t>Ru</w:t>
      </w:r>
      <w:r w:rsidR="000A4475" w:rsidRPr="00FA5B90">
        <w:t xml:space="preserve">/2013/4/ </w:t>
      </w:r>
      <w:r w:rsidR="000A4475" w:rsidRPr="00FA5B90">
        <w:rPr>
          <w:lang w:val="en-US"/>
        </w:rPr>
        <w:t>nezavershennyy</w:t>
      </w:r>
      <w:r w:rsidR="000A4475" w:rsidRPr="00FA5B90">
        <w:t>-</w:t>
      </w:r>
      <w:r w:rsidR="000A4475" w:rsidRPr="00FA5B90">
        <w:rPr>
          <w:lang w:val="en-US"/>
        </w:rPr>
        <w:t>perehod</w:t>
      </w:r>
      <w:r w:rsidR="000A4475" w:rsidRPr="00FA5B90">
        <w:t>-</w:t>
      </w:r>
      <w:r w:rsidR="000A4475" w:rsidRPr="00FA5B90">
        <w:rPr>
          <w:lang w:val="en-US"/>
        </w:rPr>
        <w:t>ot</w:t>
      </w:r>
      <w:r w:rsidR="000A4475" w:rsidRPr="00FA5B90">
        <w:t>-</w:t>
      </w:r>
      <w:r w:rsidR="000A4475" w:rsidRPr="00FA5B90">
        <w:rPr>
          <w:lang w:val="en-US"/>
        </w:rPr>
        <w:t>gosplana</w:t>
      </w:r>
      <w:r w:rsidR="000A4475" w:rsidRPr="00FA5B90">
        <w:t>---</w:t>
      </w:r>
      <w:r w:rsidR="000A4475" w:rsidRPr="00FA5B90">
        <w:rPr>
          <w:lang w:val="en-US"/>
        </w:rPr>
        <w:t>k</w:t>
      </w:r>
      <w:r w:rsidR="000A4475" w:rsidRPr="00FA5B90">
        <w:t>-</w:t>
      </w:r>
      <w:r w:rsidR="000A4475" w:rsidRPr="00FA5B90">
        <w:rPr>
          <w:lang w:val="en-US"/>
        </w:rPr>
        <w:t>master</w:t>
      </w:r>
      <w:r w:rsidR="000A4475" w:rsidRPr="00FA5B90">
        <w:t>-</w:t>
      </w:r>
      <w:r w:rsidR="000A4475" w:rsidRPr="00FA5B90">
        <w:rPr>
          <w:lang w:val="en-US"/>
        </w:rPr>
        <w:t>planu</w:t>
      </w:r>
    </w:p>
    <w:p w14:paraId="0494D04D" w14:textId="1F25C6E2" w:rsidR="008F2C4A" w:rsidRPr="00FA5B90" w:rsidRDefault="008F2C4A" w:rsidP="00FE305E">
      <w:pPr>
        <w:pStyle w:val="a3"/>
        <w:numPr>
          <w:ilvl w:val="0"/>
          <w:numId w:val="7"/>
        </w:numPr>
      </w:pPr>
      <w:r w:rsidRPr="00FA5B90">
        <w:t>Панькова Т.Л., ДальГАУ г. Благовещенск БОЛОНСКИЙ ПРОЦЕСС И РОССИЙСКОЕ ОБРАЗОВАНИЕ, ОПЫТ МОДЕРНИЗАЦИИ ОБРАЗОВАТЕЛЬНОГО ПРОЦЕССА</w:t>
      </w:r>
    </w:p>
    <w:p w14:paraId="565C8A60" w14:textId="77777777" w:rsidR="00B67677" w:rsidRPr="00FA5B90" w:rsidRDefault="00B67677" w:rsidP="00B67677">
      <w:pPr>
        <w:pStyle w:val="a3"/>
        <w:numPr>
          <w:ilvl w:val="0"/>
          <w:numId w:val="7"/>
        </w:numPr>
      </w:pPr>
      <w:r w:rsidRPr="00FA5B90">
        <w:t xml:space="preserve">Наталья Геннадьевна Деханова, Валентина Афанасьевна Сушко, Юрий Александрович Холоденко Возможности и риски для выпускников высших учебных заведений на российском рынке труда // Общество: социология, психология, педагогика. 2023. №11. </w:t>
      </w:r>
    </w:p>
    <w:p w14:paraId="074B9203" w14:textId="3616A34E" w:rsidR="00FE305E" w:rsidRPr="00FA5B90" w:rsidRDefault="00D72646" w:rsidP="00D72646">
      <w:pPr>
        <w:pStyle w:val="a3"/>
        <w:numPr>
          <w:ilvl w:val="0"/>
          <w:numId w:val="7"/>
        </w:numPr>
      </w:pPr>
      <w:r w:rsidRPr="00FA5B90">
        <w:t>Гохберг, Л.М., Заиченко, Н.А., Китова, Г.А., Кузнецова, Т.А. (2020). Индикаторы науки: 2020: статистический сборник. М.: НИУ ВШЭ.</w:t>
      </w:r>
    </w:p>
    <w:p w14:paraId="5226D4E6" w14:textId="32FCFE71" w:rsidR="00C235F6" w:rsidRPr="00FA5B90" w:rsidRDefault="00C235F6" w:rsidP="00C235F6">
      <w:pPr>
        <w:pStyle w:val="a3"/>
        <w:numPr>
          <w:ilvl w:val="0"/>
          <w:numId w:val="7"/>
        </w:numPr>
      </w:pPr>
      <w:r w:rsidRPr="00FA5B90">
        <w:t>Варшавская Елена Яковлевна «Самооценка дефицита навыков выпускниками вузов, или Чему не учат в высшей школе» // Вопросы образования. 2024. №3.</w:t>
      </w:r>
    </w:p>
    <w:p w14:paraId="1D83A8FA" w14:textId="5C32B3C3" w:rsidR="00C235F6" w:rsidRPr="00FA5B90" w:rsidRDefault="00EE019D" w:rsidP="00EE019D">
      <w:pPr>
        <w:pStyle w:val="a3"/>
        <w:numPr>
          <w:ilvl w:val="0"/>
          <w:numId w:val="7"/>
        </w:numPr>
      </w:pPr>
      <w:r w:rsidRPr="00FA5B90">
        <w:t xml:space="preserve">Рожкова К.В., Рощин С.Ю., Солнцев С.А., Травкин П.В. (2023) Дифференциация качества высшего образования и заработных плат </w:t>
      </w:r>
      <w:r w:rsidRPr="00FA5B90">
        <w:lastRenderedPageBreak/>
        <w:t xml:space="preserve">выпускников в России. Вопросы образования / Educational Studies Moscow, № 1, сс. 161–190. </w:t>
      </w:r>
      <w:hyperlink r:id="rId14" w:history="1">
        <w:r w:rsidR="004E1BB9" w:rsidRPr="00FA5B90">
          <w:rPr>
            <w:rStyle w:val="a5"/>
          </w:rPr>
          <w:t>https://doi.org/10.17323/1814-9545-2023-1-161-190</w:t>
        </w:r>
      </w:hyperlink>
    </w:p>
    <w:p w14:paraId="4312A7E4" w14:textId="77777777" w:rsidR="004E1BB9" w:rsidRPr="00FA5B90" w:rsidRDefault="004E1BB9" w:rsidP="004E1BB9">
      <w:pPr>
        <w:pStyle w:val="a3"/>
        <w:numPr>
          <w:ilvl w:val="0"/>
          <w:numId w:val="7"/>
        </w:numPr>
        <w:rPr>
          <w:lang w:val="en-US"/>
        </w:rPr>
      </w:pPr>
      <w:r w:rsidRPr="00FA5B90">
        <w:rPr>
          <w:lang w:val="en-US"/>
        </w:rPr>
        <w:t>Teichler U. Changing Structures of the Higher Education Systems: The Increasing Complexity of Underlying Forces // Diversification of Higher Education and the Changing Role of Knowledge and Research. UNESCO Forum Occasional Paper Series Paper No. 6. Paris, 2004. Р. 3-17.</w:t>
      </w:r>
    </w:p>
    <w:p w14:paraId="04819545" w14:textId="4DDD889F" w:rsidR="004E1BB9" w:rsidRPr="00FA5B90" w:rsidRDefault="00E1736B" w:rsidP="00EE019D">
      <w:pPr>
        <w:pStyle w:val="a3"/>
        <w:numPr>
          <w:ilvl w:val="0"/>
          <w:numId w:val="7"/>
        </w:numPr>
      </w:pPr>
      <w:r w:rsidRPr="00FA5B90">
        <w:t>Рощин, С. Ю., Рудаков, В. Н. Влияние «качества» вуза на заработную плату выпускников [Электронный ресурс]: препринт WP15/2015/03 / С. Ю. Рощин, В. Н. Рудаков ; Нац. исслед. ун-т «Высшая школа экономики». – Электрон. текст. дан. (700 Кб). – М. : Изд. дом Высшей школы экономики, 2015. – (Серия WP15 «Научные труды Лаборатории исследований рынка труда»).</w:t>
      </w:r>
    </w:p>
    <w:p w14:paraId="721232E9" w14:textId="77777777" w:rsidR="00CC3DBC" w:rsidRPr="00FA5B90" w:rsidRDefault="00CC3DBC" w:rsidP="00CC3DBC">
      <w:pPr>
        <w:pStyle w:val="a3"/>
        <w:numPr>
          <w:ilvl w:val="0"/>
          <w:numId w:val="7"/>
        </w:numPr>
      </w:pPr>
      <w:r w:rsidRPr="00FA5B90">
        <w:t>Попова О. И. Трансформация высшего образования в условиях цифровой экономики // Вопросы управления. 2018. №5 (35). URL: https://cyberleninka.ru/article/n/transformatsiya-vysshego-obrazovaniya-v-usloviyah-tsifrovoy-ekonomiki (дата обращения: 19.04.2025).</w:t>
      </w:r>
    </w:p>
    <w:p w14:paraId="46CF1BD2" w14:textId="4D79E302" w:rsidR="00CC3DBC" w:rsidRPr="00FA5B90" w:rsidRDefault="00254C67" w:rsidP="00254C67">
      <w:pPr>
        <w:pStyle w:val="a3"/>
        <w:numPr>
          <w:ilvl w:val="0"/>
          <w:numId w:val="7"/>
        </w:numPr>
      </w:pPr>
      <w:r w:rsidRPr="00FA5B90">
        <w:t>А. Ю. АНДРЕЕВ, ГУМБОЛЬДТОВСКАЯ МОДЕЛЬ КЛАССИЧЕСКОГО НЕМЕЦКОГО УНИВЕРСИТЕТА [Электронный ресурс]: электрон. данные. - Минск: Белорусская цифровая библиотека LIBRARY.BY, 11 июня 2021. - Режим доступа: https://library.by/portalus/modules/pedagogics/readme.php?subaction=showfull&amp;id=1623417509&amp;archive=&amp;start_from=&amp;ucat=&amp; (свободный доступ).</w:t>
      </w:r>
    </w:p>
    <w:p w14:paraId="5806A223" w14:textId="3ACD2951" w:rsidR="00254C67" w:rsidRPr="00FA5B90" w:rsidRDefault="00254C67" w:rsidP="00254C67">
      <w:pPr>
        <w:pStyle w:val="a3"/>
        <w:numPr>
          <w:ilvl w:val="0"/>
          <w:numId w:val="7"/>
        </w:numPr>
      </w:pPr>
      <w:r w:rsidRPr="00FA5B90">
        <w:t xml:space="preserve">Гельманова З.С., Бутрин А.Г., Гарт Н.А. ПРЕДПРИНИМАТЕЛЬСКИЙ УНИВЕРСИТЕТ, В КОНТЕКСТЕ ВЗАИМОДЕЙСТВИЯ «ТРОЙНОЙ СПИРАЛИ» // Международный </w:t>
      </w:r>
      <w:r w:rsidRPr="00FA5B90">
        <w:lastRenderedPageBreak/>
        <w:t>журнал прикладных и фундаментальных исследований. 2016. № 7-3. С. 444-449;</w:t>
      </w:r>
    </w:p>
    <w:p w14:paraId="168387F9" w14:textId="77777777" w:rsidR="00AD1EA4" w:rsidRPr="00FA5B90" w:rsidRDefault="004A279B" w:rsidP="00AD1EA4">
      <w:pPr>
        <w:pStyle w:val="a3"/>
        <w:numPr>
          <w:ilvl w:val="0"/>
          <w:numId w:val="7"/>
        </w:numPr>
        <w:rPr>
          <w:rStyle w:val="aa"/>
          <w:sz w:val="28"/>
          <w:szCs w:val="22"/>
        </w:rPr>
      </w:pPr>
      <w:r w:rsidRPr="00FA5B90">
        <w:t>Дремова О. В., Щеглова И. А. ТРЕТЬЯ МИССИЯ УНИВЕРСИТЕТОВ В РОССИИ: ТРЕНД НА (НЕ)КОММЕРЦИАЛИЗАЦИЮ? // Университетское управление: практика и анализ. 2</w:t>
      </w:r>
      <w:bookmarkStart w:id="21" w:name="_GoBack"/>
      <w:bookmarkEnd w:id="21"/>
      <w:r w:rsidRPr="00FA5B90">
        <w:t>022. №2. URL: https://cyberleninka.ru/article/n/tretya-missiya-universitetov-v-rossii-trend-na-ne-kommertsializatsiyu (дата обращения: 24.04.2025).</w:t>
      </w:r>
    </w:p>
    <w:p w14:paraId="0ABA9916" w14:textId="6B48C21F" w:rsidR="00FE26DC" w:rsidRPr="00FA5B90" w:rsidRDefault="00AD1EA4" w:rsidP="00AD1EA4">
      <w:pPr>
        <w:pStyle w:val="a3"/>
        <w:numPr>
          <w:ilvl w:val="0"/>
          <w:numId w:val="7"/>
        </w:numPr>
      </w:pPr>
      <w:r w:rsidRPr="00FA5B90">
        <w:t>К</w:t>
      </w:r>
      <w:r w:rsidR="00FE26DC" w:rsidRPr="00FA5B90">
        <w:t xml:space="preserve">лячко Татьяна Львовна Образование в России и мире. Основные тенденции // Образовательная политика. 2020. №1 (81). </w:t>
      </w:r>
    </w:p>
    <w:p w14:paraId="0C55B740" w14:textId="2BEDAAA3" w:rsidR="00FE26DC" w:rsidRDefault="00FE26DC" w:rsidP="00560FA3">
      <w:pPr>
        <w:ind w:firstLine="0"/>
      </w:pPr>
    </w:p>
    <w:sectPr w:rsidR="00FE26D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E66D92" w16cid:durableId="2B9FB907"/>
  <w16cid:commentId w16cid:paraId="5083BBF1" w16cid:durableId="2B9FB908"/>
  <w16cid:commentId w16cid:paraId="5146860F" w16cid:durableId="2B9FB909"/>
  <w16cid:commentId w16cid:paraId="2C7A2E96" w16cid:durableId="2B9FB90A"/>
  <w16cid:commentId w16cid:paraId="2970E0DB" w16cid:durableId="2B9FB90B"/>
  <w16cid:commentId w16cid:paraId="0A9FAAAB" w16cid:durableId="2B9FB90C"/>
  <w16cid:commentId w16cid:paraId="73F0E517" w16cid:durableId="2B9FB90D"/>
  <w16cid:commentId w16cid:paraId="167C9CBD" w16cid:durableId="2B9FB90E"/>
  <w16cid:commentId w16cid:paraId="276EA75F" w16cid:durableId="2B9FB90F"/>
  <w16cid:commentId w16cid:paraId="34340C36" w16cid:durableId="2B9FB910"/>
  <w16cid:commentId w16cid:paraId="42B6D60B" w16cid:durableId="2B9FB911"/>
  <w16cid:commentId w16cid:paraId="1AB8D584" w16cid:durableId="2B9FB912"/>
  <w16cid:commentId w16cid:paraId="5DBE53A0" w16cid:durableId="2B9FB913"/>
  <w16cid:commentId w16cid:paraId="203FF5CF" w16cid:durableId="2B9FB914"/>
  <w16cid:commentId w16cid:paraId="551D947A" w16cid:durableId="2B9FB915"/>
  <w16cid:commentId w16cid:paraId="02DA2569" w16cid:durableId="2B9FB916"/>
  <w16cid:commentId w16cid:paraId="13DDBA91" w16cid:durableId="2B9FB917"/>
  <w16cid:commentId w16cid:paraId="7756CEE0" w16cid:durableId="2B9FB918"/>
  <w16cid:commentId w16cid:paraId="4989355C" w16cid:durableId="2B9FB919"/>
  <w16cid:commentId w16cid:paraId="4240094A" w16cid:durableId="2B9FB91A"/>
  <w16cid:commentId w16cid:paraId="54610D02" w16cid:durableId="2B9FB91B"/>
  <w16cid:commentId w16cid:paraId="4C142CA0" w16cid:durableId="2B9FB91C"/>
  <w16cid:commentId w16cid:paraId="54BAA19D" w16cid:durableId="2B9FB91D"/>
  <w16cid:commentId w16cid:paraId="035FA8B2" w16cid:durableId="2B9FB91E"/>
  <w16cid:commentId w16cid:paraId="65434A00" w16cid:durableId="2B9FB91F"/>
  <w16cid:commentId w16cid:paraId="19C8A2C9" w16cid:durableId="2B9FB920"/>
  <w16cid:commentId w16cid:paraId="19EEE59F" w16cid:durableId="2B9FB921"/>
  <w16cid:commentId w16cid:paraId="73F3F0A6" w16cid:durableId="2B9FB922"/>
  <w16cid:commentId w16cid:paraId="1EDEEDFA" w16cid:durableId="2B9FB923"/>
  <w16cid:commentId w16cid:paraId="00724009" w16cid:durableId="2B9FB924"/>
  <w16cid:commentId w16cid:paraId="168EDBE2" w16cid:durableId="2B9FB92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8422F" w14:textId="77777777" w:rsidR="003E0850" w:rsidRDefault="003E0850" w:rsidP="008F37C9">
      <w:pPr>
        <w:spacing w:line="240" w:lineRule="auto"/>
      </w:pPr>
      <w:r>
        <w:separator/>
      </w:r>
    </w:p>
  </w:endnote>
  <w:endnote w:type="continuationSeparator" w:id="0">
    <w:p w14:paraId="70F1E5CB" w14:textId="77777777" w:rsidR="003E0850" w:rsidRDefault="003E0850" w:rsidP="008F3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791939"/>
      <w:docPartObj>
        <w:docPartGallery w:val="Page Numbers (Bottom of Page)"/>
        <w:docPartUnique/>
      </w:docPartObj>
    </w:sdtPr>
    <w:sdtEndPr/>
    <w:sdtContent>
      <w:p w14:paraId="3219CC40" w14:textId="0B2B936E" w:rsidR="008756CC" w:rsidRDefault="008756C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B90">
          <w:rPr>
            <w:noProof/>
          </w:rPr>
          <w:t>4</w:t>
        </w:r>
        <w:r>
          <w:fldChar w:fldCharType="end"/>
        </w:r>
      </w:p>
    </w:sdtContent>
  </w:sdt>
  <w:p w14:paraId="22BD7EC8" w14:textId="77777777" w:rsidR="008756CC" w:rsidRDefault="008756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9DA8D" w14:textId="77777777" w:rsidR="003E0850" w:rsidRDefault="003E0850" w:rsidP="008F37C9">
      <w:pPr>
        <w:spacing w:line="240" w:lineRule="auto"/>
      </w:pPr>
      <w:r>
        <w:separator/>
      </w:r>
    </w:p>
  </w:footnote>
  <w:footnote w:type="continuationSeparator" w:id="0">
    <w:p w14:paraId="1E745064" w14:textId="77777777" w:rsidR="003E0850" w:rsidRDefault="003E0850" w:rsidP="008F37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9EC"/>
    <w:multiLevelType w:val="hybridMultilevel"/>
    <w:tmpl w:val="B0EE3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1D91"/>
    <w:multiLevelType w:val="hybridMultilevel"/>
    <w:tmpl w:val="DCF68818"/>
    <w:lvl w:ilvl="0" w:tplc="5D32E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B57E5D"/>
    <w:multiLevelType w:val="multilevel"/>
    <w:tmpl w:val="3758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C4583"/>
    <w:multiLevelType w:val="hybridMultilevel"/>
    <w:tmpl w:val="C78CC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521FC5"/>
    <w:multiLevelType w:val="hybridMultilevel"/>
    <w:tmpl w:val="F5FA07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81008B"/>
    <w:multiLevelType w:val="hybridMultilevel"/>
    <w:tmpl w:val="7E88B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B91C9E"/>
    <w:multiLevelType w:val="hybridMultilevel"/>
    <w:tmpl w:val="0A862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CF7E2A"/>
    <w:multiLevelType w:val="hybridMultilevel"/>
    <w:tmpl w:val="9EF6C974"/>
    <w:lvl w:ilvl="0" w:tplc="231679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71C4"/>
    <w:multiLevelType w:val="multilevel"/>
    <w:tmpl w:val="98B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750BA"/>
    <w:multiLevelType w:val="hybridMultilevel"/>
    <w:tmpl w:val="B3FEC938"/>
    <w:lvl w:ilvl="0" w:tplc="3F0AD6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141EA2"/>
    <w:multiLevelType w:val="hybridMultilevel"/>
    <w:tmpl w:val="91305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0278"/>
    <w:multiLevelType w:val="hybridMultilevel"/>
    <w:tmpl w:val="B232C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94663"/>
    <w:multiLevelType w:val="hybridMultilevel"/>
    <w:tmpl w:val="0B44B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29FC"/>
    <w:multiLevelType w:val="multilevel"/>
    <w:tmpl w:val="BDA4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E711F"/>
    <w:multiLevelType w:val="hybridMultilevel"/>
    <w:tmpl w:val="DF5084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0E2A45"/>
    <w:multiLevelType w:val="hybridMultilevel"/>
    <w:tmpl w:val="844A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71052"/>
    <w:multiLevelType w:val="multilevel"/>
    <w:tmpl w:val="8BA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36BF7"/>
    <w:multiLevelType w:val="hybridMultilevel"/>
    <w:tmpl w:val="7DCC6C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8B216ED"/>
    <w:multiLevelType w:val="hybridMultilevel"/>
    <w:tmpl w:val="D85AB7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0743B62"/>
    <w:multiLevelType w:val="hybridMultilevel"/>
    <w:tmpl w:val="A6F0CC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DD713C"/>
    <w:multiLevelType w:val="hybridMultilevel"/>
    <w:tmpl w:val="90B4D77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1" w15:restartNumberingAfterBreak="0">
    <w:nsid w:val="596D7095"/>
    <w:multiLevelType w:val="hybridMultilevel"/>
    <w:tmpl w:val="BED0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A07C2"/>
    <w:multiLevelType w:val="hybridMultilevel"/>
    <w:tmpl w:val="8D160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C6FC2"/>
    <w:multiLevelType w:val="hybridMultilevel"/>
    <w:tmpl w:val="595C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F0CB4"/>
    <w:multiLevelType w:val="multilevel"/>
    <w:tmpl w:val="19D8E8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27D6EBA"/>
    <w:multiLevelType w:val="hybridMultilevel"/>
    <w:tmpl w:val="AFA26090"/>
    <w:lvl w:ilvl="0" w:tplc="29B2FC3E">
      <w:start w:val="1"/>
      <w:numFmt w:val="decimal"/>
      <w:lvlText w:val="%1."/>
      <w:lvlJc w:val="left"/>
      <w:pPr>
        <w:ind w:left="1316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71C3841"/>
    <w:multiLevelType w:val="multilevel"/>
    <w:tmpl w:val="A02C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4025B6"/>
    <w:multiLevelType w:val="hybridMultilevel"/>
    <w:tmpl w:val="E7DA18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9"/>
  </w:num>
  <w:num w:numId="5">
    <w:abstractNumId w:val="8"/>
  </w:num>
  <w:num w:numId="6">
    <w:abstractNumId w:val="17"/>
  </w:num>
  <w:num w:numId="7">
    <w:abstractNumId w:val="25"/>
  </w:num>
  <w:num w:numId="8">
    <w:abstractNumId w:val="26"/>
  </w:num>
  <w:num w:numId="9">
    <w:abstractNumId w:val="18"/>
  </w:num>
  <w:num w:numId="10">
    <w:abstractNumId w:val="20"/>
  </w:num>
  <w:num w:numId="11">
    <w:abstractNumId w:val="27"/>
  </w:num>
  <w:num w:numId="12">
    <w:abstractNumId w:val="4"/>
  </w:num>
  <w:num w:numId="13">
    <w:abstractNumId w:val="15"/>
  </w:num>
  <w:num w:numId="14">
    <w:abstractNumId w:val="10"/>
  </w:num>
  <w:num w:numId="15">
    <w:abstractNumId w:val="22"/>
  </w:num>
  <w:num w:numId="16">
    <w:abstractNumId w:val="21"/>
  </w:num>
  <w:num w:numId="17">
    <w:abstractNumId w:val="7"/>
  </w:num>
  <w:num w:numId="18">
    <w:abstractNumId w:val="0"/>
  </w:num>
  <w:num w:numId="19">
    <w:abstractNumId w:val="14"/>
  </w:num>
  <w:num w:numId="20">
    <w:abstractNumId w:val="2"/>
  </w:num>
  <w:num w:numId="21">
    <w:abstractNumId w:val="16"/>
  </w:num>
  <w:num w:numId="22">
    <w:abstractNumId w:val="24"/>
  </w:num>
  <w:num w:numId="23">
    <w:abstractNumId w:val="13"/>
  </w:num>
  <w:num w:numId="24">
    <w:abstractNumId w:val="5"/>
  </w:num>
  <w:num w:numId="25">
    <w:abstractNumId w:val="6"/>
  </w:num>
  <w:num w:numId="26">
    <w:abstractNumId w:val="12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4C"/>
    <w:rsid w:val="00035E78"/>
    <w:rsid w:val="00092550"/>
    <w:rsid w:val="000962BB"/>
    <w:rsid w:val="0009636B"/>
    <w:rsid w:val="000A2787"/>
    <w:rsid w:val="000A4213"/>
    <w:rsid w:val="000A4475"/>
    <w:rsid w:val="000B38E4"/>
    <w:rsid w:val="000C7A69"/>
    <w:rsid w:val="000C7FBD"/>
    <w:rsid w:val="000D1C25"/>
    <w:rsid w:val="000D5EAA"/>
    <w:rsid w:val="000F522D"/>
    <w:rsid w:val="00111E24"/>
    <w:rsid w:val="00112B61"/>
    <w:rsid w:val="001135CC"/>
    <w:rsid w:val="00115D77"/>
    <w:rsid w:val="00116827"/>
    <w:rsid w:val="001251A2"/>
    <w:rsid w:val="0012747B"/>
    <w:rsid w:val="001415F1"/>
    <w:rsid w:val="00144B39"/>
    <w:rsid w:val="00157CA2"/>
    <w:rsid w:val="0018464B"/>
    <w:rsid w:val="00193653"/>
    <w:rsid w:val="001A4BC7"/>
    <w:rsid w:val="001B5561"/>
    <w:rsid w:val="001B6EB6"/>
    <w:rsid w:val="001C748B"/>
    <w:rsid w:val="001E473B"/>
    <w:rsid w:val="001F479E"/>
    <w:rsid w:val="001F64B1"/>
    <w:rsid w:val="002014C9"/>
    <w:rsid w:val="00203CBE"/>
    <w:rsid w:val="00207E0F"/>
    <w:rsid w:val="00220FA5"/>
    <w:rsid w:val="00221112"/>
    <w:rsid w:val="002227E3"/>
    <w:rsid w:val="00234478"/>
    <w:rsid w:val="00254C67"/>
    <w:rsid w:val="002614E9"/>
    <w:rsid w:val="002B6F9C"/>
    <w:rsid w:val="002E1462"/>
    <w:rsid w:val="002E6464"/>
    <w:rsid w:val="002F6A96"/>
    <w:rsid w:val="00303835"/>
    <w:rsid w:val="003220CF"/>
    <w:rsid w:val="00326D17"/>
    <w:rsid w:val="00334036"/>
    <w:rsid w:val="0034004C"/>
    <w:rsid w:val="0034041A"/>
    <w:rsid w:val="00353CFE"/>
    <w:rsid w:val="00395493"/>
    <w:rsid w:val="00397B29"/>
    <w:rsid w:val="003A44BF"/>
    <w:rsid w:val="003C4217"/>
    <w:rsid w:val="003E0850"/>
    <w:rsid w:val="003E12A8"/>
    <w:rsid w:val="003F6F44"/>
    <w:rsid w:val="004145C0"/>
    <w:rsid w:val="00442D0D"/>
    <w:rsid w:val="00454A20"/>
    <w:rsid w:val="004652C2"/>
    <w:rsid w:val="004816D0"/>
    <w:rsid w:val="004912DA"/>
    <w:rsid w:val="004A279B"/>
    <w:rsid w:val="004E1BB9"/>
    <w:rsid w:val="004F0625"/>
    <w:rsid w:val="00513EEB"/>
    <w:rsid w:val="0052164C"/>
    <w:rsid w:val="00525F3F"/>
    <w:rsid w:val="005332FC"/>
    <w:rsid w:val="005420B1"/>
    <w:rsid w:val="00560FA3"/>
    <w:rsid w:val="005614CF"/>
    <w:rsid w:val="00595678"/>
    <w:rsid w:val="005A2C39"/>
    <w:rsid w:val="005C162B"/>
    <w:rsid w:val="005D62B4"/>
    <w:rsid w:val="005E2117"/>
    <w:rsid w:val="00602090"/>
    <w:rsid w:val="00606171"/>
    <w:rsid w:val="00623E02"/>
    <w:rsid w:val="00626FE1"/>
    <w:rsid w:val="006441B4"/>
    <w:rsid w:val="006521B1"/>
    <w:rsid w:val="00695783"/>
    <w:rsid w:val="006A475E"/>
    <w:rsid w:val="006B57F7"/>
    <w:rsid w:val="006C3B26"/>
    <w:rsid w:val="007032A6"/>
    <w:rsid w:val="00724F18"/>
    <w:rsid w:val="007578A7"/>
    <w:rsid w:val="007678A6"/>
    <w:rsid w:val="007713AB"/>
    <w:rsid w:val="0077548F"/>
    <w:rsid w:val="007B0FE8"/>
    <w:rsid w:val="007B1107"/>
    <w:rsid w:val="007B2E0E"/>
    <w:rsid w:val="007F5517"/>
    <w:rsid w:val="0081081E"/>
    <w:rsid w:val="008141E9"/>
    <w:rsid w:val="00842C0E"/>
    <w:rsid w:val="00857884"/>
    <w:rsid w:val="00861A03"/>
    <w:rsid w:val="008756CC"/>
    <w:rsid w:val="00884759"/>
    <w:rsid w:val="00891F0E"/>
    <w:rsid w:val="008A0553"/>
    <w:rsid w:val="008A1C58"/>
    <w:rsid w:val="008B4E85"/>
    <w:rsid w:val="008F00B4"/>
    <w:rsid w:val="008F0F6D"/>
    <w:rsid w:val="008F2C4A"/>
    <w:rsid w:val="008F37C9"/>
    <w:rsid w:val="008F601B"/>
    <w:rsid w:val="0096552D"/>
    <w:rsid w:val="00994D17"/>
    <w:rsid w:val="009A0D7E"/>
    <w:rsid w:val="009D32CF"/>
    <w:rsid w:val="009E1300"/>
    <w:rsid w:val="009F17C6"/>
    <w:rsid w:val="00A15473"/>
    <w:rsid w:val="00A21B69"/>
    <w:rsid w:val="00A25DA8"/>
    <w:rsid w:val="00A3709B"/>
    <w:rsid w:val="00A62C91"/>
    <w:rsid w:val="00A747B3"/>
    <w:rsid w:val="00A917AE"/>
    <w:rsid w:val="00AB3B5E"/>
    <w:rsid w:val="00AC15BE"/>
    <w:rsid w:val="00AD1EA4"/>
    <w:rsid w:val="00AE4268"/>
    <w:rsid w:val="00B029FD"/>
    <w:rsid w:val="00B22FC1"/>
    <w:rsid w:val="00B25827"/>
    <w:rsid w:val="00B40EA3"/>
    <w:rsid w:val="00B51C95"/>
    <w:rsid w:val="00B537B2"/>
    <w:rsid w:val="00B67677"/>
    <w:rsid w:val="00B84085"/>
    <w:rsid w:val="00BB0CE7"/>
    <w:rsid w:val="00BD1C97"/>
    <w:rsid w:val="00BD211E"/>
    <w:rsid w:val="00BD367D"/>
    <w:rsid w:val="00BD7447"/>
    <w:rsid w:val="00BE0414"/>
    <w:rsid w:val="00BE5092"/>
    <w:rsid w:val="00BE5319"/>
    <w:rsid w:val="00C0483A"/>
    <w:rsid w:val="00C13650"/>
    <w:rsid w:val="00C20B22"/>
    <w:rsid w:val="00C235F6"/>
    <w:rsid w:val="00C31534"/>
    <w:rsid w:val="00C4213E"/>
    <w:rsid w:val="00C81C64"/>
    <w:rsid w:val="00C86CDF"/>
    <w:rsid w:val="00C9162D"/>
    <w:rsid w:val="00CA42D9"/>
    <w:rsid w:val="00CC0265"/>
    <w:rsid w:val="00CC130F"/>
    <w:rsid w:val="00CC3DBC"/>
    <w:rsid w:val="00CC4793"/>
    <w:rsid w:val="00CF1511"/>
    <w:rsid w:val="00D0058C"/>
    <w:rsid w:val="00D11222"/>
    <w:rsid w:val="00D11599"/>
    <w:rsid w:val="00D15408"/>
    <w:rsid w:val="00D15907"/>
    <w:rsid w:val="00D32339"/>
    <w:rsid w:val="00D33ED4"/>
    <w:rsid w:val="00D5004C"/>
    <w:rsid w:val="00D5046A"/>
    <w:rsid w:val="00D72265"/>
    <w:rsid w:val="00D72646"/>
    <w:rsid w:val="00D7519E"/>
    <w:rsid w:val="00D77A86"/>
    <w:rsid w:val="00D82EAC"/>
    <w:rsid w:val="00D856FA"/>
    <w:rsid w:val="00D92A9A"/>
    <w:rsid w:val="00DB1571"/>
    <w:rsid w:val="00E1736B"/>
    <w:rsid w:val="00E17E5D"/>
    <w:rsid w:val="00E20E7C"/>
    <w:rsid w:val="00E43300"/>
    <w:rsid w:val="00E617A2"/>
    <w:rsid w:val="00EA5722"/>
    <w:rsid w:val="00EE019D"/>
    <w:rsid w:val="00EE4CC0"/>
    <w:rsid w:val="00EF1F28"/>
    <w:rsid w:val="00F06663"/>
    <w:rsid w:val="00F32C99"/>
    <w:rsid w:val="00F3745E"/>
    <w:rsid w:val="00F51274"/>
    <w:rsid w:val="00F541E4"/>
    <w:rsid w:val="00F55DB5"/>
    <w:rsid w:val="00F726A4"/>
    <w:rsid w:val="00F76157"/>
    <w:rsid w:val="00F8243F"/>
    <w:rsid w:val="00F833B0"/>
    <w:rsid w:val="00FA5B90"/>
    <w:rsid w:val="00FB220B"/>
    <w:rsid w:val="00FC4125"/>
    <w:rsid w:val="00FE26DC"/>
    <w:rsid w:val="00FE305E"/>
    <w:rsid w:val="00FE51F3"/>
    <w:rsid w:val="00FF02EC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6C0A"/>
  <w15:chartTrackingRefBased/>
  <w15:docId w15:val="{C1080377-64A1-4107-8FE3-A5A4EFD3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83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0383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21B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2D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83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111E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42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442D0D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479E"/>
    <w:pPr>
      <w:tabs>
        <w:tab w:val="right" w:leader="dot" w:pos="9356"/>
      </w:tabs>
      <w:spacing w:before="120" w:after="120"/>
      <w:ind w:right="-1" w:firstLine="0"/>
    </w:pPr>
  </w:style>
  <w:style w:type="character" w:styleId="a5">
    <w:name w:val="Hyperlink"/>
    <w:basedOn w:val="a0"/>
    <w:uiPriority w:val="99"/>
    <w:unhideWhenUsed/>
    <w:rsid w:val="00442D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21B1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header"/>
    <w:basedOn w:val="a"/>
    <w:link w:val="a7"/>
    <w:uiPriority w:val="99"/>
    <w:unhideWhenUsed/>
    <w:rsid w:val="008F37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37C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F37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37C9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8F37C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F37C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F37C9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F37C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F37C9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F37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F37C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33ED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3ED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Normal (Web)"/>
    <w:basedOn w:val="a"/>
    <w:uiPriority w:val="99"/>
    <w:unhideWhenUsed/>
    <w:rsid w:val="00A917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relative">
    <w:name w:val="relative"/>
    <w:basedOn w:val="a0"/>
    <w:rsid w:val="004E1BB9"/>
  </w:style>
  <w:style w:type="character" w:styleId="af2">
    <w:name w:val="Strong"/>
    <w:basedOn w:val="a0"/>
    <w:uiPriority w:val="22"/>
    <w:qFormat/>
    <w:rsid w:val="00CA4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7323/1814-9545-2023-1-161-1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2C29-D9BA-4F81-8B94-0C1B4B49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34</Pages>
  <Words>7377</Words>
  <Characters>42055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Ядрышников</dc:creator>
  <cp:keywords/>
  <dc:description/>
  <cp:lastModifiedBy>Михаил Ядрышников</cp:lastModifiedBy>
  <cp:revision>21</cp:revision>
  <dcterms:created xsi:type="dcterms:W3CDTF">2025-04-20T16:54:00Z</dcterms:created>
  <dcterms:modified xsi:type="dcterms:W3CDTF">2025-04-27T11:37:00Z</dcterms:modified>
</cp:coreProperties>
</file>