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содержания территории Благовещенского муниципального округа за счёт перехода от реагирования на обращения к раннему выявлению проблем, их оперативному устранению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старост сёл, депутатов и общественников в администрацию не предусмотрено. Сообщения поступают по четырём каналам: личный приём, письменные заявления, социальные сети, платформа обратной связи. Регистрация, определение сути и адреса, поиск ответственного и передача поручения выполняются вручную; ответственного заместителя определяет Глава округа. Срок рассмотрения — 30 календарных дней, единый для обращений любой сложности (Федеральный закон № 59-ФЗ). Информирование жителя о ходе работы не предусмотрено; ответ направляется почтой, если не указан адрес электронной почты или получение лично. Документальное подтверждение результата не предусмотрено; повторные обращения об одном объекте не выявляются. Время протекания процесса от возникновения проблемы до подтверждённого устранения — </w:t>
            </w:r>
            <w:r>
              <w:rPr>
                <w:color w:val="C00000"/>
                <w:b/>
                <w:sz w:val="24"/>
                <w:szCs w:val="24"/>
              </w:rPr>
              <w:t xml:space="preserve">от 10 до 60 календарных дней; из них до 30 дней проблема не выявлена — экспертная оценка, подтверждается опросом исполнителей и хронометражем</w:t>
            </w:r>
            <w:r>
              <w:rPr>
                <w:sz w:val="24"/>
                <w:szCs w:val="24"/>
              </w:rPr>
              <w:t xml:space="preserve">.</w:t>
            </w:r>
          </w:p>
          <w:p w14:paraId="40A5ECCC" w14:textId="77777777" w:rsidR="003100F5" w:rsidRDefault="00000000">
            <w:pPr>
              <w:jc w:val="both"/>
              <w:rPr>
                <w:sz w:val="24"/>
                <w:szCs w:val="24"/>
              </w:rPr>
            </w:pPr>
            <w:r>
              <w:rPr>
                <w:sz w:val="24"/>
                <w:szCs w:val="24"/>
              </w:rPr>
              <w:t xml:space="preserve">Цели проекта. Сократить время протекания процесса не менее чем на 50 % к базовому значению; довести долю проблем, выявленных до обращения жителя, не менее чем до 50 %; снизить количество обращений граждан по вопросам благоустройства и ЖКХ не менее чем на 30 %; довести долю заявок с установленным сроком исполнения до 100 %; довести долю заявок, исполненных в установленный срок, до 90 %; довести долю закрытых заявок с документальным подтверждением результата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30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подтверждение результата не предусмотрено; при закрытии без подтверждения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старост сёл, депутатов и общественников в процесс не поступают;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памятки по ролям применяются; </w:t>
            </w:r>
            <w:r>
              <w:rPr>
                <w:color w:val="C00000"/>
                <w:b/>
                <w:sz w:val="24"/>
                <w:szCs w:val="24"/>
              </w:rPr>
              <w:t xml:space="preserve">регламент процесса разрабатывается, утверждается приказом до 29.09.2026</w:t>
            </w:r>
            <w:r>
              <w:rPr>
                <w:sz w:val="24"/>
                <w:szCs w:val="24"/>
              </w:rPr>
              <w:t xml:space="preserve">.</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Количественные результаты уточняются по итогам мониторинга достигнутых результатов 24–25.09.2026.</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60 календарных дней,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w:t>
            </w:r>
            <w:r>
              <w:rPr>
                <w:color w:val="C00000"/>
                <w:b/>
                <w:sz w:val="24"/>
                <w:szCs w:val="24"/>
              </w:rPr>
              <w:t xml:space="preserve">уточняется по данным системы документооборота</w:t>
            </w:r>
            <w:r>
              <w:rPr>
                <w:sz w:val="24"/>
                <w:szCs w:val="24"/>
              </w:rPr>
              <w:t xml:space="preserve">.</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закрытых заявок с документальным подтверждением результата: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наблюдатели — активные жители и сотрудники, бывающие на территории ежедневно, — подают заявки по итогам обхода,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результате и выставляет оценку. Заявки об одном объекте объединяются автоматически.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сотрудников за вычетом затрат на реализацию. Сторонний подрядчик не привлекался — цифровое решение разработано силами администрации округа.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