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 норматив 72 часа.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100 % по заявкам с настроенной цепочкой исполнителей (3 из 3 по направлению «улично-дорожная сеть»). Семь заявок июля — августа, поданных до настройки маршрутизации, числятся просроченными: прежде сроки по ним не считались вовсе, теперь просрочка видна.</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регистрация сообщения, определение ответственного, передача поручения и сбор сводной отчётности выполняются программой. Сторонний подрядчик не привлекался — цифровое решение разработано силами администрации округа, затраты на разработку внешним исполнителем не понесены.</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20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3.</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Копии сертификатов об обучении членов команды проекта основам бережливого управления</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4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4.</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Карты процесса: текущее, целевое и достигнутое состояние</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3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5.</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Копия распоряжения администрации Благовещенского муниципального округа от 24.09.2026 № 534-р об инициировании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