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C051" w14:textId="77777777" w:rsidR="003100F5" w:rsidRDefault="00000000">
      <w:pPr>
        <w:shd w:val="clear" w:color="auto" w:fill="FFFFFF"/>
        <w:ind w:firstLine="709"/>
        <w:jc w:val="right"/>
        <w:rPr>
          <w:rFonts w:ascii="Arial" w:hAnsi="Arial" w:cs="Arial"/>
          <w:sz w:val="24"/>
          <w:szCs w:val="24"/>
        </w:rPr>
      </w:pPr>
      <w:r>
        <w:rPr>
          <w:rFonts w:ascii="Arial" w:hAnsi="Arial" w:cs="Arial"/>
          <w:sz w:val="24"/>
          <w:szCs w:val="24"/>
        </w:rPr>
        <w:t> </w:t>
      </w:r>
    </w:p>
    <w:p w14:paraId="2F02A1EB" w14:textId="77777777" w:rsidR="003100F5" w:rsidRDefault="00000000">
      <w:pPr>
        <w:shd w:val="clear" w:color="auto" w:fill="FFFFFF"/>
        <w:ind w:firstLine="709"/>
        <w:jc w:val="center"/>
        <w:rPr>
          <w:rFonts w:ascii="Arial" w:hAnsi="Arial" w:cs="Arial"/>
          <w:sz w:val="24"/>
          <w:szCs w:val="24"/>
        </w:rPr>
      </w:pPr>
      <w:r>
        <w:rPr>
          <w:rFonts w:ascii="timesnewroman" w:hAnsi="timesnewroman" w:cs="Arial"/>
          <w:sz w:val="26"/>
          <w:szCs w:val="26"/>
        </w:rPr>
        <w:t>Справка проекта</w:t>
      </w:r>
    </w:p>
    <w:p w14:paraId="130A7A95" w14:textId="77777777" w:rsidR="003100F5" w:rsidRDefault="00000000">
      <w:pPr>
        <w:shd w:val="clear" w:color="auto" w:fill="FFFFFF"/>
        <w:ind w:firstLine="709"/>
        <w:jc w:val="center"/>
        <w:rPr>
          <w:sz w:val="16"/>
          <w:szCs w:val="16"/>
        </w:rPr>
      </w:pPr>
      <w:r>
        <w:rPr>
          <w:rFonts w:ascii="Arial" w:hAnsi="Arial" w:cs="Arial"/>
          <w:sz w:val="24"/>
          <w:szCs w:val="24"/>
        </w:rPr>
        <w:t> </w:t>
      </w:r>
    </w:p>
    <w:p w14:paraId="140D612D" w14:textId="77777777" w:rsidR="003100F5" w:rsidRDefault="00000000">
      <w:pPr>
        <w:shd w:val="clear" w:color="auto" w:fill="FFFFFF"/>
        <w:jc w:val="both"/>
        <w:rPr>
          <w:rFonts w:ascii="Arial" w:hAnsi="Arial" w:cs="Arial"/>
          <w:sz w:val="24"/>
          <w:szCs w:val="24"/>
        </w:rPr>
      </w:pPr>
      <w:r>
        <w:rPr>
          <w:rFonts w:ascii="timesnewroman" w:hAnsi="timesnewroman" w:cs="Arial"/>
          <w:sz w:val="26"/>
          <w:szCs w:val="26"/>
        </w:rPr>
        <w:t>Наименование проекта:</w:t>
      </w:r>
    </w:p>
    <w:p w14:paraId="6055B3EB" w14:textId="77777777" w:rsidR="003100F5" w:rsidRDefault="00000000">
      <w:pPr>
        <w:shd w:val="clear" w:color="auto" w:fill="FFFFFF"/>
        <w:rPr>
          <w:rFonts w:ascii="Arial" w:hAnsi="Arial" w:cs="Arial"/>
          <w:sz w:val="24"/>
          <w:szCs w:val="24"/>
        </w:rPr>
      </w:pPr>
      <w:r>
        <w:rPr>
          <w:rFonts w:ascii="timesnewroman" w:hAnsi="timesnewroman" w:cs="Arial"/>
          <w:sz w:val="28"/>
          <w:szCs w:val="28"/>
        </w:rPr>
        <w:t>Оптимизация процесса устранения проблем благоустройства и содержания территории Благовещенского муниципального округа за счёт перехода от реагирования на обращения к их плановому выявлению и контролю результата</w:t>
      </w:r>
    </w:p>
    <w:p w14:paraId="52E41D87" w14:textId="77777777" w:rsidR="003100F5" w:rsidRDefault="003100F5">
      <w:pPr>
        <w:shd w:val="clear" w:color="auto" w:fill="FFFFFF"/>
        <w:jc w:val="both"/>
        <w:rPr>
          <w:rFonts w:ascii="Arial" w:hAnsi="Arial" w:cs="Arial"/>
          <w:sz w:val="12"/>
          <w:szCs w:val="12"/>
        </w:rPr>
      </w:pPr>
    </w:p>
    <w:p w14:paraId="144DB81C" w14:textId="77777777" w:rsidR="003100F5" w:rsidRDefault="00000000">
      <w:pPr>
        <w:shd w:val="clear" w:color="auto" w:fill="FFFFFF"/>
        <w:rPr>
          <w:rFonts w:ascii="Arial" w:hAnsi="Arial" w:cs="Arial"/>
          <w:sz w:val="24"/>
          <w:szCs w:val="24"/>
        </w:rPr>
      </w:pPr>
      <w:r>
        <w:rPr>
          <w:rFonts w:ascii="timesnewroman" w:hAnsi="timesnewroman" w:cs="Arial"/>
          <w:sz w:val="26"/>
          <w:szCs w:val="26"/>
        </w:rPr>
        <w:t>Период реализации проекта (дата начала – дата закрытия):</w:t>
      </w:r>
      <w:r>
        <w:rPr>
          <w:rFonts w:ascii="timesnewroman" w:hAnsi="timesnewroman" w:cs="Arial"/>
          <w:sz w:val="28"/>
          <w:szCs w:val="28"/>
        </w:rPr>
        <w:t>22.07.2026 – 30.09.2026</w:t>
      </w:r>
    </w:p>
    <w:p w14:paraId="049CCB83" w14:textId="77777777" w:rsidR="003100F5" w:rsidRDefault="00000000">
      <w:pPr>
        <w:shd w:val="clear" w:color="auto" w:fill="FFFFFF"/>
        <w:ind w:firstLine="709"/>
        <w:jc w:val="both"/>
        <w:rPr>
          <w:rFonts w:ascii="Arial" w:hAnsi="Arial" w:cs="Arial"/>
          <w:sz w:val="24"/>
          <w:szCs w:val="24"/>
        </w:rPr>
      </w:pPr>
      <w:r>
        <w:rPr>
          <w:rFonts w:ascii="Arial" w:hAnsi="Arial" w:cs="Arial"/>
          <w:sz w:val="24"/>
          <w:szCs w:val="24"/>
        </w:rPr>
        <w:t> </w:t>
      </w:r>
    </w:p>
    <w:tbl>
      <w:tblPr>
        <w:tblStyle w:val="af1"/>
        <w:tblW w:w="0" w:type="auto"/>
        <w:tblLayout w:type="fixed"/>
        <w:tblLook w:val="04A0" w:firstRow="1" w:lastRow="0" w:firstColumn="1" w:lastColumn="0" w:noHBand="0" w:noVBand="1"/>
      </w:tblPr>
      <w:tblGrid>
        <w:gridCol w:w="816"/>
        <w:gridCol w:w="3827"/>
        <w:gridCol w:w="4819"/>
      </w:tblGrid>
      <w:tr w:rsidR="003100F5" w14:paraId="5694907C" w14:textId="77777777">
        <w:tc>
          <w:tcPr>
            <w:tcW w:w="816" w:type="dxa"/>
          </w:tcPr>
          <w:p w14:paraId="0E38230E" w14:textId="77777777" w:rsidR="003100F5" w:rsidRDefault="00000000">
            <w:pPr>
              <w:jc w:val="center"/>
              <w:rPr>
                <w:sz w:val="22"/>
                <w:szCs w:val="22"/>
              </w:rPr>
            </w:pPr>
            <w:r>
              <w:rPr>
                <w:rFonts w:ascii="timesnewroman" w:hAnsi="timesnewroman"/>
                <w:sz w:val="22"/>
                <w:szCs w:val="22"/>
              </w:rPr>
              <w:t>№ п/п</w:t>
            </w:r>
          </w:p>
        </w:tc>
        <w:tc>
          <w:tcPr>
            <w:tcW w:w="3827" w:type="dxa"/>
          </w:tcPr>
          <w:p w14:paraId="1AA587FC" w14:textId="77777777" w:rsidR="003100F5" w:rsidRDefault="00000000">
            <w:pPr>
              <w:jc w:val="center"/>
              <w:rPr>
                <w:sz w:val="22"/>
                <w:szCs w:val="22"/>
              </w:rPr>
            </w:pPr>
            <w:r>
              <w:rPr>
                <w:rFonts w:ascii="timesnewroman" w:hAnsi="timesnewroman"/>
                <w:sz w:val="22"/>
                <w:szCs w:val="22"/>
              </w:rPr>
              <w:t>Критерии</w:t>
            </w:r>
          </w:p>
        </w:tc>
        <w:tc>
          <w:tcPr>
            <w:tcW w:w="4819" w:type="dxa"/>
          </w:tcPr>
          <w:p w14:paraId="5B5E955A" w14:textId="77777777" w:rsidR="003100F5" w:rsidRDefault="00000000">
            <w:pPr>
              <w:jc w:val="center"/>
              <w:rPr>
                <w:sz w:val="22"/>
                <w:szCs w:val="22"/>
              </w:rPr>
            </w:pPr>
            <w:r>
              <w:rPr>
                <w:rFonts w:ascii="timesnewroman" w:hAnsi="timesnewroman"/>
                <w:sz w:val="22"/>
                <w:szCs w:val="22"/>
              </w:rPr>
              <w:t>Значение</w:t>
            </w:r>
          </w:p>
        </w:tc>
      </w:tr>
      <w:tr w:rsidR="003100F5" w14:paraId="387A2A6C" w14:textId="77777777">
        <w:tc>
          <w:tcPr>
            <w:tcW w:w="816" w:type="dxa"/>
          </w:tcPr>
          <w:p w14:paraId="1C77C961" w14:textId="77777777" w:rsidR="003100F5" w:rsidRDefault="00000000">
            <w:pPr>
              <w:jc w:val="center"/>
              <w:rPr>
                <w:sz w:val="22"/>
                <w:szCs w:val="22"/>
              </w:rPr>
            </w:pPr>
            <w:r>
              <w:rPr>
                <w:sz w:val="22"/>
                <w:szCs w:val="22"/>
              </w:rPr>
              <w:t>1.</w:t>
            </w:r>
          </w:p>
        </w:tc>
        <w:tc>
          <w:tcPr>
            <w:tcW w:w="3827" w:type="dxa"/>
          </w:tcPr>
          <w:p w14:paraId="3A754A08" w14:textId="77777777" w:rsidR="003100F5" w:rsidRDefault="00000000">
            <w:pPr>
              <w:jc w:val="both"/>
              <w:rPr>
                <w:sz w:val="22"/>
                <w:szCs w:val="22"/>
              </w:rPr>
            </w:pPr>
            <w:r>
              <w:rPr>
                <w:sz w:val="22"/>
                <w:szCs w:val="22"/>
              </w:rPr>
              <w:t>Цели проекта (с указанием проблем, которые решает проект)</w:t>
            </w:r>
          </w:p>
        </w:tc>
        <w:tc>
          <w:tcPr>
            <w:tcW w:w="4819" w:type="dxa"/>
          </w:tcPr>
          <w:p w14:paraId="40A5ECCC" w14:textId="77777777" w:rsidR="003100F5" w:rsidRDefault="00000000">
            <w:pPr>
              <w:jc w:val="both"/>
              <w:rPr>
                <w:sz w:val="24"/>
                <w:szCs w:val="24"/>
              </w:rPr>
            </w:pPr>
            <w:r>
              <w:rPr>
                <w:sz w:val="24"/>
                <w:szCs w:val="24"/>
              </w:rPr>
              <w:t xml:space="preserve">Цель проекта — снижение количества обращений граждан по вопросам благоустройства и содержания территории округа.</w:t>
            </w:r>
          </w:p>
          <w:p w14:paraId="40A5ECCC" w14:textId="77777777" w:rsidR="003100F5" w:rsidRDefault="00000000">
            <w:pPr>
              <w:jc w:val="both"/>
              <w:rPr>
                <w:sz w:val="24"/>
                <w:szCs w:val="24"/>
              </w:rPr>
            </w:pPr>
            <w:r>
              <w:rPr>
                <w:sz w:val="24"/>
                <w:szCs w:val="24"/>
              </w:rPr>
              <w:t xml:space="preserve">Проблемы процесса. Плановое выявление проблем содержания территории не ведётся: проблема попадает в работу после обращения жителя. Канала для передачи сообщений от инициативных групп граждан в администрацию не предусмотрено. Сообщения поступают по четырём каналам: личный приём, письменные заявления, социальные сети, платформа обратной связи. Весь объём поступающих обращений вручную распределяет Глава округа: ответственного заместителя по каждому обращению определяет лично он. Срок рассмотрения — 30 календарных дней, единый для обращений любой сложности (Федеральный закон № 59-ФЗ). Распределение проблем по объектам возникновения не ведётся: сколько обращений приходится на один адрес или участок, из учёта не видно. Связь с заявителем ограничена письменным ответом по итогам рассмотрения; о ходе работы он не информируется. Повторные обращения об одном объекте не выявляются. Базовые значения процесса, подтверждённые заказчиком. Количество обращений граждан по вопросам благоустройства и жилищно-коммунального хозяйства — 40 в месяц. Трудозатраты сотрудника на приём, регистрацию одного сообщения и передачу его исполнителю — 15 минут. Доля заявок, исполненных в установленный срок, — 60 %. Время протекания процесса от возникновения проблемы до подтверждённого устранения — от 10 до 44 календарных дней; из них до 14 дней проблема не выявлена.</w:t>
            </w:r>
          </w:p>
          <w:p w14:paraId="40A5ECCC" w14:textId="77777777" w:rsidR="003100F5" w:rsidRDefault="00000000">
            <w:pPr>
              <w:jc w:val="both"/>
              <w:rPr>
                <w:sz w:val="24"/>
                <w:szCs w:val="24"/>
              </w:rPr>
            </w:pPr>
            <w:r>
              <w:rPr>
                <w:sz w:val="24"/>
                <w:szCs w:val="24"/>
              </w:rPr>
              <w:t xml:space="preserve">Показатели. Снизить количество обращений граждан по вопросам благоустройства и ЖКХ не менее чем на 30 %; сократить время протекания процесса не менее чем на 50 % к базовому значению; довести долю проблем, выявленных до обращения жителя, не менее чем до 50 %; довести долю заявок с фотофиксацией устранения до 100 %; довести долю заявок с установленным сроком исполнения до 100 %; довести долю заявок, исполненных в установленный срок, до 90 %; обеспечить среднюю оценку жителем результата не ниже 4,0 балла по шкале от 1 до 5.</w:t>
            </w:r>
          </w:p>
        </w:tc>
      </w:tr>
      <w:tr w:rsidR="003100F5" w14:paraId="7CBD7442" w14:textId="77777777">
        <w:tc>
          <w:tcPr>
            <w:tcW w:w="816" w:type="dxa"/>
          </w:tcPr>
          <w:p w14:paraId="41BA42AF" w14:textId="77777777" w:rsidR="003100F5" w:rsidRDefault="00000000">
            <w:pPr>
              <w:jc w:val="center"/>
              <w:rPr>
                <w:sz w:val="22"/>
                <w:szCs w:val="22"/>
              </w:rPr>
            </w:pPr>
            <w:r>
              <w:rPr>
                <w:sz w:val="22"/>
                <w:szCs w:val="22"/>
              </w:rPr>
              <w:t>2.</w:t>
            </w:r>
          </w:p>
        </w:tc>
        <w:tc>
          <w:tcPr>
            <w:tcW w:w="3827" w:type="dxa"/>
          </w:tcPr>
          <w:p w14:paraId="219CF810" w14:textId="77777777" w:rsidR="003100F5" w:rsidRDefault="00000000">
            <w:pPr>
              <w:jc w:val="both"/>
              <w:rPr>
                <w:sz w:val="22"/>
                <w:szCs w:val="22"/>
              </w:rPr>
            </w:pPr>
            <w:r>
              <w:rPr>
                <w:sz w:val="22"/>
                <w:szCs w:val="22"/>
              </w:rPr>
              <w:t>Потери, выявленные в результате реализации проекта</w:t>
            </w:r>
          </w:p>
        </w:tc>
        <w:tc>
          <w:tcPr>
            <w:tcW w:w="4819" w:type="dxa"/>
          </w:tcPr>
          <w:p w14:paraId="1DE5320A" w14:textId="77777777" w:rsidR="003100F5" w:rsidRDefault="00000000">
            <w:pPr>
              <w:jc w:val="both"/>
              <w:rPr>
                <w:sz w:val="24"/>
                <w:szCs w:val="24"/>
              </w:rPr>
            </w:pPr>
            <w:r>
              <w:rPr>
                <w:sz w:val="24"/>
                <w:szCs w:val="24"/>
              </w:rPr>
              <w:t xml:space="preserve">Выявлены все восемь видов потерь.</w:t>
            </w:r>
          </w:p>
          <w:p w14:paraId="1DE5320A" w14:textId="77777777" w:rsidR="003100F5" w:rsidRDefault="00000000">
            <w:pPr>
              <w:jc w:val="both"/>
              <w:rPr>
                <w:sz w:val="24"/>
                <w:szCs w:val="24"/>
              </w:rPr>
            </w:pPr>
            <w:r>
              <w:rPr>
                <w:sz w:val="24"/>
                <w:szCs w:val="24"/>
              </w:rPr>
              <w:t xml:space="preserve">1. Перепроизводство: сообщения нескольких жителей об одной проблеме учитываются как отдельные; по каждому заводится отдельная работа и выполняется отдельный выезд исполнителя.</w:t>
            </w:r>
          </w:p>
          <w:p w14:paraId="1DE5320A" w14:textId="77777777" w:rsidR="003100F5" w:rsidRDefault="00000000">
            <w:pPr>
              <w:jc w:val="both"/>
              <w:rPr>
                <w:sz w:val="24"/>
                <w:szCs w:val="24"/>
              </w:rPr>
            </w:pPr>
            <w:r>
              <w:rPr>
                <w:sz w:val="24"/>
                <w:szCs w:val="24"/>
              </w:rPr>
              <w:t xml:space="preserve">2. Лишние движения: зона ответственности и история прежних обращений по объекту устанавливаются вручную.</w:t>
            </w:r>
          </w:p>
          <w:p w14:paraId="1DE5320A" w14:textId="77777777" w:rsidR="003100F5" w:rsidRDefault="00000000">
            <w:pPr>
              <w:jc w:val="both"/>
              <w:rPr>
                <w:sz w:val="24"/>
                <w:szCs w:val="24"/>
              </w:rPr>
            </w:pPr>
            <w:r>
              <w:rPr>
                <w:sz w:val="24"/>
                <w:szCs w:val="24"/>
              </w:rPr>
              <w:t xml:space="preserve">3. Ненужная транспортировка: содержание обращения передаётся по цепочке житель — приёмная — резолюция — исполнитель.</w:t>
            </w:r>
          </w:p>
          <w:p w14:paraId="1DE5320A" w14:textId="77777777" w:rsidR="003100F5" w:rsidRDefault="00000000">
            <w:pPr>
              <w:jc w:val="both"/>
              <w:rPr>
                <w:sz w:val="24"/>
                <w:szCs w:val="24"/>
              </w:rPr>
            </w:pPr>
            <w:r>
              <w:rPr>
                <w:sz w:val="24"/>
                <w:szCs w:val="24"/>
              </w:rPr>
              <w:t xml:space="preserve">4. Излишние запасы: очередь зарегистрированных, но не отписанных сообщений — </w:t>
            </w:r>
            <w:r>
              <w:rPr>
                <w:color w:val="C00000"/>
                <w:b/>
                <w:sz w:val="24"/>
                <w:szCs w:val="24"/>
              </w:rPr>
              <w:t xml:space="preserve">от 2 до 8 штук, время в очереди до 2 дней — расчёт, проверяется по системе документооборота</w:t>
            </w:r>
            <w:r>
              <w:rPr>
                <w:sz w:val="24"/>
                <w:szCs w:val="24"/>
              </w:rPr>
              <w:t xml:space="preserve">; учёт объёма незавершённой работы не ведётся.</w:t>
            </w:r>
          </w:p>
          <w:p w14:paraId="1DE5320A" w14:textId="77777777" w:rsidR="003100F5" w:rsidRDefault="00000000">
            <w:pPr>
              <w:jc w:val="both"/>
              <w:rPr>
                <w:sz w:val="24"/>
                <w:szCs w:val="24"/>
              </w:rPr>
            </w:pPr>
            <w:r>
              <w:rPr>
                <w:sz w:val="24"/>
                <w:szCs w:val="24"/>
              </w:rPr>
              <w:t xml:space="preserve">5. Избыточная обработка: одно сообщение вносится трижды — в журнал входящих, в систему документооборота и в сводку для руководства.</w:t>
            </w:r>
          </w:p>
          <w:p w14:paraId="1DE5320A" w14:textId="77777777" w:rsidR="003100F5" w:rsidRDefault="00000000">
            <w:pPr>
              <w:jc w:val="both"/>
              <w:rPr>
                <w:sz w:val="24"/>
                <w:szCs w:val="24"/>
              </w:rPr>
            </w:pPr>
            <w:r>
              <w:rPr>
                <w:sz w:val="24"/>
                <w:szCs w:val="24"/>
              </w:rPr>
              <w:t xml:space="preserve">6. Ожидание — наибольшая по длительности потеря: до 14 календарных дней проблема не выявлена, и до 30 календарных дней занимает рассмотрение обращения.</w:t>
            </w:r>
          </w:p>
          <w:p w14:paraId="1DE5320A" w14:textId="77777777" w:rsidR="003100F5" w:rsidRDefault="00000000">
            <w:pPr>
              <w:jc w:val="both"/>
              <w:rPr>
                <w:sz w:val="24"/>
                <w:szCs w:val="24"/>
              </w:rPr>
            </w:pPr>
            <w:r>
              <w:rPr>
                <w:sz w:val="24"/>
                <w:szCs w:val="24"/>
              </w:rPr>
              <w:t xml:space="preserve">7. Переделка и брак: фотофиксация устранения не предусмотрена; при закрытии без неё обращение по тому же объекту поступает повторно.</w:t>
            </w:r>
          </w:p>
          <w:p w14:paraId="1DE5320A" w14:textId="77777777" w:rsidR="003100F5" w:rsidRDefault="00000000">
            <w:pPr>
              <w:jc w:val="both"/>
              <w:rPr>
                <w:sz w:val="24"/>
                <w:szCs w:val="24"/>
              </w:rPr>
            </w:pPr>
            <w:r>
              <w:rPr>
                <w:sz w:val="24"/>
                <w:szCs w:val="24"/>
              </w:rPr>
              <w:t xml:space="preserve">8. Неиспользование человеческого потенциала: сообщения от инициативных групп граждан в процесс не поступают; весь объём обращений распределяет вручную Глава округа, регистрация и диспетчеризация выполняются сотрудником вручную.</w:t>
            </w:r>
          </w:p>
          <w:p w14:paraId="1DE5320A" w14:textId="77777777" w:rsidR="003100F5" w:rsidRDefault="00000000">
            <w:pPr>
              <w:jc w:val="both"/>
              <w:rPr>
                <w:sz w:val="24"/>
                <w:szCs w:val="24"/>
              </w:rPr>
            </w:pPr>
            <w:r>
              <w:rPr>
                <w:sz w:val="24"/>
                <w:szCs w:val="24"/>
              </w:rPr>
              <w:t xml:space="preserve">Проблемы пронумерованы на карте текущего состояния процесса — двенадцать позиций в выноске «Выявленные потери».</w:t>
            </w:r>
          </w:p>
        </w:tc>
      </w:tr>
      <w:tr w:rsidR="003100F5" w14:paraId="674DF577" w14:textId="77777777">
        <w:tc>
          <w:tcPr>
            <w:tcW w:w="816" w:type="dxa"/>
          </w:tcPr>
          <w:p w14:paraId="0B2204E3" w14:textId="77777777" w:rsidR="003100F5" w:rsidRDefault="00000000">
            <w:pPr>
              <w:jc w:val="center"/>
              <w:rPr>
                <w:sz w:val="22"/>
                <w:szCs w:val="22"/>
              </w:rPr>
            </w:pPr>
            <w:r>
              <w:rPr>
                <w:sz w:val="22"/>
                <w:szCs w:val="22"/>
              </w:rPr>
              <w:t>3.</w:t>
            </w:r>
          </w:p>
        </w:tc>
        <w:tc>
          <w:tcPr>
            <w:tcW w:w="3827" w:type="dxa"/>
          </w:tcPr>
          <w:p w14:paraId="33222426" w14:textId="77777777" w:rsidR="003100F5" w:rsidRDefault="00000000">
            <w:pPr>
              <w:jc w:val="both"/>
              <w:rPr>
                <w:sz w:val="22"/>
                <w:szCs w:val="22"/>
              </w:rPr>
            </w:pPr>
            <w:r>
              <w:rPr>
                <w:sz w:val="22"/>
                <w:szCs w:val="22"/>
              </w:rPr>
              <w:t>Инструменты бережливого управления, которые применены при реализации проекта</w:t>
            </w:r>
          </w:p>
        </w:tc>
        <w:tc>
          <w:tcPr>
            <w:tcW w:w="4819" w:type="dxa"/>
          </w:tcPr>
          <w:p w14:paraId="3FD19BAC" w14:textId="77777777" w:rsidR="003100F5" w:rsidRDefault="00000000">
            <w:pPr>
              <w:jc w:val="both"/>
              <w:rPr>
                <w:sz w:val="24"/>
                <w:szCs w:val="24"/>
              </w:rPr>
            </w:pPr>
            <w:r>
              <w:rPr>
                <w:sz w:val="24"/>
                <w:szCs w:val="24"/>
              </w:rPr>
              <w:t xml:space="preserve">Применено девять инструментов бережливого управления.</w:t>
            </w:r>
          </w:p>
          <w:p w14:paraId="3FD19BAC" w14:textId="77777777" w:rsidR="003100F5" w:rsidRDefault="00000000">
            <w:pPr>
              <w:jc w:val="both"/>
              <w:rPr>
                <w:sz w:val="24"/>
                <w:szCs w:val="24"/>
              </w:rPr>
            </w:pPr>
            <w:r>
              <w:rPr>
                <w:sz w:val="24"/>
                <w:szCs w:val="24"/>
              </w:rPr>
              <w:t xml:space="preserve">1. Картирование процесса: карты текущего, целевого и достигнутого состояния; показали время протекания процесса и места потерь.</w:t>
            </w:r>
          </w:p>
          <w:p w14:paraId="3FD19BAC" w14:textId="77777777" w:rsidR="003100F5" w:rsidRDefault="00000000">
            <w:pPr>
              <w:jc w:val="both"/>
              <w:rPr>
                <w:sz w:val="24"/>
                <w:szCs w:val="24"/>
              </w:rPr>
            </w:pPr>
            <w:r>
              <w:rPr>
                <w:sz w:val="24"/>
                <w:szCs w:val="24"/>
              </w:rPr>
              <w:t xml:space="preserve">2. Реестр восьми видов потерь с оценкой влияния каждой на время протекания процесса.</w:t>
            </w:r>
          </w:p>
          <w:p w14:paraId="3FD19BAC" w14:textId="77777777" w:rsidR="003100F5" w:rsidRDefault="00000000">
            <w:pPr>
              <w:jc w:val="both"/>
              <w:rPr>
                <w:sz w:val="24"/>
                <w:szCs w:val="24"/>
              </w:rPr>
            </w:pPr>
            <w:r>
              <w:rPr>
                <w:sz w:val="24"/>
                <w:szCs w:val="24"/>
              </w:rPr>
              <w:t xml:space="preserve">3. «Пять почему»: цепочка из пяти вопросов к сроку существования проблемы; коренная причина — выявление проблемы не отделено от рассмотрения обращения.</w:t>
            </w:r>
          </w:p>
          <w:p w14:paraId="3FD19BAC" w14:textId="77777777" w:rsidR="003100F5" w:rsidRDefault="00000000">
            <w:pPr>
              <w:jc w:val="both"/>
              <w:rPr>
                <w:sz w:val="24"/>
                <w:szCs w:val="24"/>
              </w:rPr>
            </w:pPr>
            <w:r>
              <w:rPr>
                <w:sz w:val="24"/>
                <w:szCs w:val="24"/>
              </w:rPr>
              <w:t xml:space="preserve">4. Диаграмма Исикавы: тринадцать факторов, разложенных по пяти категориям — люди, методы, средства, информация, внешние условия.</w:t>
            </w:r>
          </w:p>
          <w:p w14:paraId="3FD19BAC" w14:textId="77777777" w:rsidR="003100F5" w:rsidRDefault="00000000">
            <w:pPr>
              <w:jc w:val="both"/>
              <w:rPr>
                <w:sz w:val="24"/>
                <w:szCs w:val="24"/>
              </w:rPr>
            </w:pPr>
            <w:r>
              <w:rPr>
                <w:sz w:val="24"/>
                <w:szCs w:val="24"/>
              </w:rPr>
              <w:t xml:space="preserve">5. Голос клиента: оценка жителем результата по шкале от 1 до 5; оценка 2 и ниже автоматически возвращает заявку в работу.</w:t>
            </w:r>
          </w:p>
          <w:p w14:paraId="3FD19BAC" w14:textId="77777777" w:rsidR="003100F5" w:rsidRDefault="00000000">
            <w:pPr>
              <w:jc w:val="both"/>
              <w:rPr>
                <w:sz w:val="24"/>
                <w:szCs w:val="24"/>
              </w:rPr>
            </w:pPr>
            <w:r>
              <w:rPr>
                <w:sz w:val="24"/>
                <w:szCs w:val="24"/>
              </w:rPr>
              <w:t xml:space="preserve">6. Визуализация: панель администрации — статусы, сроки, карта заявок, статистика по направлениям в реальном времени.</w:t>
            </w:r>
          </w:p>
          <w:p w14:paraId="3FD19BAC" w14:textId="77777777" w:rsidR="003100F5" w:rsidRDefault="00000000">
            <w:pPr>
              <w:jc w:val="both"/>
              <w:rPr>
                <w:sz w:val="24"/>
                <w:szCs w:val="24"/>
              </w:rPr>
            </w:pPr>
            <w:r>
              <w:rPr>
                <w:sz w:val="24"/>
                <w:szCs w:val="24"/>
              </w:rPr>
              <w:t xml:space="preserve">7. Канбан: доска заявок по статусам от поступления до подтверждения.</w:t>
            </w:r>
          </w:p>
          <w:p w14:paraId="3FD19BAC" w14:textId="77777777" w:rsidR="003100F5" w:rsidRDefault="00000000">
            <w:pPr>
              <w:jc w:val="both"/>
              <w:rPr>
                <w:sz w:val="24"/>
                <w:szCs w:val="24"/>
              </w:rPr>
            </w:pPr>
            <w:r>
              <w:rPr>
                <w:sz w:val="24"/>
                <w:szCs w:val="24"/>
              </w:rPr>
              <w:t xml:space="preserve">8. Стандартизация: разработан регламент работы сервиса приёма сообщений — роли и права, каналы приёма, классификация, дедупликация, маршрутизация и сроки, закрытие и подтверждение результата, эскалация, особые случаи, контроль. Памятки по ролям — приложение к регламенту — применяются: панель администрации выдаёт каждому участнику процесса памятку его роли.</w:t>
            </w:r>
          </w:p>
          <w:p w14:paraId="3FD19BAC" w14:textId="77777777" w:rsidR="003100F5" w:rsidRDefault="00000000">
            <w:pPr>
              <w:jc w:val="both"/>
              <w:rPr>
                <w:sz w:val="24"/>
                <w:szCs w:val="24"/>
              </w:rPr>
            </w:pPr>
            <w:r>
              <w:rPr>
                <w:sz w:val="24"/>
                <w:szCs w:val="24"/>
              </w:rPr>
              <w:t xml:space="preserve">9. Защита от непреднамеренных ошибок: закрытие заявки невозможно без фотоматериала или отчёта; сквозная дедупликация не допускает повторной работы по одному объекту.</w:t>
            </w:r>
          </w:p>
          <w:p w14:paraId="3FD19BAC" w14:textId="77777777" w:rsidR="003100F5" w:rsidRDefault="00000000">
            <w:pPr>
              <w:jc w:val="both"/>
              <w:rPr>
                <w:sz w:val="24"/>
                <w:szCs w:val="24"/>
              </w:rPr>
            </w:pPr>
            <w:r>
              <w:rPr>
                <w:sz w:val="24"/>
                <w:szCs w:val="24"/>
              </w:rPr>
              <w:t xml:space="preserve">Все пять членов команды проекта прошли обучение основам бережливого управления на онлайн-курсе «Как внедрить инструменты бережливого производства в свою работу» Мастерской управления «Сенеж» президентской платформы «Россия — страна возможностей». Копии сертификатов об обучении — на листе 20 приложения к настоящей справке (копия отчётной презентации проекта).</w:t>
            </w:r>
          </w:p>
        </w:tc>
      </w:tr>
      <w:tr w:rsidR="003100F5" w14:paraId="4DA412DE" w14:textId="77777777">
        <w:tc>
          <w:tcPr>
            <w:tcW w:w="816" w:type="dxa"/>
          </w:tcPr>
          <w:p w14:paraId="34CECA38" w14:textId="77777777" w:rsidR="003100F5" w:rsidRDefault="00000000">
            <w:pPr>
              <w:jc w:val="center"/>
              <w:rPr>
                <w:sz w:val="22"/>
                <w:szCs w:val="22"/>
              </w:rPr>
            </w:pPr>
            <w:r>
              <w:rPr>
                <w:sz w:val="22"/>
                <w:szCs w:val="22"/>
              </w:rPr>
              <w:t>4.</w:t>
            </w:r>
          </w:p>
        </w:tc>
        <w:tc>
          <w:tcPr>
            <w:tcW w:w="3827" w:type="dxa"/>
          </w:tcPr>
          <w:p w14:paraId="7C30A713" w14:textId="77777777" w:rsidR="003100F5" w:rsidRDefault="00000000">
            <w:pPr>
              <w:jc w:val="both"/>
              <w:rPr>
                <w:sz w:val="22"/>
                <w:szCs w:val="22"/>
              </w:rPr>
            </w:pPr>
            <w:r>
              <w:rPr>
                <w:sz w:val="22"/>
                <w:szCs w:val="22"/>
              </w:rPr>
              <w:t>Достигнутые результаты</w:t>
            </w:r>
          </w:p>
        </w:tc>
        <w:tc>
          <w:tcPr>
            <w:tcW w:w="4819" w:type="dxa"/>
          </w:tcPr>
          <w:p w14:paraId="718670D8" w14:textId="77777777" w:rsidR="003100F5" w:rsidRDefault="00000000">
            <w:pPr>
              <w:jc w:val="both"/>
              <w:rPr>
                <w:sz w:val="24"/>
                <w:szCs w:val="24"/>
              </w:rPr>
            </w:pPr>
            <w:r>
              <w:rPr>
                <w:sz w:val="24"/>
                <w:szCs w:val="24"/>
              </w:rPr>
              <w:t xml:space="preserve">Количественные результаты сняты с панели администрации округа 27.09.2026 за период пилотной эксплуатации. В системе 13 заявок, из них 6 закрыто и подтверждено заявителями, переоткрытий по низкой оценке — нет.</w:t>
            </w:r>
          </w:p>
          <w:p w14:paraId="718670D8" w14:textId="77777777" w:rsidR="003100F5" w:rsidRDefault="00000000">
            <w:pPr>
              <w:jc w:val="both"/>
              <w:rPr>
                <w:sz w:val="24"/>
                <w:szCs w:val="24"/>
              </w:rPr>
            </w:pPr>
            <w:r>
              <w:rPr>
                <w:sz w:val="24"/>
                <w:szCs w:val="24"/>
              </w:rPr>
              <w:t xml:space="preserve">Время протекания процесса от возникновения проблемы до подтверждённого устранения: было от 10 до 44 календарных дней, стало от 1 часа 8 минут до 7,5 суток. Нижняя граница — полный цикл заявки № 68 от 27.09.2026 по журналу событий: подана в 16:04, принята исполнителем в 16:07, выполнена с фотоотчётом в 17:08, подтверждена заявителем в 17:12 с оценкой 5 из 5. Верхняя — сумма медиан времени реакции и времени работы по направлению «улично-дорожная сеть» за 90 дней.</w:t>
            </w:r>
          </w:p>
          <w:p w14:paraId="718670D8" w14:textId="77777777" w:rsidR="003100F5" w:rsidRDefault="00000000">
            <w:pPr>
              <w:jc w:val="both"/>
              <w:rPr>
                <w:sz w:val="24"/>
                <w:szCs w:val="24"/>
              </w:rPr>
            </w:pPr>
            <w:r>
              <w:rPr>
                <w:sz w:val="24"/>
                <w:szCs w:val="24"/>
              </w:rPr>
              <w:t xml:space="preserve">Трудозатраты сотрудника на регистрацию одного сообщения и передачу исполнителю: было 15 минут, стало 0 — регистрация, определение категории и адреса и маршрутизация выполняются без участия сотрудника.</w:t>
            </w:r>
          </w:p>
          <w:p w14:paraId="718670D8" w14:textId="77777777" w:rsidR="003100F5" w:rsidRDefault="00000000">
            <w:pPr>
              <w:jc w:val="both"/>
              <w:rPr>
                <w:sz w:val="24"/>
                <w:szCs w:val="24"/>
              </w:rPr>
            </w:pPr>
            <w:r>
              <w:rPr>
                <w:sz w:val="24"/>
                <w:szCs w:val="24"/>
              </w:rPr>
              <w:t xml:space="preserve">Доля заявок с установленным сроком исполнения: было 0 %, стало 100 % — срок ставится каждой заявке автоматически по категории, норматив 72 часа.</w:t>
            </w:r>
          </w:p>
          <w:p w14:paraId="718670D8" w14:textId="77777777" w:rsidR="003100F5" w:rsidRDefault="00000000">
            <w:pPr>
              <w:jc w:val="both"/>
              <w:rPr>
                <w:sz w:val="24"/>
                <w:szCs w:val="24"/>
              </w:rPr>
            </w:pPr>
            <w:r>
              <w:rPr>
                <w:sz w:val="24"/>
                <w:szCs w:val="24"/>
              </w:rPr>
              <w:t xml:space="preserve">Доля заявок, закрытых с подтверждением результата: было 0 %, стало 100 % — закрыть заявку без фотоматериала или отчёта исполнителя технически невозможно. Из них с фотофиксацией — 67 %: в двух случаях из шести исполнитель приложил только текстовый отчёт. Обязательность фотоматериала закрепляется регламентом работы сервиса.</w:t>
            </w:r>
          </w:p>
          <w:p w14:paraId="718670D8" w14:textId="77777777" w:rsidR="003100F5" w:rsidRDefault="00000000">
            <w:pPr>
              <w:jc w:val="both"/>
              <w:rPr>
                <w:sz w:val="24"/>
                <w:szCs w:val="24"/>
              </w:rPr>
            </w:pPr>
            <w:r>
              <w:rPr>
                <w:sz w:val="24"/>
                <w:szCs w:val="24"/>
              </w:rPr>
              <w:t xml:space="preserve">Доля проблем, выявленных до обращения жителя: было 0 %, стало 85 % (11 заявок из 13) — заявки поданы участниками инициативных групп по итогам обхода территории. За пределами пилота, при расширении круга подающих, доля ожидается ниже; целевое значение 50 % сохраняется.</w:t>
            </w:r>
          </w:p>
          <w:p w14:paraId="718670D8" w14:textId="77777777" w:rsidR="003100F5" w:rsidRDefault="00000000">
            <w:pPr>
              <w:jc w:val="both"/>
              <w:rPr>
                <w:sz w:val="24"/>
                <w:szCs w:val="24"/>
              </w:rPr>
            </w:pPr>
            <w:r>
              <w:rPr>
                <w:sz w:val="24"/>
                <w:szCs w:val="24"/>
              </w:rPr>
              <w:t xml:space="preserve">Доля заявок, исполненных в установленный срок: было 60 %, стало 100 % по заявкам с настроенной цепочкой исполнителей (3 из 3 по направлению «улично-дорожная сеть»). Семь заявок июля — августа, поданных до настройки маршрутизации, числятся просроченными: прежде сроки по ним не считались вовсе, теперь просрочка видна.</w:t>
            </w:r>
          </w:p>
          <w:p w14:paraId="718670D8" w14:textId="77777777" w:rsidR="003100F5" w:rsidRDefault="00000000">
            <w:pPr>
              <w:jc w:val="both"/>
              <w:rPr>
                <w:sz w:val="24"/>
                <w:szCs w:val="24"/>
              </w:rPr>
            </w:pPr>
            <w:r>
              <w:rPr>
                <w:sz w:val="24"/>
                <w:szCs w:val="24"/>
              </w:rPr>
              <w:t xml:space="preserve">Средняя оценка жителем результата: не измерялась, стало 5,0 по шкале от 1 до 5 — пока одна оценка.</w:t>
            </w:r>
          </w:p>
          <w:p w14:paraId="718670D8" w14:textId="77777777" w:rsidR="003100F5" w:rsidRDefault="00000000">
            <w:pPr>
              <w:jc w:val="both"/>
              <w:rPr>
                <w:sz w:val="24"/>
                <w:szCs w:val="24"/>
              </w:rPr>
            </w:pPr>
            <w:r>
              <w:rPr>
                <w:sz w:val="24"/>
                <w:szCs w:val="24"/>
              </w:rPr>
              <w:t xml:space="preserve">Очередь необработанных сообщений перед маршрутизацией: было от 2 до 8 штук, стало 0 — заявка уходит исполнителю сразу после классификации. На проверке классификации находятся 3 заявки: когда классификатор не уверен, заявка направляется оператору.</w:t>
            </w:r>
          </w:p>
          <w:p w14:paraId="718670D8" w14:textId="77777777" w:rsidR="003100F5" w:rsidRDefault="00000000">
            <w:pPr>
              <w:jc w:val="both"/>
              <w:rPr>
                <w:sz w:val="24"/>
                <w:szCs w:val="24"/>
              </w:rPr>
            </w:pPr>
            <w:r>
              <w:rPr>
                <w:sz w:val="24"/>
                <w:szCs w:val="24"/>
              </w:rPr>
              <w:t xml:space="preserve">Повторные обращения об одном объекте: выявлен один повтор — заявки № 66 и № 68 об одной точке в переулке Лазурном с. Верхнеблаговещенское с интервалом 17,1 дня. Прежде повторы не выявлялись вовсе.</w:t>
            </w:r>
          </w:p>
          <w:p w14:paraId="718670D8" w14:textId="77777777" w:rsidR="003100F5" w:rsidRDefault="00000000">
            <w:pPr>
              <w:jc w:val="both"/>
              <w:rPr>
                <w:sz w:val="24"/>
                <w:szCs w:val="24"/>
              </w:rPr>
            </w:pPr>
            <w:r>
              <w:rPr>
                <w:sz w:val="24"/>
                <w:szCs w:val="24"/>
              </w:rPr>
              <w:t xml:space="preserve">Количество обращений граждан по вопросам благоустройства и ЖКХ — основной показатель проекта: было 40 в месяц, значение «стало» </w:t>
            </w:r>
            <w:r>
              <w:rPr>
                <w:color w:val="C00000"/>
                <w:b/>
                <w:sz w:val="24"/>
                <w:szCs w:val="24"/>
              </w:rPr>
              <w:t xml:space="preserve">замеряется по итогам IV квартала 2026 года</w:t>
            </w:r>
            <w:r>
              <w:rPr>
                <w:sz w:val="24"/>
                <w:szCs w:val="24"/>
              </w:rPr>
              <w:t xml:space="preserve">: это обращения в системе документооборота со сроком рассмотрения 30 дней, за два месяца пилотной эксплуатации достоверной динамики по ним не образуется.</w:t>
            </w:r>
          </w:p>
          <w:p w14:paraId="718670D8" w14:textId="77777777" w:rsidR="003100F5" w:rsidRDefault="00000000">
            <w:pPr>
              <w:jc w:val="both"/>
              <w:rPr>
                <w:sz w:val="24"/>
                <w:szCs w:val="24"/>
              </w:rPr>
            </w:pPr>
            <w:r>
              <w:rPr>
                <w:sz w:val="24"/>
                <w:szCs w:val="24"/>
              </w:rPr>
              <w:t xml:space="preserve">Качественные результаты. Введено плановое выявление проблем: инициативные группы граждан подают заявки по итогам обхода территории, до обращения жителя. Приём сообщений ведётся в мессенджере MAX; регистрация выполняется без участия сотрудника. Категория, адрес и срочность определяются автоматически; маршрут к исполнителю назначается без резолюции Главы округа — ручное распределение всего объёма обращений первым лицом из процесса исключено. Каждой заявке устанавливается срок исполнения, при просрочке заявка передаётся заместителю по направлению, затем Главе округа. Закрытие заявки требует фотоматериала или отчёта исполнителя. Автор заявки получает уведомление о каждом изменении статуса и выставляет оценку — связь с заявителем ведётся на всём протяжении работы, а не только письменным ответом по её итогам. Заявки об одном объекте объединяются автоматически, и число обращений по объекту сохраняется: появилось распределение проблем по объектам возникновения — по адресам, участкам и населённым пунктам. Сводная отчётность формируется в панели администрации без ручного сбора.</w:t>
            </w:r>
          </w:p>
        </w:tc>
      </w:tr>
      <w:tr w:rsidR="003100F5" w14:paraId="4726E9FC" w14:textId="77777777">
        <w:trPr>
          <w:trHeight w:val="253"/>
        </w:trPr>
        <w:tc>
          <w:tcPr>
            <w:tcW w:w="816" w:type="dxa"/>
            <w:vMerge w:val="restart"/>
          </w:tcPr>
          <w:p w14:paraId="2A74A6FE" w14:textId="77777777" w:rsidR="003100F5" w:rsidRDefault="00000000">
            <w:pPr>
              <w:jc w:val="center"/>
              <w:rPr>
                <w:sz w:val="22"/>
                <w:szCs w:val="22"/>
              </w:rPr>
            </w:pPr>
            <w:r>
              <w:rPr>
                <w:sz w:val="22"/>
                <w:szCs w:val="22"/>
              </w:rPr>
              <w:t>5.</w:t>
            </w:r>
          </w:p>
        </w:tc>
        <w:tc>
          <w:tcPr>
            <w:tcW w:w="3827" w:type="dxa"/>
            <w:vMerge w:val="restart"/>
          </w:tcPr>
          <w:p w14:paraId="583717AB" w14:textId="77777777" w:rsidR="003100F5" w:rsidRDefault="00000000">
            <w:pPr>
              <w:jc w:val="both"/>
              <w:rPr>
                <w:sz w:val="22"/>
                <w:szCs w:val="22"/>
              </w:rPr>
            </w:pPr>
            <w:r>
              <w:rPr>
                <w:sz w:val="22"/>
                <w:szCs w:val="22"/>
              </w:rPr>
              <w:t>Экономический эффект от реализации проекта, руб./год (при наличии)</w:t>
            </w:r>
          </w:p>
        </w:tc>
        <w:tc>
          <w:tcPr>
            <w:tcW w:w="4819" w:type="dxa"/>
            <w:vMerge w:val="restart"/>
          </w:tcPr>
          <w:p w14:paraId="5493DA34" w14:textId="77777777" w:rsidR="003100F5" w:rsidRDefault="00000000">
            <w:pPr>
              <w:jc w:val="both"/>
              <w:rPr>
                <w:sz w:val="24"/>
                <w:szCs w:val="24"/>
              </w:rPr>
            </w:pPr>
            <w:r>
              <w:rPr>
                <w:sz w:val="24"/>
                <w:szCs w:val="24"/>
              </w:rPr>
              <w:t xml:space="preserve">Экономический эффект в денежном выражении не рассчитывался: форма справки проекта допускает указание эффекта при наличии, а период наблюдения после внедрения — два месяца — недостаточен для достоверной денежной оценки.</w:t>
            </w:r>
          </w:p>
          <w:p w14:paraId="5493DA34" w14:textId="77777777" w:rsidR="003100F5" w:rsidRDefault="00000000">
            <w:pPr>
              <w:jc w:val="both"/>
              <w:rPr>
                <w:sz w:val="24"/>
                <w:szCs w:val="24"/>
              </w:rPr>
            </w:pPr>
            <w:r>
              <w:rPr>
                <w:sz w:val="24"/>
                <w:szCs w:val="24"/>
              </w:rPr>
              <w:t xml:space="preserve">Эффект проекта в натуральном выражении: высвобождено около 476 часов рабочего времени в год — 60 рабочих дней. Операции, которые выполнялись вручную и более не выполняются: приём и регистрация сообщения в журнале входящих и в системе документооборота, направление обращения Главе округа, определение ответственного заместителя резолюцией, назначение исполнителя, подготовка сводной отчётности. Расчёт: 40 сообщений в месяц (480 в год) × 22,5 минуты специалиста и 25 минут руководителей на одно сообщение, плюс 8 часов в месяц на сводную отчётность. Норматив времени на регистрацию одного сообщения — 15 минут — подтверждён заказчиком процесса, остальные нормативы определены по карте текущего состояния.</w:t>
            </w:r>
          </w:p>
          <w:p w14:paraId="5493DA34" w14:textId="77777777" w:rsidR="003100F5" w:rsidRDefault="00000000">
            <w:pPr>
              <w:jc w:val="both"/>
              <w:rPr>
                <w:sz w:val="24"/>
                <w:szCs w:val="24"/>
              </w:rPr>
            </w:pPr>
            <w:r>
              <w:rPr>
                <w:sz w:val="24"/>
                <w:szCs w:val="24"/>
              </w:rPr>
              <w:t xml:space="preserve">Затраты на реализацию проекта: 0 рублей. Оборудование и лицензии не приобретались, сторонний подрядчик не привлекался — цифровое решение разработано силами администрации округа. Сервис размещён на действующем сервере администрации, дополнительных мощностей не потребовалось; классификация обращений выполняется на бесплатном тарифе, объёма которого достаточно при текущем потоке сообщений. Для оценки тиражирования: при размещении в арендованном облаке и переходе на платный тариф классификатора расходы составили бы порядка 260 тыс. рублей в год.</w:t>
            </w:r>
          </w:p>
          <w:p w14:paraId="5493DA34" w14:textId="77777777" w:rsidR="003100F5" w:rsidRDefault="00000000">
            <w:pPr>
              <w:jc w:val="both"/>
              <w:rPr>
                <w:sz w:val="24"/>
                <w:szCs w:val="24"/>
              </w:rPr>
            </w:pPr>
            <w:r>
              <w:rPr>
                <w:sz w:val="24"/>
                <w:szCs w:val="24"/>
              </w:rPr>
              <w:t xml:space="preserve">Развитие проекта. Данные о числе обращений по каждому объекту накапливаются в системе с первого дня работы: повторные заявки не удаляются, а связываются с исходной, поэтому по каждому адресу и участку виден счётчик. Это основа для следующего шага — приоритизации расходов на благоустройство по фактической частоте проблем на объекте. Для этого требуется расширение круга лиц, подающих заявки, за пределы инициативных групп: чем шире круг, тем точнее картина частоты. Расширение состава участников планируется после завершения настоящего проекта.</w:t>
            </w:r>
          </w:p>
        </w:tc>
      </w:tr>
    </w:tbl>
    <w:p w14:paraId="3AEB545F" w14:textId="77777777" w:rsidR="003100F5" w:rsidRDefault="003100F5">
      <w:pPr>
        <w:shd w:val="clear" w:color="auto" w:fill="FFFFFF"/>
        <w:ind w:firstLine="709"/>
        <w:jc w:val="both"/>
        <w:rPr>
          <w:rFonts w:ascii="timesnewroman" w:hAnsi="timesnewroman" w:cs="Arial"/>
          <w:sz w:val="26"/>
          <w:szCs w:val="26"/>
        </w:rPr>
      </w:pPr>
    </w:p>
    <w:p w14:paraId="71108299" w14:textId="77777777" w:rsidR="003100F5" w:rsidRDefault="003100F5">
      <w:pPr>
        <w:shd w:val="clear" w:color="auto" w:fill="FFFFFF"/>
        <w:ind w:firstLine="709"/>
        <w:jc w:val="both"/>
        <w:rPr>
          <w:rFonts w:ascii="timesnewroman" w:hAnsi="timesnewroman" w:cs="Arial"/>
          <w:sz w:val="26"/>
          <w:szCs w:val="26"/>
        </w:rPr>
      </w:pPr>
    </w:p>
    <w:p w14:paraId="216F095E" w14:textId="77777777" w:rsidR="003100F5" w:rsidRDefault="00000000">
      <w:pPr>
        <w:shd w:val="clear" w:color="auto" w:fill="FFFFFF"/>
        <w:ind w:firstLine="709"/>
        <w:jc w:val="both"/>
        <w:rPr>
          <w:sz w:val="26"/>
          <w:szCs w:val="26"/>
        </w:rPr>
      </w:pPr>
      <w:r>
        <w:rPr>
          <w:sz w:val="26"/>
          <w:szCs w:val="26"/>
        </w:rPr>
        <w:t>Достоверность информации, представленной в настоящей справке проекта, гарантируем и подтверждаем право конкурсной комиссии запрашивать у конкурсантов информацию, уточняющую сведения, представленные в справке проекта.</w:t>
      </w:r>
    </w:p>
    <w:p w14:paraId="3BC71046" w14:textId="77777777" w:rsidR="003100F5" w:rsidRDefault="00000000">
      <w:pPr>
        <w:shd w:val="clear" w:color="auto" w:fill="FFFFFF"/>
        <w:rPr>
          <w:rFonts w:ascii="timesnewroman" w:hAnsi="timesnewroman" w:cs="Arial"/>
          <w:sz w:val="28"/>
          <w:szCs w:val="28"/>
        </w:rPr>
      </w:pPr>
      <w:r>
        <w:rPr>
          <w:rFonts w:ascii="timesnewroman" w:hAnsi="timesnewroman" w:cs="Arial"/>
          <w:sz w:val="28"/>
          <w:szCs w:val="28"/>
        </w:rPr>
        <w:t>Глава Благовещенского муниципального округа / _____________ / Башун Александр Александрович</w:t>
      </w:r>
    </w:p>
    <w:p w14:paraId="5EC81EF3" w14:textId="77777777" w:rsidR="003100F5" w:rsidRDefault="00000000">
      <w:pPr>
        <w:shd w:val="clear" w:color="auto" w:fill="FFFFFF"/>
        <w:ind w:left="4677" w:hanging="4677"/>
        <w:jc w:val="center"/>
      </w:pPr>
      <w:r>
        <w:rPr>
          <w:rFonts w:ascii="timesnewroman" w:hAnsi="timesnewroman" w:cs="Arial"/>
        </w:rPr>
        <w:t xml:space="preserve">   (наименование </w:t>
      </w:r>
      <w:proofErr w:type="gramStart"/>
      <w:r>
        <w:rPr>
          <w:rFonts w:ascii="timesnewroman" w:hAnsi="timesnewroman" w:cs="Arial"/>
        </w:rPr>
        <w:t>должности)   </w:t>
      </w:r>
      <w:proofErr w:type="gramEnd"/>
      <w:r>
        <w:rPr>
          <w:rFonts w:ascii="timesnewroman" w:hAnsi="timesnewroman" w:cs="Arial"/>
        </w:rPr>
        <w:t>         </w:t>
      </w:r>
      <w:proofErr w:type="gramStart"/>
      <w:r>
        <w:rPr>
          <w:rFonts w:ascii="timesnewroman" w:hAnsi="timesnewroman" w:cs="Arial"/>
        </w:rPr>
        <w:t>   (подпись)   </w:t>
      </w:r>
      <w:proofErr w:type="gramEnd"/>
      <w:r>
        <w:rPr>
          <w:rFonts w:ascii="timesnewroman" w:hAnsi="timesnewroman" w:cs="Arial"/>
        </w:rPr>
        <w:t>      </w:t>
      </w:r>
      <w:proofErr w:type="gramStart"/>
      <w:r>
        <w:rPr>
          <w:rFonts w:ascii="timesnewroman" w:hAnsi="timesnewroman" w:cs="Arial"/>
        </w:rPr>
        <w:t>   </w:t>
      </w:r>
      <w:r>
        <w:t>(</w:t>
      </w:r>
      <w:proofErr w:type="gramEnd"/>
      <w:r>
        <w:t xml:space="preserve">Ф.И.О. руководителя аппарата </w:t>
      </w:r>
      <w:proofErr w:type="gramStart"/>
      <w:r>
        <w:t>Губернатора  области</w:t>
      </w:r>
      <w:proofErr w:type="gramEnd"/>
      <w:r>
        <w:t xml:space="preserve"> и Правительства области, либо органа исполнительной власти Амурской области или подведомственной ему организации, либо органа местного самоуправления муниципального образования Амурской области или подведомственной ему организация) </w:t>
      </w:r>
    </w:p>
    <w:p w14:paraId="3E584218" w14:textId="77777777" w:rsidR="003100F5" w:rsidRDefault="003100F5">
      <w:pPr>
        <w:shd w:val="clear" w:color="auto" w:fill="FFFFFF"/>
        <w:jc w:val="center"/>
        <w:rPr>
          <w:rFonts w:ascii="timesnewroman" w:hAnsi="timesnewroman" w:cs="Arial"/>
          <w:sz w:val="26"/>
          <w:szCs w:val="26"/>
        </w:rPr>
      </w:pPr>
    </w:p>
    <w:p w14:paraId="5AEC692F" w14:textId="77777777" w:rsidR="003100F5" w:rsidRDefault="003100F5">
      <w:pPr>
        <w:shd w:val="clear" w:color="auto" w:fill="FFFFFF"/>
        <w:jc w:val="center"/>
        <w:rPr>
          <w:rFonts w:ascii="timesnewroman" w:hAnsi="timesnewroman" w:cs="Arial"/>
          <w:sz w:val="26"/>
          <w:szCs w:val="26"/>
        </w:rPr>
      </w:pPr>
    </w:p>
    <w:p w14:paraId="3A8C2171" w14:textId="77777777" w:rsidR="003100F5" w:rsidRDefault="00000000">
      <w:pPr>
        <w:shd w:val="clear" w:color="auto" w:fill="FFFFFF"/>
        <w:jc w:val="center"/>
        <w:rPr>
          <w:rFonts w:ascii="timesnewroman" w:hAnsi="timesnewroman" w:cs="Arial"/>
          <w:sz w:val="26"/>
          <w:szCs w:val="26"/>
        </w:rPr>
      </w:pPr>
      <w:r>
        <w:rPr>
          <w:rFonts w:ascii="timesnewroman" w:hAnsi="timesnewroman" w:cs="Arial"/>
          <w:sz w:val="26"/>
          <w:szCs w:val="26"/>
        </w:rPr>
        <w:t>К настоящей справке проекта прилагаются следующие документы*:</w:t>
      </w:r>
    </w:p>
    <w:p w14:paraId="2CEBBF13" w14:textId="77777777" w:rsidR="003100F5" w:rsidRDefault="00000000">
      <w:pPr>
        <w:shd w:val="clear" w:color="auto" w:fill="FFFFFF"/>
        <w:jc w:val="center"/>
        <w:rPr>
          <w:rFonts w:ascii="Arial" w:hAnsi="Arial" w:cs="Arial"/>
          <w:sz w:val="24"/>
          <w:szCs w:val="24"/>
        </w:rPr>
      </w:pPr>
      <w:r>
        <w:rPr>
          <w:rFonts w:ascii="Arial" w:hAnsi="Arial" w:cs="Arial"/>
          <w:sz w:val="24"/>
          <w:szCs w:val="24"/>
        </w:rPr>
        <w:t> </w:t>
      </w:r>
    </w:p>
    <w:p w14:paraId="6B0DF944" w14:textId="77777777" w:rsidR="003100F5" w:rsidRDefault="003100F5">
      <w:pPr>
        <w:shd w:val="clear" w:color="auto" w:fill="FFFFFF"/>
        <w:jc w:val="both"/>
        <w:rPr>
          <w:rFonts w:ascii="Arial" w:hAnsi="Arial" w:cs="Arial"/>
          <w:sz w:val="24"/>
          <w:szCs w:val="24"/>
        </w:rPr>
      </w:pPr>
    </w:p>
    <w:tbl>
      <w:tblPr>
        <w:tblStyle w:val="af1"/>
        <w:tblW w:w="0" w:type="auto"/>
        <w:tblLayout w:type="fixed"/>
        <w:tblLook w:val="04A0" w:firstRow="1" w:lastRow="0" w:firstColumn="1" w:lastColumn="0" w:noHBand="0" w:noVBand="1"/>
      </w:tblPr>
      <w:tblGrid>
        <w:gridCol w:w="533"/>
        <w:gridCol w:w="5811"/>
        <w:gridCol w:w="3402"/>
      </w:tblGrid>
      <w:tr w:rsidR="003100F5" w14:paraId="1E20A461" w14:textId="77777777">
        <w:tc>
          <w:tcPr>
            <w:tcW w:w="533" w:type="dxa"/>
          </w:tcPr>
          <w:p w14:paraId="12209CD8" w14:textId="77777777" w:rsidR="003100F5" w:rsidRDefault="00000000">
            <w:pPr>
              <w:jc w:val="center"/>
              <w:rPr>
                <w:sz w:val="24"/>
                <w:szCs w:val="24"/>
              </w:rPr>
            </w:pPr>
            <w:r>
              <w:rPr>
                <w:rFonts w:ascii="timesnewroman" w:hAnsi="timesnewroman"/>
                <w:sz w:val="24"/>
                <w:szCs w:val="24"/>
              </w:rPr>
              <w:t>№ п/п</w:t>
            </w:r>
          </w:p>
        </w:tc>
        <w:tc>
          <w:tcPr>
            <w:tcW w:w="5811" w:type="dxa"/>
          </w:tcPr>
          <w:p w14:paraId="082DB6C1" w14:textId="77777777" w:rsidR="003100F5" w:rsidRDefault="00000000">
            <w:pPr>
              <w:jc w:val="center"/>
              <w:rPr>
                <w:sz w:val="24"/>
                <w:szCs w:val="24"/>
              </w:rPr>
            </w:pPr>
            <w:r>
              <w:rPr>
                <w:rFonts w:ascii="timesnewroman" w:hAnsi="timesnewroman"/>
                <w:sz w:val="24"/>
                <w:szCs w:val="24"/>
              </w:rPr>
              <w:t>Наименование документа</w:t>
            </w:r>
          </w:p>
        </w:tc>
        <w:tc>
          <w:tcPr>
            <w:tcW w:w="3402" w:type="dxa"/>
          </w:tcPr>
          <w:p w14:paraId="5CC8CB00" w14:textId="77777777" w:rsidR="003100F5" w:rsidRDefault="00000000">
            <w:pPr>
              <w:jc w:val="center"/>
              <w:rPr>
                <w:sz w:val="24"/>
                <w:szCs w:val="24"/>
              </w:rPr>
            </w:pPr>
            <w:r>
              <w:rPr>
                <w:rFonts w:ascii="timesnewroman" w:hAnsi="timesnewroman"/>
                <w:sz w:val="24"/>
                <w:szCs w:val="24"/>
              </w:rPr>
              <w:t>Количество листов документа</w:t>
            </w:r>
          </w:p>
        </w:tc>
      </w:tr>
      <w:tr w:rsidR="003100F5" w14:paraId="0191260E" w14:textId="77777777">
        <w:tc>
          <w:tcPr>
            <w:tcW w:w="533" w:type="dxa"/>
          </w:tcPr>
          <w:p w14:paraId="654EEDDC" w14:textId="77777777" w:rsidR="003100F5" w:rsidRDefault="00000000">
            <w:pPr>
              <w:jc w:val="both"/>
              <w:rPr>
                <w:sz w:val="24"/>
                <w:szCs w:val="24"/>
              </w:rPr>
            </w:pPr>
            <w:r>
              <w:rPr>
                <w:rFonts w:ascii="timesnewroman" w:hAnsi="timesnewroman"/>
                <w:sz w:val="24"/>
                <w:szCs w:val="24"/>
              </w:rPr>
              <w:t>1.</w:t>
            </w:r>
          </w:p>
        </w:tc>
        <w:tc>
          <w:tcPr>
            <w:tcW w:w="5811" w:type="dxa"/>
          </w:tcPr>
          <w:p w14:paraId="2007FBD9" w14:textId="77777777" w:rsidR="003100F5" w:rsidRDefault="00000000">
            <w:pPr>
              <w:jc w:val="both"/>
              <w:rPr>
                <w:sz w:val="24"/>
                <w:szCs w:val="24"/>
              </w:rPr>
            </w:pPr>
            <w:r>
              <w:rPr>
                <w:rFonts w:ascii="timesnewroman" w:hAnsi="timesnewroman"/>
                <w:sz w:val="24"/>
                <w:szCs w:val="24"/>
              </w:rPr>
              <w:t>Карточка проекта</w:t>
            </w:r>
          </w:p>
        </w:tc>
        <w:tc>
          <w:tcPr>
            <w:tcW w:w="3402" w:type="dxa"/>
          </w:tcPr>
          <w:p w14:paraId="6D556F06" w14:textId="77777777" w:rsidR="003100F5" w:rsidRDefault="00000000">
            <w:pPr>
              <w:jc w:val="both"/>
              <w:rPr>
                <w:sz w:val="24"/>
                <w:szCs w:val="24"/>
              </w:rPr>
            </w:pPr>
            <w:r>
              <w:rPr>
                <w:rFonts w:ascii="timesnewroman" w:hAnsi="timesnewroman"/>
                <w:sz w:val="24"/>
                <w:szCs w:val="24"/>
              </w:rPr>
              <w:t xml:space="preserve">на 1 л. в 1 экз.</w:t>
            </w:r>
          </w:p>
        </w:tc>
      </w:tr>
      <w:tr w:rsidR="003100F5" w14:paraId="3A25A4EC" w14:textId="77777777">
        <w:tc>
          <w:tcPr>
            <w:tcW w:w="533" w:type="dxa"/>
          </w:tcPr>
          <w:p w14:paraId="386D97B7" w14:textId="77777777" w:rsidR="003100F5" w:rsidRDefault="00000000">
            <w:pPr>
              <w:jc w:val="both"/>
              <w:rPr>
                <w:sz w:val="24"/>
                <w:szCs w:val="24"/>
              </w:rPr>
            </w:pPr>
            <w:r>
              <w:rPr>
                <w:rFonts w:ascii="timesnewroman" w:hAnsi="timesnewroman"/>
                <w:sz w:val="24"/>
                <w:szCs w:val="24"/>
              </w:rPr>
              <w:t>2.</w:t>
            </w:r>
          </w:p>
        </w:tc>
        <w:tc>
          <w:tcPr>
            <w:tcW w:w="5811" w:type="dxa"/>
          </w:tcPr>
          <w:p w14:paraId="5F621CE6" w14:textId="77777777" w:rsidR="003100F5" w:rsidRDefault="00000000">
            <w:pPr>
              <w:jc w:val="both"/>
              <w:rPr>
                <w:sz w:val="24"/>
                <w:szCs w:val="24"/>
              </w:rPr>
            </w:pPr>
            <w:r>
              <w:rPr>
                <w:rFonts w:ascii="timesnewroman" w:hAnsi="timesnewroman"/>
                <w:sz w:val="24"/>
                <w:szCs w:val="24"/>
              </w:rPr>
              <w:t>Копия отчетной презентации проекта</w:t>
            </w:r>
          </w:p>
        </w:tc>
        <w:tc>
          <w:tcPr>
            <w:tcW w:w="3402" w:type="dxa"/>
          </w:tcPr>
          <w:p w14:paraId="51FB8B8E" w14:textId="77777777" w:rsidR="003100F5" w:rsidRDefault="00000000">
            <w:pPr>
              <w:jc w:val="both"/>
              <w:rPr>
                <w:sz w:val="24"/>
                <w:szCs w:val="24"/>
              </w:rPr>
            </w:pPr>
            <w:r>
              <w:rPr>
                <w:rFonts w:ascii="timesnewroman" w:hAnsi="timesnewroman"/>
                <w:sz w:val="24"/>
                <w:szCs w:val="24"/>
              </w:rPr>
              <w:t xml:space="preserve">на 21 л. в 1 экз.</w:t>
            </w:r>
          </w:p>
        </w:tc>
      </w:tr>
    </w:tbl>
    <w:p w14:paraId="5134BF82" w14:textId="77777777" w:rsidR="003100F5" w:rsidRDefault="00000000">
      <w:pPr>
        <w:shd w:val="clear" w:color="auto" w:fill="FFFFFF"/>
        <w:jc w:val="both"/>
        <w:rPr>
          <w:rFonts w:ascii="timesnewroman" w:hAnsi="timesnewroman" w:cs="Arial"/>
          <w:sz w:val="24"/>
          <w:szCs w:val="24"/>
        </w:rPr>
      </w:pPr>
      <w:r>
        <w:rPr>
          <w:rFonts w:ascii="timesnewroman" w:hAnsi="timesnewroman" w:cs="Arial"/>
          <w:sz w:val="24"/>
          <w:szCs w:val="24"/>
        </w:rPr>
        <w:t>*допускается предоставление дополнительных документов, подтверждающих соответствие проекта критериям оценки</w:t>
      </w:r>
    </w:p>
    <w:p w14:paraId="6FA3CCE5" w14:textId="77777777" w:rsidR="003100F5" w:rsidRDefault="003100F5">
      <w:pPr>
        <w:shd w:val="clear" w:color="auto" w:fill="FFFFFF"/>
        <w:rPr>
          <w:rFonts w:ascii="timesnewroman" w:hAnsi="timesnewroman" w:cs="Arial"/>
          <w:sz w:val="26"/>
          <w:szCs w:val="26"/>
        </w:rPr>
      </w:pPr>
    </w:p>
    <w:p w14:paraId="0521FAA7" w14:textId="77777777" w:rsidR="003100F5" w:rsidRDefault="003100F5">
      <w:pPr>
        <w:shd w:val="clear" w:color="auto" w:fill="FFFFFF"/>
        <w:ind w:left="5103"/>
        <w:jc w:val="both"/>
        <w:rPr>
          <w:rFonts w:ascii="timesnewroman" w:hAnsi="timesnewroman" w:cs="Arial"/>
          <w:sz w:val="26"/>
          <w:szCs w:val="26"/>
        </w:rPr>
      </w:pPr>
    </w:p>
    <w:p w14:paraId="03997E10" w14:textId="77777777" w:rsidR="003100F5" w:rsidRDefault="003100F5">
      <w:pPr>
        <w:shd w:val="clear" w:color="auto" w:fill="FFFFFF"/>
        <w:jc w:val="both"/>
        <w:rPr>
          <w:rFonts w:ascii="timesnewroman" w:hAnsi="timesnewroman" w:cs="Arial"/>
          <w:sz w:val="26"/>
          <w:szCs w:val="26"/>
        </w:rPr>
      </w:pPr>
    </w:p>
    <w:p w14:paraId="3285D16D" w14:textId="77777777" w:rsidR="003100F5" w:rsidRDefault="003100F5">
      <w:pPr>
        <w:shd w:val="clear" w:color="auto" w:fill="FFFFFF"/>
        <w:ind w:left="5103"/>
        <w:jc w:val="both"/>
        <w:rPr>
          <w:rFonts w:ascii="timesnewroman" w:hAnsi="timesnewroman" w:cs="Arial"/>
          <w:sz w:val="26"/>
          <w:szCs w:val="26"/>
        </w:rPr>
      </w:pPr>
    </w:p>
    <w:p w14:paraId="52C0237B" w14:textId="77777777" w:rsidR="003100F5" w:rsidRDefault="003100F5">
      <w:pPr>
        <w:shd w:val="clear" w:color="auto" w:fill="FFFFFF"/>
        <w:ind w:left="5103"/>
        <w:jc w:val="both"/>
        <w:rPr>
          <w:rFonts w:ascii="timesnewroman" w:hAnsi="timesnewroman" w:cs="Arial"/>
          <w:sz w:val="26"/>
          <w:szCs w:val="26"/>
        </w:rPr>
      </w:pPr>
    </w:p>
    <w:p w14:paraId="482E3655" w14:textId="77777777" w:rsidR="003100F5" w:rsidRDefault="003100F5" w:rsidP="00C41C88">
      <w:pPr>
        <w:shd w:val="clear" w:color="auto" w:fill="FFFFFF"/>
        <w:jc w:val="both"/>
        <w:rPr>
          <w:rFonts w:ascii="timesnewroman" w:hAnsi="timesnewroman" w:cs="Arial"/>
          <w:sz w:val="26"/>
          <w:szCs w:val="26"/>
        </w:rPr>
      </w:pPr>
    </w:p>
    <w:sectPr w:rsidR="003100F5">
      <w:headerReference w:type="even" r:id="rId7"/>
      <w:headerReference w:type="default" r:id="rId8"/>
      <w:pgSz w:w="11906" w:h="16838"/>
      <w:pgMar w:top="1134" w:right="567"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C48B" w14:textId="77777777" w:rsidR="00BB3CB8" w:rsidRDefault="00BB3CB8">
      <w:r>
        <w:separator/>
      </w:r>
    </w:p>
  </w:endnote>
  <w:endnote w:type="continuationSeparator" w:id="0">
    <w:p w14:paraId="210FC7BB" w14:textId="77777777" w:rsidR="00BB3CB8" w:rsidRDefault="00BB3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timesnewroman">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40FBB" w14:textId="77777777" w:rsidR="00BB3CB8" w:rsidRDefault="00BB3CB8">
      <w:r>
        <w:separator/>
      </w:r>
    </w:p>
  </w:footnote>
  <w:footnote w:type="continuationSeparator" w:id="0">
    <w:p w14:paraId="2D12095B" w14:textId="77777777" w:rsidR="00BB3CB8" w:rsidRDefault="00BB3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B3E8" w14:textId="4A2802C4" w:rsidR="003100F5" w:rsidRDefault="00000000">
    <w:pPr>
      <w:pStyle w:val="ab"/>
      <w:framePr w:wrap="around" w:vAnchor="text" w:hAnchor="margin" w:xAlign="center" w:y="1"/>
      <w:rPr>
        <w:rStyle w:val="afc"/>
      </w:rPr>
    </w:pPr>
    <w:r>
      <w:rPr>
        <w:rStyle w:val="afc"/>
      </w:rPr>
      <w:fldChar w:fldCharType="begin"/>
    </w:r>
    <w:r>
      <w:rPr>
        <w:rStyle w:val="afc"/>
      </w:rPr>
      <w:instrText xml:space="preserve">PAGE  </w:instrText>
    </w:r>
    <w:r w:rsidR="00C41C88">
      <w:rPr>
        <w:rStyle w:val="afc"/>
      </w:rPr>
      <w:fldChar w:fldCharType="separate"/>
    </w:r>
    <w:r w:rsidR="00C41C88">
      <w:rPr>
        <w:rStyle w:val="afc"/>
        <w:noProof/>
      </w:rPr>
      <w:t>1</w:t>
    </w:r>
    <w:r>
      <w:rPr>
        <w:rStyle w:val="afc"/>
      </w:rPr>
      <w:fldChar w:fldCharType="end"/>
    </w:r>
  </w:p>
  <w:p w14:paraId="067CB2FC" w14:textId="77777777" w:rsidR="003100F5" w:rsidRDefault="003100F5">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9AFC" w14:textId="77777777" w:rsidR="003100F5" w:rsidRDefault="00000000">
    <w:pPr>
      <w:pStyle w:val="ab"/>
      <w:jc w:val="center"/>
    </w:pPr>
    <w:r>
      <w:fldChar w:fldCharType="begin"/>
    </w:r>
    <w:r>
      <w:instrText>PAGE \* MERGEFORMAT</w:instrText>
    </w:r>
    <w:r>
      <w:fldChar w:fldCharType="separate"/>
    </w:r>
    <w:r>
      <w:rPr>
        <w:sz w:val="28"/>
        <w:szCs w:val="28"/>
      </w:rPr>
      <w:t>1</w:t>
    </w:r>
    <w:r>
      <w:rPr>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F5"/>
    <w:rsid w:val="003100F5"/>
    <w:rsid w:val="0059444E"/>
    <w:rsid w:val="00BB3CB8"/>
    <w:rsid w:val="00C41C88"/>
    <w:rsid w:val="00C90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3F4A"/>
  <w15:docId w15:val="{18950708-12AC-4356-AECC-F4AE89AA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paragraph" w:styleId="1">
    <w:name w:val="heading 1"/>
    <w:basedOn w:val="a"/>
    <w:next w:val="a"/>
    <w:link w:val="10"/>
    <w:qFormat/>
    <w:pPr>
      <w:keepNext/>
      <w:widowControl w:val="0"/>
      <w:spacing w:line="259" w:lineRule="auto"/>
      <w:jc w:val="center"/>
      <w:outlineLvl w:val="0"/>
    </w:pPr>
    <w:rPr>
      <w:b/>
      <w:spacing w:val="60"/>
      <w:sz w:val="48"/>
    </w:rPr>
  </w:style>
  <w:style w:type="paragraph" w:styleId="2">
    <w:name w:val="heading 2"/>
    <w:basedOn w:val="a"/>
    <w:next w:val="a"/>
    <w:link w:val="20"/>
    <w:uiPriority w:val="9"/>
    <w:unhideWhenUsed/>
    <w:qFormat/>
    <w:pPr>
      <w:keepNext/>
      <w:keepLines/>
      <w:spacing w:before="360" w:after="200"/>
      <w:outlineLvl w:val="1"/>
    </w:pPr>
    <w:rPr>
      <w:rFonts w:ascii="Liberation Sans" w:eastAsia="Liberation Sans" w:hAnsi="Liberation Sans" w:cs="Liberation Sans"/>
      <w:sz w:val="34"/>
    </w:rPr>
  </w:style>
  <w:style w:type="paragraph" w:styleId="3">
    <w:name w:val="heading 3"/>
    <w:basedOn w:val="a"/>
    <w:next w:val="a"/>
    <w:link w:val="30"/>
    <w:qFormat/>
    <w:pPr>
      <w:keepNext/>
      <w:outlineLvl w:val="2"/>
    </w:pPr>
    <w:rPr>
      <w:sz w:val="32"/>
    </w:rPr>
  </w:style>
  <w:style w:type="paragraph" w:styleId="4">
    <w:name w:val="heading 4"/>
    <w:basedOn w:val="a"/>
    <w:next w:val="a"/>
    <w:link w:val="40"/>
    <w:uiPriority w:val="9"/>
    <w:unhideWhenUsed/>
    <w:qFormat/>
    <w:pPr>
      <w:keepNext/>
      <w:keepLines/>
      <w:spacing w:before="320" w:after="200"/>
      <w:outlineLvl w:val="3"/>
    </w:pPr>
    <w:rPr>
      <w:rFonts w:ascii="Liberation Sans" w:eastAsia="Liberation Sans" w:hAnsi="Liberation Sans" w:cs="Liberation Sans"/>
      <w:b/>
      <w:bCs/>
      <w:sz w:val="26"/>
      <w:szCs w:val="26"/>
    </w:rPr>
  </w:style>
  <w:style w:type="paragraph" w:styleId="5">
    <w:name w:val="heading 5"/>
    <w:basedOn w:val="a"/>
    <w:next w:val="a"/>
    <w:link w:val="50"/>
    <w:uiPriority w:val="9"/>
    <w:unhideWhenUsed/>
    <w:qFormat/>
    <w:pPr>
      <w:keepNext/>
      <w:keepLines/>
      <w:spacing w:before="320" w:after="200"/>
      <w:outlineLvl w:val="4"/>
    </w:pPr>
    <w:rPr>
      <w:rFonts w:ascii="Liberation Sans" w:eastAsia="Liberation Sans" w:hAnsi="Liberation Sans" w:cs="Liberation Sans"/>
      <w:b/>
      <w:bCs/>
      <w:sz w:val="24"/>
      <w:szCs w:val="24"/>
    </w:rPr>
  </w:style>
  <w:style w:type="paragraph" w:styleId="6">
    <w:name w:val="heading 6"/>
    <w:basedOn w:val="a"/>
    <w:next w:val="a"/>
    <w:link w:val="60"/>
    <w:uiPriority w:val="9"/>
    <w:unhideWhenUsed/>
    <w:qFormat/>
    <w:pPr>
      <w:keepNext/>
      <w:keepLines/>
      <w:spacing w:before="320" w:after="200"/>
      <w:outlineLvl w:val="5"/>
    </w:pPr>
    <w:rPr>
      <w:rFonts w:ascii="Liberation Sans" w:eastAsia="Liberation Sans" w:hAnsi="Liberation Sans" w:cs="Liberation Sans"/>
      <w:b/>
      <w:bCs/>
      <w:sz w:val="22"/>
      <w:szCs w:val="22"/>
    </w:rPr>
  </w:style>
  <w:style w:type="paragraph" w:styleId="7">
    <w:name w:val="heading 7"/>
    <w:basedOn w:val="a"/>
    <w:next w:val="a"/>
    <w:link w:val="70"/>
    <w:uiPriority w:val="9"/>
    <w:unhideWhenUsed/>
    <w:qFormat/>
    <w:pPr>
      <w:keepNext/>
      <w:keepLines/>
      <w:spacing w:before="320" w:after="200"/>
      <w:outlineLvl w:val="6"/>
    </w:pPr>
    <w:rPr>
      <w:rFonts w:ascii="Liberation Sans" w:eastAsia="Liberation Sans" w:hAnsi="Liberation Sans" w:cs="Liberation Sans"/>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Liberation Sans" w:eastAsia="Liberation Sans" w:hAnsi="Liberation Sans" w:cs="Liberation Sans"/>
      <w:i/>
      <w:iCs/>
      <w:sz w:val="22"/>
      <w:szCs w:val="22"/>
    </w:rPr>
  </w:style>
  <w:style w:type="paragraph" w:styleId="9">
    <w:name w:val="heading 9"/>
    <w:basedOn w:val="a"/>
    <w:next w:val="a"/>
    <w:link w:val="90"/>
    <w:uiPriority w:val="9"/>
    <w:unhideWhenUsed/>
    <w:qFormat/>
    <w:pPr>
      <w:keepNext/>
      <w:keepLines/>
      <w:spacing w:before="320" w:after="200"/>
      <w:outlineLvl w:val="8"/>
    </w:pPr>
    <w:rPr>
      <w:rFonts w:ascii="Liberation Sans" w:eastAsia="Liberation Sans" w:hAnsi="Liberation Sans" w:cs="Liberation Sans"/>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Liberation Sans" w:eastAsia="Liberation Sans" w:hAnsi="Liberation Sans" w:cs="Liberation Sans"/>
      <w:sz w:val="40"/>
      <w:szCs w:val="40"/>
    </w:rPr>
  </w:style>
  <w:style w:type="character" w:customStyle="1" w:styleId="20">
    <w:name w:val="Заголовок 2 Знак"/>
    <w:link w:val="2"/>
    <w:uiPriority w:val="9"/>
    <w:rPr>
      <w:rFonts w:ascii="Liberation Sans" w:eastAsia="Liberation Sans" w:hAnsi="Liberation Sans" w:cs="Liberation Sans"/>
      <w:sz w:val="34"/>
    </w:rPr>
  </w:style>
  <w:style w:type="character" w:customStyle="1" w:styleId="30">
    <w:name w:val="Заголовок 3 Знак"/>
    <w:link w:val="3"/>
    <w:uiPriority w:val="9"/>
    <w:rPr>
      <w:rFonts w:ascii="Liberation Sans" w:eastAsia="Liberation Sans" w:hAnsi="Liberation Sans" w:cs="Liberation Sans"/>
      <w:sz w:val="30"/>
      <w:szCs w:val="30"/>
    </w:rPr>
  </w:style>
  <w:style w:type="character" w:customStyle="1" w:styleId="40">
    <w:name w:val="Заголовок 4 Знак"/>
    <w:link w:val="4"/>
    <w:uiPriority w:val="9"/>
    <w:rPr>
      <w:rFonts w:ascii="Liberation Sans" w:eastAsia="Liberation Sans" w:hAnsi="Liberation Sans" w:cs="Liberation Sans"/>
      <w:b/>
      <w:bCs/>
      <w:sz w:val="26"/>
      <w:szCs w:val="26"/>
    </w:rPr>
  </w:style>
  <w:style w:type="character" w:customStyle="1" w:styleId="50">
    <w:name w:val="Заголовок 5 Знак"/>
    <w:link w:val="5"/>
    <w:uiPriority w:val="9"/>
    <w:rPr>
      <w:rFonts w:ascii="Liberation Sans" w:eastAsia="Liberation Sans" w:hAnsi="Liberation Sans" w:cs="Liberation Sans"/>
      <w:b/>
      <w:bCs/>
      <w:sz w:val="24"/>
      <w:szCs w:val="24"/>
    </w:rPr>
  </w:style>
  <w:style w:type="character" w:customStyle="1" w:styleId="60">
    <w:name w:val="Заголовок 6 Знак"/>
    <w:link w:val="6"/>
    <w:uiPriority w:val="9"/>
    <w:rPr>
      <w:rFonts w:ascii="Liberation Sans" w:eastAsia="Liberation Sans" w:hAnsi="Liberation Sans" w:cs="Liberation Sans"/>
      <w:b/>
      <w:bCs/>
      <w:sz w:val="22"/>
      <w:szCs w:val="22"/>
    </w:rPr>
  </w:style>
  <w:style w:type="character" w:customStyle="1" w:styleId="70">
    <w:name w:val="Заголовок 7 Знак"/>
    <w:link w:val="7"/>
    <w:uiPriority w:val="9"/>
    <w:rPr>
      <w:rFonts w:ascii="Liberation Sans" w:eastAsia="Liberation Sans" w:hAnsi="Liberation Sans" w:cs="Liberation Sans"/>
      <w:b/>
      <w:bCs/>
      <w:i/>
      <w:iCs/>
      <w:sz w:val="22"/>
      <w:szCs w:val="22"/>
    </w:rPr>
  </w:style>
  <w:style w:type="character" w:customStyle="1" w:styleId="80">
    <w:name w:val="Заголовок 8 Знак"/>
    <w:link w:val="8"/>
    <w:uiPriority w:val="9"/>
    <w:rPr>
      <w:rFonts w:ascii="Liberation Sans" w:eastAsia="Liberation Sans" w:hAnsi="Liberation Sans" w:cs="Liberation Sans"/>
      <w:i/>
      <w:iCs/>
      <w:sz w:val="22"/>
      <w:szCs w:val="22"/>
    </w:rPr>
  </w:style>
  <w:style w:type="character" w:customStyle="1" w:styleId="90">
    <w:name w:val="Заголовок 9 Знак"/>
    <w:link w:val="9"/>
    <w:uiPriority w:val="9"/>
    <w:rPr>
      <w:rFonts w:ascii="Liberation Sans" w:eastAsia="Liberation Sans" w:hAnsi="Liberation Sans" w:cs="Liberation Sans"/>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pPr>
      <w:tabs>
        <w:tab w:val="center" w:pos="4677"/>
        <w:tab w:val="right" w:pos="9355"/>
      </w:tabs>
    </w:pPr>
  </w:style>
  <w:style w:type="character" w:customStyle="1" w:styleId="ac">
    <w:name w:val="Верхний колонтитул Знак"/>
    <w:link w:val="ab"/>
    <w:uiPriority w:val="99"/>
  </w:style>
  <w:style w:type="paragraph" w:styleId="ad">
    <w:name w:val="footer"/>
    <w:basedOn w:val="a"/>
    <w:link w:val="ae"/>
    <w:pPr>
      <w:tabs>
        <w:tab w:val="center" w:pos="4677"/>
        <w:tab w:val="right" w:pos="9355"/>
      </w:tabs>
    </w:pPr>
  </w:style>
  <w:style w:type="character" w:customStyle="1" w:styleId="ae">
    <w:name w:val="Нижний колонтитул Знак"/>
    <w:link w:val="ad"/>
    <w:uiPriority w:val="99"/>
  </w:style>
  <w:style w:type="paragraph" w:styleId="af">
    <w:name w:val="caption"/>
    <w:basedOn w:val="a"/>
    <w:next w:val="a"/>
    <w:link w:val="af0"/>
    <w:uiPriority w:val="35"/>
    <w:semiHidden/>
    <w:unhideWhenUsed/>
    <w:qFormat/>
    <w:pPr>
      <w:spacing w:line="276" w:lineRule="auto"/>
    </w:pPr>
    <w:rPr>
      <w:b/>
      <w:bCs/>
      <w:color w:val="4F81BD" w:themeColor="accent1"/>
      <w:sz w:val="18"/>
      <w:szCs w:val="18"/>
    </w:rPr>
  </w:style>
  <w:style w:type="character" w:customStyle="1" w:styleId="af0">
    <w:name w:val="Название объекта Знак"/>
    <w:link w:val="af"/>
    <w:uiPriority w:val="35"/>
    <w:rPr>
      <w:b/>
      <w:bCs/>
      <w:color w:val="4F81BD" w:themeColor="accent1"/>
      <w:sz w:val="18"/>
      <w:szCs w:val="18"/>
    </w:rPr>
  </w:style>
  <w:style w:type="table" w:styleId="af1">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1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5F1" w:themeColor="accent1" w:themeTint="34" w:fill="DAE5F1" w:themeFill="accent1" w:themeFillTint="34"/>
      </w:tcPr>
    </w:tblStylePr>
    <w:tblStylePr w:type="band1Horz">
      <w:rPr>
        <w:rFonts w:ascii="Liberation Sans" w:hAnsi="Liberation Sans"/>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styleId="-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AE5F1" w:themeColor="accent1" w:themeTint="34" w:fill="DAE5F1" w:themeFill="accent1" w:themeFillTint="34"/>
      </w:tcPr>
    </w:tblStylePr>
    <w:tblStylePr w:type="band1Horz">
      <w:rPr>
        <w:rFonts w:ascii="Liberation Sans" w:hAnsi="Liberation Sans"/>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styleId="-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Liberation Sans" w:hAnsi="Liberation Sans"/>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CE6F2" w:themeColor="accent1" w:themeTint="32" w:fill="DCE6F2" w:themeFill="accent1" w:themeFillTint="32"/>
      </w:tcPr>
    </w:tblStylePr>
    <w:tblStylePr w:type="band1Horz">
      <w:rPr>
        <w:rFonts w:ascii="Liberation Sans" w:hAnsi="Liberation Sans"/>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Liberation Sans" w:hAnsi="Liberation Sans"/>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Liberation Sans" w:hAnsi="Liberation Sans"/>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Liberation Sans" w:hAnsi="Liberation Sans"/>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Liberation Sans" w:hAnsi="Liberation Sans"/>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Liberation Sans" w:hAnsi="Liberation Sans"/>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Pr/>
      <w:tcPr>
        <w:shd w:val="clear" w:color="FDE9D8" w:themeColor="accent6" w:themeTint="34" w:fill="FDE9D8" w:themeFill="accent6" w:themeFillTint="34"/>
      </w:tcPr>
    </w:tblStylePr>
  </w:style>
  <w:style w:type="table" w:styleId="-5">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Liberation Sans" w:hAnsi="Liberation Sans"/>
        <w:b/>
        <w:color w:val="FFFFFF"/>
        <w:sz w:val="22"/>
      </w:rPr>
      <w:tblPr/>
      <w:tcPr>
        <w:shd w:val="clear" w:color="4F81BD" w:themeColor="accent1" w:fill="4F81BD" w:themeFill="accent1"/>
      </w:tcPr>
    </w:tblStylePr>
    <w:tblStylePr w:type="lastRow">
      <w:rPr>
        <w:rFonts w:ascii="Liberation Sans" w:hAnsi="Liberation Sans"/>
        <w:b/>
        <w:color w:val="FFFFFF"/>
        <w:sz w:val="22"/>
      </w:rPr>
      <w:tblPr/>
      <w:tcPr>
        <w:tcBorders>
          <w:top w:val="single" w:sz="4" w:space="0" w:color="FFFFFF" w:themeColor="light1"/>
        </w:tcBorders>
        <w:shd w:val="clear" w:color="4F81BD" w:themeColor="accent1" w:fill="4F81BD" w:themeFill="accent1"/>
      </w:tcPr>
    </w:tblStylePr>
    <w:tblStylePr w:type="firstCol">
      <w:rPr>
        <w:rFonts w:ascii="Liberation Sans" w:hAnsi="Liberation Sans"/>
        <w:b/>
        <w:color w:val="FFFFFF"/>
        <w:sz w:val="22"/>
      </w:rPr>
      <w:tblPr/>
      <w:tcPr>
        <w:shd w:val="clear" w:color="4F81BD" w:themeColor="accent1" w:fill="4F81BD" w:themeFill="accent1"/>
      </w:tcPr>
    </w:tblStylePr>
    <w:tblStylePr w:type="lastCol">
      <w:rPr>
        <w:rFonts w:ascii="Liberation Sans" w:hAnsi="Liberation Sans"/>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Liberation Sans" w:hAnsi="Liberation Sans"/>
        <w:b/>
        <w:color w:val="FFFFFF"/>
        <w:sz w:val="22"/>
      </w:rPr>
      <w:tblPr/>
      <w:tcPr>
        <w:shd w:val="clear" w:color="C0504D" w:themeColor="accent2" w:fill="C0504D" w:themeFill="accent2"/>
      </w:tcPr>
    </w:tblStylePr>
    <w:tblStylePr w:type="lastRow">
      <w:rPr>
        <w:rFonts w:ascii="Liberation Sans" w:hAnsi="Liberation Sans"/>
        <w:b/>
        <w:color w:val="FFFFFF"/>
        <w:sz w:val="22"/>
      </w:rPr>
      <w:tblPr/>
      <w:tcPr>
        <w:tcBorders>
          <w:top w:val="single" w:sz="4" w:space="0" w:color="FFFFFF" w:themeColor="light1"/>
        </w:tcBorders>
        <w:shd w:val="clear" w:color="C0504D" w:themeColor="accent2" w:fill="C0504D" w:themeFill="accent2"/>
      </w:tcPr>
    </w:tblStylePr>
    <w:tblStylePr w:type="firstCol">
      <w:rPr>
        <w:rFonts w:ascii="Liberation Sans" w:hAnsi="Liberation Sans"/>
        <w:b/>
        <w:color w:val="FFFFFF"/>
        <w:sz w:val="22"/>
      </w:rPr>
      <w:tblPr/>
      <w:tcPr>
        <w:shd w:val="clear" w:color="C0504D" w:themeColor="accent2" w:fill="C0504D" w:themeFill="accent2"/>
      </w:tcPr>
    </w:tblStylePr>
    <w:tblStylePr w:type="lastCol">
      <w:rPr>
        <w:rFonts w:ascii="Liberation Sans" w:hAnsi="Liberation Sans"/>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Liberation Sans" w:hAnsi="Liberation Sans"/>
        <w:b/>
        <w:color w:val="FFFFFF"/>
        <w:sz w:val="22"/>
      </w:rPr>
      <w:tblPr/>
      <w:tcPr>
        <w:shd w:val="clear" w:color="9BBB59" w:themeColor="accent3" w:fill="9BBB59" w:themeFill="accent3"/>
      </w:tcPr>
    </w:tblStylePr>
    <w:tblStylePr w:type="lastRow">
      <w:rPr>
        <w:rFonts w:ascii="Liberation Sans" w:hAnsi="Liberation Sans"/>
        <w:b/>
        <w:color w:val="FFFFFF"/>
        <w:sz w:val="22"/>
      </w:rPr>
      <w:tblPr/>
      <w:tcPr>
        <w:tcBorders>
          <w:top w:val="single" w:sz="4" w:space="0" w:color="FFFFFF" w:themeColor="light1"/>
        </w:tcBorders>
        <w:shd w:val="clear" w:color="9BBB59" w:themeColor="accent3" w:fill="9BBB59" w:themeFill="accent3"/>
      </w:tcPr>
    </w:tblStylePr>
    <w:tblStylePr w:type="firstCol">
      <w:rPr>
        <w:rFonts w:ascii="Liberation Sans" w:hAnsi="Liberation Sans"/>
        <w:b/>
        <w:color w:val="FFFFFF"/>
        <w:sz w:val="22"/>
      </w:rPr>
      <w:tblPr/>
      <w:tcPr>
        <w:shd w:val="clear" w:color="9BBB59" w:themeColor="accent3" w:fill="9BBB59" w:themeFill="accent3"/>
      </w:tcPr>
    </w:tblStylePr>
    <w:tblStylePr w:type="lastCol">
      <w:rPr>
        <w:rFonts w:ascii="Liberation Sans" w:hAnsi="Liberation Sans"/>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Liberation Sans" w:hAnsi="Liberation Sans"/>
        <w:b/>
        <w:color w:val="FFFFFF"/>
        <w:sz w:val="22"/>
      </w:rPr>
      <w:tblPr/>
      <w:tcPr>
        <w:shd w:val="clear" w:color="8064A2" w:themeColor="accent4" w:fill="8064A2" w:themeFill="accent4"/>
      </w:tcPr>
    </w:tblStylePr>
    <w:tblStylePr w:type="lastRow">
      <w:rPr>
        <w:rFonts w:ascii="Liberation Sans" w:hAnsi="Liberation Sans"/>
        <w:b/>
        <w:color w:val="FFFFFF"/>
        <w:sz w:val="22"/>
      </w:rPr>
      <w:tblPr/>
      <w:tcPr>
        <w:tcBorders>
          <w:top w:val="single" w:sz="4" w:space="0" w:color="FFFFFF" w:themeColor="light1"/>
        </w:tcBorders>
        <w:shd w:val="clear" w:color="8064A2" w:themeColor="accent4" w:fill="8064A2" w:themeFill="accent4"/>
      </w:tcPr>
    </w:tblStylePr>
    <w:tblStylePr w:type="firstCol">
      <w:rPr>
        <w:rFonts w:ascii="Liberation Sans" w:hAnsi="Liberation Sans"/>
        <w:b/>
        <w:color w:val="FFFFFF"/>
        <w:sz w:val="22"/>
      </w:rPr>
      <w:tblPr/>
      <w:tcPr>
        <w:shd w:val="clear" w:color="8064A2" w:themeColor="accent4" w:fill="8064A2" w:themeFill="accent4"/>
      </w:tcPr>
    </w:tblStylePr>
    <w:tblStylePr w:type="lastCol">
      <w:rPr>
        <w:rFonts w:ascii="Liberation Sans" w:hAnsi="Liberation Sans"/>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Liberation Sans" w:hAnsi="Liberation Sans"/>
        <w:b/>
        <w:color w:val="FFFFFF"/>
        <w:sz w:val="22"/>
      </w:rPr>
      <w:tblPr/>
      <w:tcPr>
        <w:shd w:val="clear" w:color="4BACC6" w:themeColor="accent5" w:fill="4BACC6" w:themeFill="accent5"/>
      </w:tcPr>
    </w:tblStylePr>
    <w:tblStylePr w:type="lastRow">
      <w:rPr>
        <w:rFonts w:ascii="Liberation Sans" w:hAnsi="Liberation Sans"/>
        <w:b/>
        <w:color w:val="FFFFFF"/>
        <w:sz w:val="22"/>
      </w:rPr>
      <w:tblPr/>
      <w:tcPr>
        <w:tcBorders>
          <w:top w:val="single" w:sz="4" w:space="0" w:color="FFFFFF" w:themeColor="light1"/>
        </w:tcBorders>
        <w:shd w:val="clear" w:color="4BACC6" w:themeColor="accent5" w:fill="4BACC6" w:themeFill="accent5"/>
      </w:tcPr>
    </w:tblStylePr>
    <w:tblStylePr w:type="firstCol">
      <w:rPr>
        <w:rFonts w:ascii="Liberation Sans" w:hAnsi="Liberation Sans"/>
        <w:b/>
        <w:color w:val="FFFFFF"/>
        <w:sz w:val="22"/>
      </w:rPr>
      <w:tblPr/>
      <w:tcPr>
        <w:shd w:val="clear" w:color="4BACC6" w:themeColor="accent5" w:fill="4BACC6" w:themeFill="accent5"/>
      </w:tcPr>
    </w:tblStylePr>
    <w:tblStylePr w:type="lastCol">
      <w:rPr>
        <w:rFonts w:ascii="Liberation Sans" w:hAnsi="Liberation Sans"/>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Liberation Sans" w:hAnsi="Liberation Sans"/>
        <w:b/>
        <w:color w:val="FFFFFF"/>
        <w:sz w:val="22"/>
      </w:rPr>
      <w:tblPr/>
      <w:tcPr>
        <w:shd w:val="clear" w:color="F79646" w:themeColor="accent6" w:fill="F79646" w:themeFill="accent6"/>
      </w:tcPr>
    </w:tblStylePr>
    <w:tblStylePr w:type="lastRow">
      <w:rPr>
        <w:rFonts w:ascii="Liberation Sans" w:hAnsi="Liberation Sans"/>
        <w:b/>
        <w:color w:val="FFFFFF"/>
        <w:sz w:val="22"/>
      </w:rPr>
      <w:tblPr/>
      <w:tcPr>
        <w:tcBorders>
          <w:top w:val="single" w:sz="4" w:space="0" w:color="FFFFFF" w:themeColor="light1"/>
        </w:tcBorders>
        <w:shd w:val="clear" w:color="F79646" w:themeColor="accent6" w:fill="F79646" w:themeFill="accent6"/>
      </w:tcPr>
    </w:tblStylePr>
    <w:tblStylePr w:type="firstCol">
      <w:rPr>
        <w:rFonts w:ascii="Liberation Sans" w:hAnsi="Liberation Sans"/>
        <w:b/>
        <w:color w:val="FFFFFF"/>
        <w:sz w:val="22"/>
      </w:rPr>
      <w:tblPr/>
      <w:tcPr>
        <w:shd w:val="clear" w:color="F79646" w:themeColor="accent6" w:fill="F79646" w:themeFill="accent6"/>
      </w:tcPr>
    </w:tblStylePr>
    <w:tblStylePr w:type="lastCol">
      <w:rPr>
        <w:rFonts w:ascii="Liberation Sans" w:hAnsi="Liberation Sans"/>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Liberation Sans" w:hAnsi="Liberation Sans"/>
        <w:color w:val="A6BFDD" w:themeColor="accent1" w:themeTint="80" w:themeShade="95"/>
        <w:sz w:val="22"/>
      </w:rPr>
      <w:tblPr/>
      <w:tcPr>
        <w:shd w:val="clear" w:color="DAE5F1" w:themeColor="accent1" w:themeTint="34" w:fill="DAE5F1" w:themeFill="accent1" w:themeFillTint="34"/>
      </w:tcPr>
    </w:tblStylePr>
    <w:tblStylePr w:type="band2Horz">
      <w:rPr>
        <w:rFonts w:ascii="Liberation Sans" w:hAnsi="Liberation Sans"/>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Liberation Sans" w:hAnsi="Liberation Sans"/>
        <w:color w:val="D99695" w:themeColor="accent2" w:themeTint="97" w:themeShade="95"/>
        <w:sz w:val="22"/>
      </w:rPr>
      <w:tblPr/>
      <w:tcPr>
        <w:shd w:val="clear" w:color="F2DCDC" w:themeColor="accent2" w:themeTint="32" w:fill="F2DCDC" w:themeFill="accent2" w:themeFillTint="32"/>
      </w:tcPr>
    </w:tblStylePr>
    <w:tblStylePr w:type="band2Horz">
      <w:rPr>
        <w:rFonts w:ascii="Liberation Sans" w:hAnsi="Liberation Sans"/>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Liberation Sans" w:hAnsi="Liberation Sans"/>
        <w:color w:val="9ABB59" w:themeColor="accent3" w:themeTint="FE" w:themeShade="95"/>
        <w:sz w:val="22"/>
      </w:rPr>
      <w:tblPr/>
      <w:tcPr>
        <w:shd w:val="clear" w:color="EAF1DC" w:themeColor="accent3" w:themeTint="34" w:fill="EAF1DC" w:themeFill="accent3" w:themeFillTint="34"/>
      </w:tcPr>
    </w:tblStylePr>
    <w:tblStylePr w:type="band2Horz">
      <w:rPr>
        <w:rFonts w:ascii="Liberation Sans" w:hAnsi="Liberation Sans"/>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Liberation Sans" w:hAnsi="Liberation Sans"/>
        <w:color w:val="B2A1C6" w:themeColor="accent4" w:themeTint="9A" w:themeShade="95"/>
        <w:sz w:val="22"/>
      </w:rPr>
      <w:tblPr/>
      <w:tcPr>
        <w:shd w:val="clear" w:color="E5DFEC" w:themeColor="accent4" w:themeTint="34" w:fill="E5DFEC" w:themeFill="accent4" w:themeFillTint="34"/>
      </w:tcPr>
    </w:tblStylePr>
    <w:tblStylePr w:type="band2Horz">
      <w:rPr>
        <w:rFonts w:ascii="Liberation Sans" w:hAnsi="Liberation Sans"/>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Liberation Sans" w:hAnsi="Liberation Sans"/>
        <w:color w:val="266779" w:themeColor="accent5" w:themeShade="95"/>
        <w:sz w:val="22"/>
      </w:rPr>
      <w:tblPr/>
      <w:tcPr>
        <w:shd w:val="clear" w:color="DAEEF3" w:themeColor="accent5" w:themeTint="34" w:fill="DAEEF3" w:themeFill="accent5" w:themeFillTint="34"/>
      </w:tcPr>
    </w:tblStylePr>
    <w:tblStylePr w:type="band2Horz">
      <w:rPr>
        <w:rFonts w:ascii="Liberation Sans" w:hAnsi="Liberation Sans"/>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Liberation Sans" w:hAnsi="Liberation Sans"/>
        <w:color w:val="266779" w:themeColor="accent5" w:themeShade="95"/>
        <w:sz w:val="22"/>
      </w:rPr>
      <w:tblPr/>
      <w:tcPr>
        <w:shd w:val="clear" w:color="FDE9D8" w:themeColor="accent6" w:themeTint="34" w:fill="FDE9D8" w:themeFill="accent6" w:themeFillTint="34"/>
      </w:tcPr>
    </w:tblStylePr>
    <w:tblStylePr w:type="band2Horz">
      <w:rPr>
        <w:rFonts w:ascii="Liberation Sans" w:hAnsi="Liberation Sans"/>
        <w:color w:val="266779" w:themeColor="accent5" w:themeShade="95"/>
        <w:sz w:val="22"/>
      </w:rPr>
    </w:tblStylePr>
  </w:style>
  <w:style w:type="table" w:styleId="-7">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Liberation Sans" w:hAnsi="Liberation Sans"/>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Liberation Sans" w:hAnsi="Liberation Sans"/>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Liberation Sans" w:hAnsi="Liberation Sans"/>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Liberation Sans" w:hAnsi="Liberation Sans"/>
        <w:color w:val="A6BFDD" w:themeColor="accent1" w:themeTint="80" w:themeShade="95"/>
        <w:sz w:val="22"/>
      </w:rPr>
      <w:tblPr/>
      <w:tcPr>
        <w:shd w:val="clear" w:color="DAE5F1" w:themeColor="accent1" w:themeTint="34" w:fill="DAE5F1" w:themeFill="accent1" w:themeFillTint="34"/>
      </w:tcPr>
    </w:tblStylePr>
    <w:tblStylePr w:type="band2Horz">
      <w:rPr>
        <w:rFonts w:ascii="Liberation Sans" w:hAnsi="Liberation Sans"/>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Liberation Sans" w:hAnsi="Liberation Sans"/>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Liberation Sans" w:hAnsi="Liberation Sans"/>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Liberation Sans" w:hAnsi="Liberation Sans"/>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Liberation Sans" w:hAnsi="Liberation Sans"/>
        <w:color w:val="D99695" w:themeColor="accent2" w:themeTint="97" w:themeShade="95"/>
        <w:sz w:val="22"/>
      </w:rPr>
      <w:tblPr/>
      <w:tcPr>
        <w:shd w:val="clear" w:color="F2DCDC" w:themeColor="accent2" w:themeTint="32" w:fill="F2DCDC" w:themeFill="accent2" w:themeFillTint="32"/>
      </w:tcPr>
    </w:tblStylePr>
    <w:tblStylePr w:type="band2Horz">
      <w:rPr>
        <w:rFonts w:ascii="Liberation Sans" w:hAnsi="Liberation Sans"/>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Liberation Sans" w:hAnsi="Liberation Sans"/>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Liberation Sans" w:hAnsi="Liberation Sans"/>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Liberation Sans" w:hAnsi="Liberation Sans"/>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Liberation Sans" w:hAnsi="Liberation Sans"/>
        <w:color w:val="9ABB59" w:themeColor="accent3" w:themeTint="FE" w:themeShade="95"/>
        <w:sz w:val="22"/>
      </w:rPr>
      <w:tblPr/>
      <w:tcPr>
        <w:shd w:val="clear" w:color="EAF1DC" w:themeColor="accent3" w:themeTint="34" w:fill="EAF1DC" w:themeFill="accent3" w:themeFillTint="34"/>
      </w:tcPr>
    </w:tblStylePr>
    <w:tblStylePr w:type="band2Horz">
      <w:rPr>
        <w:rFonts w:ascii="Liberation Sans" w:hAnsi="Liberation Sans"/>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Liberation Sans" w:hAnsi="Liberation Sans"/>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Liberation Sans" w:hAnsi="Liberation Sans"/>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Liberation Sans" w:hAnsi="Liberation Sans"/>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Liberation Sans" w:hAnsi="Liberation Sans"/>
        <w:color w:val="B2A1C6" w:themeColor="accent4" w:themeTint="9A" w:themeShade="95"/>
        <w:sz w:val="22"/>
      </w:rPr>
      <w:tblPr/>
      <w:tcPr>
        <w:shd w:val="clear" w:color="E5DFEC" w:themeColor="accent4" w:themeTint="34" w:fill="E5DFEC" w:themeFill="accent4" w:themeFillTint="34"/>
      </w:tcPr>
    </w:tblStylePr>
    <w:tblStylePr w:type="band2Horz">
      <w:rPr>
        <w:rFonts w:ascii="Liberation Sans" w:hAnsi="Liberation Sans"/>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Liberation Sans" w:hAnsi="Liberation Sans"/>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Liberation Sans" w:hAnsi="Liberation Sans"/>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Liberation Sans" w:hAnsi="Liberation Sans"/>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Liberation Sans" w:hAnsi="Liberation Sans"/>
        <w:color w:val="266779" w:themeColor="accent5" w:themeShade="95"/>
        <w:sz w:val="22"/>
      </w:rPr>
      <w:tblPr/>
      <w:tcPr>
        <w:shd w:val="clear" w:color="DAEEF3" w:themeColor="accent5" w:themeTint="34" w:fill="DAEEF3" w:themeFill="accent5" w:themeFillTint="34"/>
      </w:tcPr>
    </w:tblStylePr>
    <w:tblStylePr w:type="band2Horz">
      <w:rPr>
        <w:rFonts w:ascii="Liberation Sans" w:hAnsi="Liberation Sans"/>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Liberation Sans" w:hAnsi="Liberation Sans"/>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Liberation Sans" w:hAnsi="Liberation Sans"/>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Liberation Sans" w:hAnsi="Liberation Sans"/>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Liberation Sans" w:hAnsi="Liberation Sans"/>
        <w:color w:val="B15407" w:themeColor="accent6" w:themeShade="95"/>
        <w:sz w:val="22"/>
      </w:rPr>
      <w:tblPr/>
      <w:tcPr>
        <w:shd w:val="clear" w:color="FDE9D8" w:themeColor="accent6" w:themeTint="34" w:fill="FDE9D8" w:themeFill="accent6" w:themeFillTint="34"/>
      </w:tcPr>
    </w:tblStylePr>
    <w:tblStylePr w:type="band2Horz">
      <w:rPr>
        <w:rFonts w:ascii="Liberation Sans" w:hAnsi="Liberation Sans"/>
        <w:color w:val="B15407" w:themeColor="accent6" w:themeShade="95"/>
        <w:sz w:val="22"/>
      </w:rPr>
    </w:tblStylePr>
  </w:style>
  <w:style w:type="table" w:styleId="-10">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Liberation Sans" w:hAnsi="Liberation Sans"/>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2DFEE" w:themeColor="accent1" w:themeTint="40" w:fill="D2DFEE" w:themeFill="accent1" w:themeFillTint="40"/>
      </w:tcPr>
    </w:tblStylePr>
    <w:tblStylePr w:type="band1Horz">
      <w:rPr>
        <w:rFonts w:ascii="Liberation Sans" w:hAnsi="Liberation Sans"/>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Liberation Sans" w:hAnsi="Liberation Sans"/>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FD2D2" w:themeColor="accent2" w:themeTint="40" w:fill="EFD2D2" w:themeFill="accent2" w:themeFillTint="40"/>
      </w:tcPr>
    </w:tblStylePr>
    <w:tblStylePr w:type="band1Horz">
      <w:rPr>
        <w:rFonts w:ascii="Liberation Sans" w:hAnsi="Liberation Sans"/>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Liberation Sans" w:hAnsi="Liberation Sans"/>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5EED5" w:themeColor="accent3" w:themeTint="40" w:fill="E5EED5" w:themeFill="accent3" w:themeFillTint="40"/>
      </w:tcPr>
    </w:tblStylePr>
    <w:tblStylePr w:type="band1Horz">
      <w:rPr>
        <w:rFonts w:ascii="Liberation Sans" w:hAnsi="Liberation Sans"/>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Liberation Sans" w:hAnsi="Liberation Sans"/>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FD8E7" w:themeColor="accent4" w:themeTint="40" w:fill="DFD8E7" w:themeFill="accent4" w:themeFillTint="40"/>
      </w:tcPr>
    </w:tblStylePr>
    <w:tblStylePr w:type="band1Horz">
      <w:rPr>
        <w:rFonts w:ascii="Liberation Sans" w:hAnsi="Liberation Sans"/>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Liberation Sans" w:hAnsi="Liberation Sans"/>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1EAF0" w:themeColor="accent5" w:themeTint="40" w:fill="D1EAF0" w:themeFill="accent5" w:themeFillTint="40"/>
      </w:tcPr>
    </w:tblStylePr>
    <w:tblStylePr w:type="band1Horz">
      <w:rPr>
        <w:rFonts w:ascii="Liberation Sans" w:hAnsi="Liberation Sans"/>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Liberation Sans" w:hAnsi="Liberation Sans"/>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DE4D0" w:themeColor="accent6" w:themeTint="40" w:fill="FDE4D0" w:themeFill="accent6" w:themeFillTint="40"/>
      </w:tcPr>
    </w:tblStylePr>
    <w:tblStylePr w:type="band1Horz">
      <w:rPr>
        <w:rFonts w:ascii="Liberation Sans" w:hAnsi="Liberation Sans"/>
        <w:color w:val="404040"/>
        <w:sz w:val="22"/>
      </w:rPr>
      <w:tblPr/>
      <w:tcPr>
        <w:shd w:val="clear" w:color="FDE4D0" w:themeColor="accent6" w:themeTint="40" w:fill="FDE4D0" w:themeFill="accent6" w:themeFillTint="40"/>
      </w:tcPr>
    </w:tblStylePr>
  </w:style>
  <w:style w:type="table" w:styleId="-30">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Liberation Sans" w:hAnsi="Liberation Sans"/>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4F81BD" w:themeColor="accent1"/>
          <w:right w:val="single" w:sz="4" w:space="0" w:color="4F81BD" w:themeColor="accent1"/>
        </w:tcBorders>
      </w:tcPr>
    </w:tblStylePr>
    <w:tblStylePr w:type="band1Horz">
      <w:rPr>
        <w:rFonts w:ascii="Liberation Sans" w:hAnsi="Liberation Sans"/>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Liberation Sans" w:hAnsi="Liberation Sans"/>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Liberation Sans" w:hAnsi="Liberation Sans"/>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Liberation Sans" w:hAnsi="Liberation Sans"/>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Liberation Sans" w:hAnsi="Liberation Sans"/>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Liberation Sans" w:hAnsi="Liberation Sans"/>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Liberation Sans" w:hAnsi="Liberation Sans"/>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Liberation Sans" w:hAnsi="Liberation Sans"/>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Liberation Sans" w:hAnsi="Liberation Sans"/>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Liberation Sans" w:hAnsi="Liberation Sans"/>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Liberation Sans" w:hAnsi="Liberation Sans"/>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Liberation Sans" w:hAnsi="Liberation Sans"/>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2DFEE" w:themeColor="accent1" w:themeTint="40" w:fill="D2DFEE" w:themeFill="accent1" w:themeFillTint="40"/>
      </w:tcPr>
    </w:tblStylePr>
    <w:tblStylePr w:type="band1Horz">
      <w:rPr>
        <w:rFonts w:ascii="Liberation Sans" w:hAnsi="Liberation Sans"/>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Liberation Sans" w:hAnsi="Liberation Sans"/>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FD2D2" w:themeColor="accent2" w:themeTint="40" w:fill="EFD2D2" w:themeFill="accent2" w:themeFillTint="40"/>
      </w:tcPr>
    </w:tblStylePr>
    <w:tblStylePr w:type="band1Horz">
      <w:rPr>
        <w:rFonts w:ascii="Liberation Sans" w:hAnsi="Liberation Sans"/>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Liberation Sans" w:hAnsi="Liberation Sans"/>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5EED5" w:themeColor="accent3" w:themeTint="40" w:fill="E5EED5" w:themeFill="accent3" w:themeFillTint="40"/>
      </w:tcPr>
    </w:tblStylePr>
    <w:tblStylePr w:type="band1Horz">
      <w:rPr>
        <w:rFonts w:ascii="Liberation Sans" w:hAnsi="Liberation Sans"/>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Liberation Sans" w:hAnsi="Liberation Sans"/>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FD8E7" w:themeColor="accent4" w:themeTint="40" w:fill="DFD8E7" w:themeFill="accent4" w:themeFillTint="40"/>
      </w:tcPr>
    </w:tblStylePr>
    <w:tblStylePr w:type="band1Horz">
      <w:rPr>
        <w:rFonts w:ascii="Liberation Sans" w:hAnsi="Liberation Sans"/>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Liberation Sans" w:hAnsi="Liberation Sans"/>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1EAF0" w:themeColor="accent5" w:themeTint="40" w:fill="D1EAF0" w:themeFill="accent5" w:themeFillTint="40"/>
      </w:tcPr>
    </w:tblStylePr>
    <w:tblStylePr w:type="band1Horz">
      <w:rPr>
        <w:rFonts w:ascii="Liberation Sans" w:hAnsi="Liberation Sans"/>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Liberation Sans" w:hAnsi="Liberation Sans"/>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DE4D0" w:themeColor="accent6" w:themeTint="40" w:fill="FDE4D0" w:themeFill="accent6" w:themeFillTint="40"/>
      </w:tcPr>
    </w:tblStylePr>
    <w:tblStylePr w:type="band1Horz">
      <w:rPr>
        <w:rFonts w:ascii="Liberation Sans" w:hAnsi="Liberation Sans"/>
        <w:color w:val="404040"/>
        <w:sz w:val="22"/>
      </w:rPr>
      <w:tblPr/>
      <w:tcPr>
        <w:shd w:val="clear" w:color="FDE4D0" w:themeColor="accent6" w:themeTint="40" w:fill="FDE4D0" w:themeFill="accent6" w:themeFillTint="40"/>
      </w:tcPr>
    </w:tblStylePr>
  </w:style>
  <w:style w:type="table" w:styleId="-50">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Liberation Sans" w:hAnsi="Liberation Sans"/>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Liberation Sans" w:hAnsi="Liberation Sans"/>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Liberation Sans" w:hAnsi="Liberation Sans"/>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Liberation Sans" w:hAnsi="Liberation Sans"/>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Liberation Sans" w:hAnsi="Liberation Sans"/>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Liberation Sans" w:hAnsi="Liberation Sans"/>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Liberation Sans" w:hAnsi="Liberation Sans"/>
        <w:color w:val="2A4A71" w:themeColor="accent1" w:themeShade="95"/>
        <w:sz w:val="22"/>
      </w:rPr>
      <w:tblPr/>
      <w:tcPr>
        <w:shd w:val="clear" w:color="D2DFEE" w:themeColor="accent1" w:themeTint="40" w:fill="D2DFEE" w:themeFill="accent1" w:themeFillTint="40"/>
      </w:tcPr>
    </w:tblStylePr>
    <w:tblStylePr w:type="band2Horz">
      <w:rPr>
        <w:rFonts w:ascii="Liberation Sans" w:hAnsi="Liberation Sans"/>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Liberation Sans" w:hAnsi="Liberation Sans"/>
        <w:color w:val="D99695" w:themeColor="accent2" w:themeTint="97" w:themeShade="95"/>
        <w:sz w:val="22"/>
      </w:rPr>
      <w:tblPr/>
      <w:tcPr>
        <w:shd w:val="clear" w:color="EFD2D2" w:themeColor="accent2" w:themeTint="40" w:fill="EFD2D2" w:themeFill="accent2" w:themeFillTint="40"/>
      </w:tcPr>
    </w:tblStylePr>
    <w:tblStylePr w:type="band2Horz">
      <w:rPr>
        <w:rFonts w:ascii="Liberation Sans" w:hAnsi="Liberation Sans"/>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Liberation Sans" w:hAnsi="Liberation Sans"/>
        <w:color w:val="C3D69B" w:themeColor="accent3" w:themeTint="98" w:themeShade="95"/>
        <w:sz w:val="22"/>
      </w:rPr>
      <w:tblPr/>
      <w:tcPr>
        <w:shd w:val="clear" w:color="E5EED5" w:themeColor="accent3" w:themeTint="40" w:fill="E5EED5" w:themeFill="accent3" w:themeFillTint="40"/>
      </w:tcPr>
    </w:tblStylePr>
    <w:tblStylePr w:type="band2Horz">
      <w:rPr>
        <w:rFonts w:ascii="Liberation Sans" w:hAnsi="Liberation Sans"/>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Liberation Sans" w:hAnsi="Liberation Sans"/>
        <w:color w:val="B2A1C6" w:themeColor="accent4" w:themeTint="9A" w:themeShade="95"/>
        <w:sz w:val="22"/>
      </w:rPr>
      <w:tblPr/>
      <w:tcPr>
        <w:shd w:val="clear" w:color="DFD8E7" w:themeColor="accent4" w:themeTint="40" w:fill="DFD8E7" w:themeFill="accent4" w:themeFillTint="40"/>
      </w:tcPr>
    </w:tblStylePr>
    <w:tblStylePr w:type="band2Horz">
      <w:rPr>
        <w:rFonts w:ascii="Liberation Sans" w:hAnsi="Liberation Sans"/>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Liberation Sans" w:hAnsi="Liberation Sans"/>
        <w:color w:val="92CCDC" w:themeColor="accent5" w:themeTint="9A" w:themeShade="95"/>
        <w:sz w:val="22"/>
      </w:rPr>
      <w:tblPr/>
      <w:tcPr>
        <w:shd w:val="clear" w:color="D1EAF0" w:themeColor="accent5" w:themeTint="40" w:fill="D1EAF0" w:themeFill="accent5" w:themeFillTint="40"/>
      </w:tcPr>
    </w:tblStylePr>
    <w:tblStylePr w:type="band2Horz">
      <w:rPr>
        <w:rFonts w:ascii="Liberation Sans" w:hAnsi="Liberation Sans"/>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Liberation Sans" w:hAnsi="Liberation Sans"/>
        <w:color w:val="FAC090" w:themeColor="accent6" w:themeTint="98" w:themeShade="95"/>
        <w:sz w:val="22"/>
      </w:rPr>
      <w:tblPr/>
      <w:tcPr>
        <w:shd w:val="clear" w:color="FDE4D0" w:themeColor="accent6" w:themeTint="40" w:fill="FDE4D0" w:themeFill="accent6" w:themeFillTint="40"/>
      </w:tcPr>
    </w:tblStylePr>
    <w:tblStylePr w:type="band2Horz">
      <w:rPr>
        <w:rFonts w:ascii="Liberation Sans" w:hAnsi="Liberation Sans"/>
        <w:color w:val="FAC090" w:themeColor="accent6" w:themeTint="98" w:themeShade="95"/>
        <w:sz w:val="22"/>
      </w:rPr>
    </w:tblStylePr>
  </w:style>
  <w:style w:type="table" w:styleId="-70">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Liberation Sans" w:hAnsi="Liberation Sans"/>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Liberation Sans" w:hAnsi="Liberation Sans"/>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Liberation Sans" w:hAnsi="Liberation Sans"/>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Liberation Sans" w:hAnsi="Liberation Sans"/>
        <w:color w:val="2A4A71" w:themeColor="accent1" w:themeShade="95"/>
        <w:sz w:val="22"/>
      </w:rPr>
      <w:tblPr/>
      <w:tcPr>
        <w:shd w:val="clear" w:color="D2DFEE" w:themeColor="accent1" w:themeTint="40" w:fill="D2DFEE" w:themeFill="accent1" w:themeFillTint="40"/>
      </w:tcPr>
    </w:tblStylePr>
    <w:tblStylePr w:type="band2Horz">
      <w:rPr>
        <w:rFonts w:ascii="Liberation Sans" w:hAnsi="Liberation Sans"/>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Liberation Sans" w:hAnsi="Liberation Sans"/>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Liberation Sans" w:hAnsi="Liberation Sans"/>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Liberation Sans" w:hAnsi="Liberation Sans"/>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Liberation Sans" w:hAnsi="Liberation Sans"/>
        <w:color w:val="D99695" w:themeColor="accent2" w:themeTint="97" w:themeShade="95"/>
        <w:sz w:val="22"/>
      </w:rPr>
      <w:tblPr/>
      <w:tcPr>
        <w:shd w:val="clear" w:color="EFD2D2" w:themeColor="accent2" w:themeTint="40" w:fill="EFD2D2" w:themeFill="accent2" w:themeFillTint="40"/>
      </w:tcPr>
    </w:tblStylePr>
    <w:tblStylePr w:type="band2Horz">
      <w:rPr>
        <w:rFonts w:ascii="Liberation Sans" w:hAnsi="Liberation Sans"/>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Liberation Sans" w:hAnsi="Liberation Sans"/>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Liberation Sans" w:hAnsi="Liberation Sans"/>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Liberation Sans" w:hAnsi="Liberation Sans"/>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Liberation Sans" w:hAnsi="Liberation Sans"/>
        <w:color w:val="C3D69B" w:themeColor="accent3" w:themeTint="98" w:themeShade="95"/>
        <w:sz w:val="22"/>
      </w:rPr>
      <w:tblPr/>
      <w:tcPr>
        <w:shd w:val="clear" w:color="E5EED5" w:themeColor="accent3" w:themeTint="40" w:fill="E5EED5" w:themeFill="accent3" w:themeFillTint="40"/>
      </w:tcPr>
    </w:tblStylePr>
    <w:tblStylePr w:type="band2Horz">
      <w:rPr>
        <w:rFonts w:ascii="Liberation Sans" w:hAnsi="Liberation Sans"/>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Liberation Sans" w:hAnsi="Liberation Sans"/>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Liberation Sans" w:hAnsi="Liberation Sans"/>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Liberation Sans" w:hAnsi="Liberation Sans"/>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Liberation Sans" w:hAnsi="Liberation Sans"/>
        <w:color w:val="B2A1C6" w:themeColor="accent4" w:themeTint="9A" w:themeShade="95"/>
        <w:sz w:val="22"/>
      </w:rPr>
      <w:tblPr/>
      <w:tcPr>
        <w:shd w:val="clear" w:color="DFD8E7" w:themeColor="accent4" w:themeTint="40" w:fill="DFD8E7" w:themeFill="accent4" w:themeFillTint="40"/>
      </w:tcPr>
    </w:tblStylePr>
    <w:tblStylePr w:type="band2Horz">
      <w:rPr>
        <w:rFonts w:ascii="Liberation Sans" w:hAnsi="Liberation Sans"/>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Liberation Sans" w:hAnsi="Liberation Sans"/>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Liberation Sans" w:hAnsi="Liberation Sans"/>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Liberation Sans" w:hAnsi="Liberation Sans"/>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Liberation Sans" w:hAnsi="Liberation Sans"/>
        <w:color w:val="92CCDC" w:themeColor="accent5" w:themeTint="9A" w:themeShade="95"/>
        <w:sz w:val="22"/>
      </w:rPr>
      <w:tblPr/>
      <w:tcPr>
        <w:shd w:val="clear" w:color="D1EAF0" w:themeColor="accent5" w:themeTint="40" w:fill="D1EAF0" w:themeFill="accent5" w:themeFillTint="40"/>
      </w:tcPr>
    </w:tblStylePr>
    <w:tblStylePr w:type="band2Horz">
      <w:rPr>
        <w:rFonts w:ascii="Liberation Sans" w:hAnsi="Liberation Sans"/>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Liberation Sans" w:hAnsi="Liberation Sans"/>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Liberation Sans" w:hAnsi="Liberation Sans"/>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Liberation Sans" w:hAnsi="Liberation Sans"/>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Liberation Sans" w:hAnsi="Liberation Sans"/>
        <w:color w:val="FAC090" w:themeColor="accent6" w:themeTint="98" w:themeShade="95"/>
        <w:sz w:val="22"/>
      </w:rPr>
      <w:tblPr/>
      <w:tcPr>
        <w:shd w:val="clear" w:color="FDE4D0" w:themeColor="accent6" w:themeTint="40" w:fill="FDE4D0" w:themeFill="accent6" w:themeFillTint="40"/>
      </w:tcPr>
    </w:tblStylePr>
    <w:tblStylePr w:type="band2Horz">
      <w:rPr>
        <w:rFonts w:ascii="Liberation Sans" w:hAnsi="Liberation Sans"/>
        <w:color w:val="FAC090" w:themeColor="accent6" w:themeTint="98" w:themeShade="95"/>
        <w:sz w:val="22"/>
      </w:rPr>
    </w:tblStylePr>
  </w:style>
  <w:style w:type="table" w:customStyle="1" w:styleId="Lined-Accent">
    <w:name w:val="Lined - Accent"/>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Liberation Sans" w:hAnsi="Liberation Sans"/>
        <w:color w:val="F2F2F2"/>
        <w:sz w:val="22"/>
      </w:rPr>
      <w:tblPr/>
      <w:tcPr>
        <w:shd w:val="clear" w:color="5D8AC2" w:themeColor="accent1" w:themeTint="EA" w:fill="5D8AC2" w:themeFill="accent1" w:themeFillTint="EA"/>
      </w:tcPr>
    </w:tblStylePr>
    <w:tblStylePr w:type="lastRow">
      <w:rPr>
        <w:rFonts w:ascii="Liberation Sans" w:hAnsi="Liberation Sans"/>
        <w:color w:val="F2F2F2"/>
        <w:sz w:val="22"/>
      </w:rPr>
      <w:tblPr/>
      <w:tcPr>
        <w:shd w:val="clear" w:color="5D8AC2" w:themeColor="accent1" w:themeTint="EA" w:fill="5D8AC2" w:themeFill="accent1" w:themeFillTint="EA"/>
      </w:tcPr>
    </w:tblStylePr>
    <w:tblStylePr w:type="firstCol">
      <w:rPr>
        <w:rFonts w:ascii="Liberation Sans" w:hAnsi="Liberation Sans"/>
        <w:color w:val="F2F2F2"/>
        <w:sz w:val="22"/>
      </w:rPr>
      <w:tblPr/>
      <w:tcPr>
        <w:shd w:val="clear" w:color="5D8AC2" w:themeColor="accent1" w:themeTint="EA" w:fill="5D8AC2" w:themeFill="accent1" w:themeFillTint="EA"/>
      </w:tcPr>
    </w:tblStylePr>
    <w:tblStylePr w:type="lastCol">
      <w:rPr>
        <w:rFonts w:ascii="Liberation Sans" w:hAnsi="Liberation Sans"/>
        <w:color w:val="F2F2F2"/>
        <w:sz w:val="22"/>
      </w:rPr>
      <w:tblPr/>
      <w:tcPr>
        <w:shd w:val="clear" w:color="5D8AC2" w:themeColor="accent1" w:themeTint="EA" w:fill="5D8AC2"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7D7EA" w:themeColor="accent1" w:themeTint="50" w:fill="C7D7EA"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Liberation Sans" w:hAnsi="Liberation Sans"/>
        <w:color w:val="F2F2F2"/>
        <w:sz w:val="22"/>
      </w:rPr>
      <w:tblPr/>
      <w:tcPr>
        <w:shd w:val="clear" w:color="D99695" w:themeColor="accent2" w:themeTint="97" w:fill="D99695" w:themeFill="accent2" w:themeFillTint="97"/>
      </w:tcPr>
    </w:tblStylePr>
    <w:tblStylePr w:type="lastRow">
      <w:rPr>
        <w:rFonts w:ascii="Liberation Sans" w:hAnsi="Liberation Sans"/>
        <w:color w:val="F2F2F2"/>
        <w:sz w:val="22"/>
      </w:rPr>
      <w:tblPr/>
      <w:tcPr>
        <w:shd w:val="clear" w:color="D99695" w:themeColor="accent2" w:themeTint="97" w:fill="D99695" w:themeFill="accent2" w:themeFillTint="97"/>
      </w:tcPr>
    </w:tblStylePr>
    <w:tblStylePr w:type="firstCol">
      <w:rPr>
        <w:rFonts w:ascii="Liberation Sans" w:hAnsi="Liberation Sans"/>
        <w:color w:val="F2F2F2"/>
        <w:sz w:val="22"/>
      </w:rPr>
      <w:tblPr/>
      <w:tcPr>
        <w:shd w:val="clear" w:color="D99695" w:themeColor="accent2" w:themeTint="97" w:fill="D99695" w:themeFill="accent2" w:themeFillTint="97"/>
      </w:tcPr>
    </w:tblStylePr>
    <w:tblStylePr w:type="lastCol">
      <w:rPr>
        <w:rFonts w:ascii="Liberation Sans" w:hAnsi="Liberation Sans"/>
        <w:color w:val="F2F2F2"/>
        <w:sz w:val="22"/>
      </w:rPr>
      <w:tblPr/>
      <w:tcPr>
        <w:shd w:val="clear" w:color="D99695" w:themeColor="accent2" w:themeTint="97" w:fill="D9969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Liberation Sans" w:hAnsi="Liberation Sans"/>
        <w:color w:val="F2F2F2"/>
        <w:sz w:val="22"/>
      </w:rPr>
      <w:tblPr/>
      <w:tcPr>
        <w:shd w:val="clear" w:color="9ABB59" w:themeColor="accent3" w:themeTint="FE" w:fill="9ABB59" w:themeFill="accent3" w:themeFillTint="FE"/>
      </w:tcPr>
    </w:tblStylePr>
    <w:tblStylePr w:type="lastRow">
      <w:rPr>
        <w:rFonts w:ascii="Liberation Sans" w:hAnsi="Liberation Sans"/>
        <w:color w:val="F2F2F2"/>
        <w:sz w:val="22"/>
      </w:rPr>
      <w:tblPr/>
      <w:tcPr>
        <w:shd w:val="clear" w:color="9ABB59" w:themeColor="accent3" w:themeTint="FE" w:fill="9ABB59" w:themeFill="accent3" w:themeFillTint="FE"/>
      </w:tcPr>
    </w:tblStylePr>
    <w:tblStylePr w:type="firstCol">
      <w:rPr>
        <w:rFonts w:ascii="Liberation Sans" w:hAnsi="Liberation Sans"/>
        <w:color w:val="F2F2F2"/>
        <w:sz w:val="22"/>
      </w:rPr>
      <w:tblPr/>
      <w:tcPr>
        <w:shd w:val="clear" w:color="9ABB59" w:themeColor="accent3" w:themeTint="FE" w:fill="9ABB59" w:themeFill="accent3" w:themeFillTint="FE"/>
      </w:tcPr>
    </w:tblStylePr>
    <w:tblStylePr w:type="lastCol">
      <w:rPr>
        <w:rFonts w:ascii="Liberation Sans" w:hAnsi="Liberation Sans"/>
        <w:color w:val="F2F2F2"/>
        <w:sz w:val="22"/>
      </w:rPr>
      <w:tblPr/>
      <w:tcPr>
        <w:shd w:val="clear" w:color="9ABB59" w:themeColor="accent3" w:themeTint="FE" w:fill="9ABB59"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Liberation Sans" w:hAnsi="Liberation Sans"/>
        <w:color w:val="F2F2F2"/>
        <w:sz w:val="22"/>
      </w:rPr>
      <w:tblPr/>
      <w:tcPr>
        <w:shd w:val="clear" w:color="B2A1C6" w:themeColor="accent4" w:themeTint="9A" w:fill="B2A1C6" w:themeFill="accent4" w:themeFillTint="9A"/>
      </w:tcPr>
    </w:tblStylePr>
    <w:tblStylePr w:type="lastRow">
      <w:rPr>
        <w:rFonts w:ascii="Liberation Sans" w:hAnsi="Liberation Sans"/>
        <w:color w:val="F2F2F2"/>
        <w:sz w:val="22"/>
      </w:rPr>
      <w:tblPr/>
      <w:tcPr>
        <w:shd w:val="clear" w:color="B2A1C6" w:themeColor="accent4" w:themeTint="9A" w:fill="B2A1C6" w:themeFill="accent4" w:themeFillTint="9A"/>
      </w:tcPr>
    </w:tblStylePr>
    <w:tblStylePr w:type="firstCol">
      <w:rPr>
        <w:rFonts w:ascii="Liberation Sans" w:hAnsi="Liberation Sans"/>
        <w:color w:val="F2F2F2"/>
        <w:sz w:val="22"/>
      </w:rPr>
      <w:tblPr/>
      <w:tcPr>
        <w:shd w:val="clear" w:color="B2A1C6" w:themeColor="accent4" w:themeTint="9A" w:fill="B2A1C6" w:themeFill="accent4" w:themeFillTint="9A"/>
      </w:tcPr>
    </w:tblStylePr>
    <w:tblStylePr w:type="lastCol">
      <w:rPr>
        <w:rFonts w:ascii="Liberation Sans" w:hAnsi="Liberation Sans"/>
        <w:color w:val="F2F2F2"/>
        <w:sz w:val="22"/>
      </w:rPr>
      <w:tblPr/>
      <w:tcPr>
        <w:shd w:val="clear" w:color="B2A1C6" w:themeColor="accent4" w:themeTint="9A" w:fill="B2A1C6"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Liberation Sans" w:hAnsi="Liberation Sans"/>
        <w:color w:val="F2F2F2"/>
        <w:sz w:val="22"/>
      </w:rPr>
      <w:tblPr/>
      <w:tcPr>
        <w:shd w:val="clear" w:color="4BACC6" w:themeColor="accent5" w:fill="4BACC6" w:themeFill="accent5"/>
      </w:tcPr>
    </w:tblStylePr>
    <w:tblStylePr w:type="lastRow">
      <w:rPr>
        <w:rFonts w:ascii="Liberation Sans" w:hAnsi="Liberation Sans"/>
        <w:color w:val="F2F2F2"/>
        <w:sz w:val="22"/>
      </w:rPr>
      <w:tblPr/>
      <w:tcPr>
        <w:shd w:val="clear" w:color="4BACC6" w:themeColor="accent5" w:fill="4BACC6" w:themeFill="accent5"/>
      </w:tcPr>
    </w:tblStylePr>
    <w:tblStylePr w:type="firstCol">
      <w:rPr>
        <w:rFonts w:ascii="Liberation Sans" w:hAnsi="Liberation Sans"/>
        <w:color w:val="F2F2F2"/>
        <w:sz w:val="22"/>
      </w:rPr>
      <w:tblPr/>
      <w:tcPr>
        <w:shd w:val="clear" w:color="4BACC6" w:themeColor="accent5" w:fill="4BACC6" w:themeFill="accent5"/>
      </w:tcPr>
    </w:tblStylePr>
    <w:tblStylePr w:type="lastCol">
      <w:rPr>
        <w:rFonts w:ascii="Liberation Sans" w:hAnsi="Liberation Sans"/>
        <w:color w:val="F2F2F2"/>
        <w:sz w:val="22"/>
      </w:rPr>
      <w:tblPr/>
      <w:tcPr>
        <w:shd w:val="clear" w:color="4BACC6" w:themeColor="accent5" w:fill="4BACC6"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Liberation Sans" w:hAnsi="Liberation Sans"/>
        <w:color w:val="F2F2F2"/>
        <w:sz w:val="22"/>
      </w:rPr>
      <w:tblPr/>
      <w:tcPr>
        <w:shd w:val="clear" w:color="F79646" w:themeColor="accent6" w:fill="F79646" w:themeFill="accent6"/>
      </w:tcPr>
    </w:tblStylePr>
    <w:tblStylePr w:type="lastRow">
      <w:rPr>
        <w:rFonts w:ascii="Liberation Sans" w:hAnsi="Liberation Sans"/>
        <w:color w:val="F2F2F2"/>
        <w:sz w:val="22"/>
      </w:rPr>
      <w:tblPr/>
      <w:tcPr>
        <w:shd w:val="clear" w:color="F79646" w:themeColor="accent6" w:fill="F79646" w:themeFill="accent6"/>
      </w:tcPr>
    </w:tblStylePr>
    <w:tblStylePr w:type="firstCol">
      <w:rPr>
        <w:rFonts w:ascii="Liberation Sans" w:hAnsi="Liberation Sans"/>
        <w:color w:val="F2F2F2"/>
        <w:sz w:val="22"/>
      </w:rPr>
      <w:tblPr/>
      <w:tcPr>
        <w:shd w:val="clear" w:color="F79646" w:themeColor="accent6" w:fill="F79646" w:themeFill="accent6"/>
      </w:tcPr>
    </w:tblStylePr>
    <w:tblStylePr w:type="lastCol">
      <w:rPr>
        <w:rFonts w:ascii="Liberation Sans" w:hAnsi="Liberation Sans"/>
        <w:color w:val="F2F2F2"/>
        <w:sz w:val="22"/>
      </w:rPr>
      <w:tblPr/>
      <w:tcPr>
        <w:shd w:val="clear" w:color="F79646" w:themeColor="accent6" w:fill="F79646"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Liberation Sans" w:hAnsi="Liberation Sans"/>
        <w:color w:val="F2F2F2"/>
        <w:sz w:val="22"/>
      </w:rPr>
      <w:tblPr/>
      <w:tcPr>
        <w:shd w:val="clear" w:color="5D8AC2" w:themeColor="accent1" w:themeTint="EA" w:fill="5D8AC2" w:themeFill="accent1" w:themeFillTint="EA"/>
      </w:tcPr>
    </w:tblStylePr>
    <w:tblStylePr w:type="lastRow">
      <w:rPr>
        <w:rFonts w:ascii="Liberation Sans" w:hAnsi="Liberation Sans"/>
        <w:color w:val="F2F2F2"/>
        <w:sz w:val="22"/>
      </w:rPr>
      <w:tblPr/>
      <w:tcPr>
        <w:shd w:val="clear" w:color="5D8AC2" w:themeColor="accent1" w:themeTint="EA" w:fill="5D8AC2" w:themeFill="accent1" w:themeFillTint="EA"/>
      </w:tcPr>
    </w:tblStylePr>
    <w:tblStylePr w:type="firstCol">
      <w:rPr>
        <w:rFonts w:ascii="Liberation Sans" w:hAnsi="Liberation Sans"/>
        <w:color w:val="F2F2F2"/>
        <w:sz w:val="22"/>
      </w:rPr>
      <w:tblPr/>
      <w:tcPr>
        <w:shd w:val="clear" w:color="5D8AC2" w:themeColor="accent1" w:themeTint="EA" w:fill="5D8AC2" w:themeFill="accent1" w:themeFillTint="EA"/>
      </w:tcPr>
    </w:tblStylePr>
    <w:tblStylePr w:type="lastCol">
      <w:rPr>
        <w:rFonts w:ascii="Liberation Sans" w:hAnsi="Liberation Sans"/>
        <w:color w:val="F2F2F2"/>
        <w:sz w:val="22"/>
      </w:rPr>
      <w:tblPr/>
      <w:tcPr>
        <w:shd w:val="clear" w:color="5D8AC2" w:themeColor="accent1" w:themeTint="EA" w:fill="5D8AC2"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7D7EA" w:themeColor="accent1" w:themeTint="50" w:fill="C7D7EA"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Liberation Sans" w:hAnsi="Liberation Sans"/>
        <w:color w:val="F2F2F2"/>
        <w:sz w:val="22"/>
      </w:rPr>
      <w:tblPr/>
      <w:tcPr>
        <w:shd w:val="clear" w:color="D99695" w:themeColor="accent2" w:themeTint="97" w:fill="D99695" w:themeFill="accent2" w:themeFillTint="97"/>
      </w:tcPr>
    </w:tblStylePr>
    <w:tblStylePr w:type="lastRow">
      <w:rPr>
        <w:rFonts w:ascii="Liberation Sans" w:hAnsi="Liberation Sans"/>
        <w:color w:val="F2F2F2"/>
        <w:sz w:val="22"/>
      </w:rPr>
      <w:tblPr/>
      <w:tcPr>
        <w:shd w:val="clear" w:color="D99695" w:themeColor="accent2" w:themeTint="97" w:fill="D99695" w:themeFill="accent2" w:themeFillTint="97"/>
      </w:tcPr>
    </w:tblStylePr>
    <w:tblStylePr w:type="firstCol">
      <w:rPr>
        <w:rFonts w:ascii="Liberation Sans" w:hAnsi="Liberation Sans"/>
        <w:color w:val="F2F2F2"/>
        <w:sz w:val="22"/>
      </w:rPr>
      <w:tblPr/>
      <w:tcPr>
        <w:shd w:val="clear" w:color="D99695" w:themeColor="accent2" w:themeTint="97" w:fill="D99695" w:themeFill="accent2" w:themeFillTint="97"/>
      </w:tcPr>
    </w:tblStylePr>
    <w:tblStylePr w:type="lastCol">
      <w:rPr>
        <w:rFonts w:ascii="Liberation Sans" w:hAnsi="Liberation Sans"/>
        <w:color w:val="F2F2F2"/>
        <w:sz w:val="22"/>
      </w:rPr>
      <w:tblPr/>
      <w:tcPr>
        <w:shd w:val="clear" w:color="D99695" w:themeColor="accent2" w:themeTint="97" w:fill="D99695"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DCDC" w:themeColor="accent2" w:themeTint="32" w:fill="F2DCDC"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Liberation Sans" w:hAnsi="Liberation Sans"/>
        <w:color w:val="F2F2F2"/>
        <w:sz w:val="22"/>
      </w:rPr>
      <w:tblPr/>
      <w:tcPr>
        <w:shd w:val="clear" w:color="9ABB59" w:themeColor="accent3" w:themeTint="FE" w:fill="9ABB59" w:themeFill="accent3" w:themeFillTint="FE"/>
      </w:tcPr>
    </w:tblStylePr>
    <w:tblStylePr w:type="lastRow">
      <w:rPr>
        <w:rFonts w:ascii="Liberation Sans" w:hAnsi="Liberation Sans"/>
        <w:color w:val="F2F2F2"/>
        <w:sz w:val="22"/>
      </w:rPr>
      <w:tblPr/>
      <w:tcPr>
        <w:shd w:val="clear" w:color="9ABB59" w:themeColor="accent3" w:themeTint="FE" w:fill="9ABB59" w:themeFill="accent3" w:themeFillTint="FE"/>
      </w:tcPr>
    </w:tblStylePr>
    <w:tblStylePr w:type="firstCol">
      <w:rPr>
        <w:rFonts w:ascii="Liberation Sans" w:hAnsi="Liberation Sans"/>
        <w:color w:val="F2F2F2"/>
        <w:sz w:val="22"/>
      </w:rPr>
      <w:tblPr/>
      <w:tcPr>
        <w:shd w:val="clear" w:color="9ABB59" w:themeColor="accent3" w:themeTint="FE" w:fill="9ABB59" w:themeFill="accent3" w:themeFillTint="FE"/>
      </w:tcPr>
    </w:tblStylePr>
    <w:tblStylePr w:type="lastCol">
      <w:rPr>
        <w:rFonts w:ascii="Liberation Sans" w:hAnsi="Liberation Sans"/>
        <w:color w:val="F2F2F2"/>
        <w:sz w:val="22"/>
      </w:rPr>
      <w:tblPr/>
      <w:tcPr>
        <w:shd w:val="clear" w:color="9ABB59" w:themeColor="accent3" w:themeTint="FE" w:fill="9ABB59"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AF1DC" w:themeColor="accent3" w:themeTint="34" w:fill="EAF1D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Liberation Sans" w:hAnsi="Liberation Sans"/>
        <w:color w:val="F2F2F2"/>
        <w:sz w:val="22"/>
      </w:rPr>
      <w:tblPr/>
      <w:tcPr>
        <w:shd w:val="clear" w:color="B2A1C6" w:themeColor="accent4" w:themeTint="9A" w:fill="B2A1C6" w:themeFill="accent4" w:themeFillTint="9A"/>
      </w:tcPr>
    </w:tblStylePr>
    <w:tblStylePr w:type="lastRow">
      <w:rPr>
        <w:rFonts w:ascii="Liberation Sans" w:hAnsi="Liberation Sans"/>
        <w:color w:val="F2F2F2"/>
        <w:sz w:val="22"/>
      </w:rPr>
      <w:tblPr/>
      <w:tcPr>
        <w:shd w:val="clear" w:color="B2A1C6" w:themeColor="accent4" w:themeTint="9A" w:fill="B2A1C6" w:themeFill="accent4" w:themeFillTint="9A"/>
      </w:tcPr>
    </w:tblStylePr>
    <w:tblStylePr w:type="firstCol">
      <w:rPr>
        <w:rFonts w:ascii="Liberation Sans" w:hAnsi="Liberation Sans"/>
        <w:color w:val="F2F2F2"/>
        <w:sz w:val="22"/>
      </w:rPr>
      <w:tblPr/>
      <w:tcPr>
        <w:shd w:val="clear" w:color="B2A1C6" w:themeColor="accent4" w:themeTint="9A" w:fill="B2A1C6" w:themeFill="accent4" w:themeFillTint="9A"/>
      </w:tcPr>
    </w:tblStylePr>
    <w:tblStylePr w:type="lastCol">
      <w:rPr>
        <w:rFonts w:ascii="Liberation Sans" w:hAnsi="Liberation Sans"/>
        <w:color w:val="F2F2F2"/>
        <w:sz w:val="22"/>
      </w:rPr>
      <w:tblPr/>
      <w:tcPr>
        <w:shd w:val="clear" w:color="B2A1C6" w:themeColor="accent4" w:themeTint="9A" w:fill="B2A1C6"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5DFEC" w:themeColor="accent4" w:themeTint="34" w:fill="E5DFEC"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Liberation Sans" w:hAnsi="Liberation Sans"/>
        <w:color w:val="F2F2F2"/>
        <w:sz w:val="22"/>
      </w:rPr>
      <w:tblPr/>
      <w:tcPr>
        <w:shd w:val="clear" w:color="4BACC6" w:themeColor="accent5" w:fill="4BACC6" w:themeFill="accent5"/>
      </w:tcPr>
    </w:tblStylePr>
    <w:tblStylePr w:type="lastRow">
      <w:rPr>
        <w:rFonts w:ascii="Liberation Sans" w:hAnsi="Liberation Sans"/>
        <w:color w:val="F2F2F2"/>
        <w:sz w:val="22"/>
      </w:rPr>
      <w:tblPr/>
      <w:tcPr>
        <w:shd w:val="clear" w:color="4BACC6" w:themeColor="accent5" w:fill="4BACC6" w:themeFill="accent5"/>
      </w:tcPr>
    </w:tblStylePr>
    <w:tblStylePr w:type="firstCol">
      <w:rPr>
        <w:rFonts w:ascii="Liberation Sans" w:hAnsi="Liberation Sans"/>
        <w:color w:val="F2F2F2"/>
        <w:sz w:val="22"/>
      </w:rPr>
      <w:tblPr/>
      <w:tcPr>
        <w:shd w:val="clear" w:color="4BACC6" w:themeColor="accent5" w:fill="4BACC6" w:themeFill="accent5"/>
      </w:tcPr>
    </w:tblStylePr>
    <w:tblStylePr w:type="lastCol">
      <w:rPr>
        <w:rFonts w:ascii="Liberation Sans" w:hAnsi="Liberation Sans"/>
        <w:color w:val="F2F2F2"/>
        <w:sz w:val="22"/>
      </w:rPr>
      <w:tblPr/>
      <w:tcPr>
        <w:shd w:val="clear" w:color="4BACC6" w:themeColor="accent5" w:fill="4BACC6"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AEEF3" w:themeColor="accent5" w:themeTint="34" w:fill="DAEE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Liberation Sans" w:hAnsi="Liberation Sans"/>
        <w:color w:val="F2F2F2"/>
        <w:sz w:val="22"/>
      </w:rPr>
      <w:tblPr/>
      <w:tcPr>
        <w:shd w:val="clear" w:color="F79646" w:themeColor="accent6" w:fill="F79646" w:themeFill="accent6"/>
      </w:tcPr>
    </w:tblStylePr>
    <w:tblStylePr w:type="lastRow">
      <w:rPr>
        <w:rFonts w:ascii="Liberation Sans" w:hAnsi="Liberation Sans"/>
        <w:color w:val="F2F2F2"/>
        <w:sz w:val="22"/>
      </w:rPr>
      <w:tblPr/>
      <w:tcPr>
        <w:shd w:val="clear" w:color="F79646" w:themeColor="accent6" w:fill="F79646" w:themeFill="accent6"/>
      </w:tcPr>
    </w:tblStylePr>
    <w:tblStylePr w:type="firstCol">
      <w:rPr>
        <w:rFonts w:ascii="Liberation Sans" w:hAnsi="Liberation Sans"/>
        <w:color w:val="F2F2F2"/>
        <w:sz w:val="22"/>
      </w:rPr>
      <w:tblPr/>
      <w:tcPr>
        <w:shd w:val="clear" w:color="F79646" w:themeColor="accent6" w:fill="F79646" w:themeFill="accent6"/>
      </w:tcPr>
    </w:tblStylePr>
    <w:tblStylePr w:type="lastCol">
      <w:rPr>
        <w:rFonts w:ascii="Liberation Sans" w:hAnsi="Liberation Sans"/>
        <w:color w:val="F2F2F2"/>
        <w:sz w:val="22"/>
      </w:rPr>
      <w:tblPr/>
      <w:tcPr>
        <w:shd w:val="clear" w:color="F79646" w:themeColor="accent6" w:fill="F79646"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DE9D8" w:themeColor="accent6" w:themeTint="34" w:fill="FDE9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DE9D8" w:themeColor="accent6" w:themeTint="34"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Liberation Sans" w:hAnsi="Liberation Sans"/>
        <w:color w:val="404040"/>
        <w:sz w:val="22"/>
      </w:rPr>
      <w:tblPr/>
      <w:tcPr>
        <w:tcBorders>
          <w:bottom w:val="single" w:sz="12" w:space="0" w:color="4F81BD" w:themeColor="accent1"/>
        </w:tcBorders>
      </w:tcPr>
    </w:tblStylePr>
    <w:tblStylePr w:type="lastRow">
      <w:rPr>
        <w:rFonts w:ascii="Liberation Sans" w:hAnsi="Liberation Sans"/>
        <w:color w:val="404040"/>
        <w:sz w:val="22"/>
      </w:rPr>
      <w:tblPr/>
      <w:tcPr>
        <w:tcBorders>
          <w:top w:val="single" w:sz="12" w:space="0" w:color="4F81BD"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4F81BD" w:themeColor="accent1"/>
        </w:tcBorders>
      </w:tcPr>
    </w:tblStylePr>
    <w:tblStylePr w:type="band1Horz">
      <w:rPr>
        <w:rFonts w:ascii="Liberation Sans" w:hAnsi="Liberation Sans"/>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Liberation Sans" w:hAnsi="Liberation Sans"/>
        <w:color w:val="404040"/>
        <w:sz w:val="22"/>
      </w:rPr>
      <w:tblPr/>
      <w:tcPr>
        <w:tcBorders>
          <w:bottom w:val="single" w:sz="12" w:space="0" w:color="D99695" w:themeColor="accent2" w:themeTint="97"/>
        </w:tcBorders>
      </w:tcPr>
    </w:tblStylePr>
    <w:tblStylePr w:type="lastRow">
      <w:rPr>
        <w:rFonts w:ascii="Liberation Sans" w:hAnsi="Liberation Sans"/>
        <w:color w:val="404040"/>
        <w:sz w:val="22"/>
      </w:rPr>
      <w:tblPr/>
      <w:tcPr>
        <w:tcBorders>
          <w:top w:val="single" w:sz="12" w:space="0" w:color="D99695"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D99695" w:themeColor="accent2" w:themeTint="97"/>
        </w:tcBorders>
      </w:tcPr>
    </w:tblStylePr>
    <w:tblStylePr w:type="band1Horz">
      <w:rPr>
        <w:rFonts w:ascii="Liberation Sans" w:hAnsi="Liberation Sans"/>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Liberation Sans" w:hAnsi="Liberation Sans"/>
        <w:color w:val="404040"/>
        <w:sz w:val="22"/>
      </w:rPr>
      <w:tblPr/>
      <w:tcPr>
        <w:tcBorders>
          <w:bottom w:val="single" w:sz="12" w:space="0" w:color="C3D69B" w:themeColor="accent3" w:themeTint="98"/>
        </w:tcBorders>
      </w:tcPr>
    </w:tblStylePr>
    <w:tblStylePr w:type="lastRow">
      <w:rPr>
        <w:rFonts w:ascii="Liberation Sans" w:hAnsi="Liberation Sans"/>
        <w:color w:val="404040"/>
        <w:sz w:val="22"/>
      </w:rPr>
      <w:tblPr/>
      <w:tcPr>
        <w:tcBorders>
          <w:top w:val="single" w:sz="12" w:space="0" w:color="C3D69B"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3D69B" w:themeColor="accent3" w:themeTint="98"/>
        </w:tcBorders>
      </w:tcPr>
    </w:tblStylePr>
    <w:tblStylePr w:type="band1Horz">
      <w:rPr>
        <w:rFonts w:ascii="Liberation Sans" w:hAnsi="Liberation Sans"/>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Liberation Sans" w:hAnsi="Liberation Sans"/>
        <w:color w:val="404040"/>
        <w:sz w:val="22"/>
      </w:rPr>
      <w:tblPr/>
      <w:tcPr>
        <w:tcBorders>
          <w:bottom w:val="single" w:sz="12" w:space="0" w:color="B2A1C6" w:themeColor="accent4" w:themeTint="9A"/>
        </w:tcBorders>
      </w:tcPr>
    </w:tblStylePr>
    <w:tblStylePr w:type="lastRow">
      <w:rPr>
        <w:rFonts w:ascii="Liberation Sans" w:hAnsi="Liberation Sans"/>
        <w:color w:val="404040"/>
        <w:sz w:val="22"/>
      </w:rPr>
      <w:tblPr/>
      <w:tcPr>
        <w:tcBorders>
          <w:top w:val="single" w:sz="12" w:space="0" w:color="B2A1C6"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B2A1C6" w:themeColor="accent4" w:themeTint="9A"/>
        </w:tcBorders>
      </w:tcPr>
    </w:tblStylePr>
    <w:tblStylePr w:type="band1Horz">
      <w:rPr>
        <w:rFonts w:ascii="Liberation Sans" w:hAnsi="Liberation Sans"/>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Liberation Sans" w:hAnsi="Liberation Sans"/>
        <w:color w:val="404040"/>
        <w:sz w:val="22"/>
      </w:rPr>
      <w:tblPr/>
      <w:tcPr>
        <w:tcBorders>
          <w:bottom w:val="single" w:sz="12" w:space="0" w:color="92CCDC" w:themeColor="accent5" w:themeTint="9A"/>
        </w:tcBorders>
      </w:tcPr>
    </w:tblStylePr>
    <w:tblStylePr w:type="lastRow">
      <w:rPr>
        <w:rFonts w:ascii="Liberation Sans" w:hAnsi="Liberation Sans"/>
        <w:color w:val="404040"/>
        <w:sz w:val="22"/>
      </w:rPr>
      <w:tblPr/>
      <w:tcPr>
        <w:tcBorders>
          <w:top w:val="single" w:sz="12" w:space="0" w:color="92CCDC"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92CCDC" w:themeColor="accent5" w:themeTint="9A"/>
        </w:tcBorders>
      </w:tcPr>
    </w:tblStylePr>
    <w:tblStylePr w:type="band1Horz">
      <w:rPr>
        <w:rFonts w:ascii="Liberation Sans" w:hAnsi="Liberation Sans"/>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Liberation Sans" w:hAnsi="Liberation Sans"/>
        <w:color w:val="404040"/>
        <w:sz w:val="22"/>
      </w:rPr>
      <w:tblPr/>
      <w:tcPr>
        <w:tcBorders>
          <w:bottom w:val="single" w:sz="12" w:space="0" w:color="FAC090" w:themeColor="accent6" w:themeTint="98"/>
        </w:tcBorders>
      </w:tcPr>
    </w:tblStylePr>
    <w:tblStylePr w:type="lastRow">
      <w:rPr>
        <w:rFonts w:ascii="Liberation Sans" w:hAnsi="Liberation Sans"/>
        <w:color w:val="404040"/>
        <w:sz w:val="22"/>
      </w:rPr>
      <w:tblPr/>
      <w:tcPr>
        <w:tcBorders>
          <w:top w:val="single" w:sz="12" w:space="0" w:color="FAC090"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AC090" w:themeColor="accent6" w:themeTint="98"/>
        </w:tcBorders>
      </w:tcPr>
    </w:tblStylePr>
    <w:tblStylePr w:type="band1Horz">
      <w:rPr>
        <w:rFonts w:ascii="Liberation Sans" w:hAnsi="Liberation Sans"/>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2">
    <w:name w:val="Hyperlink"/>
    <w:uiPriority w:val="99"/>
    <w:unhideWhenUsed/>
    <w:rPr>
      <w:color w:val="0000FF" w:themeColor="hyperlink"/>
      <w:u w:val="single"/>
    </w:rPr>
  </w:style>
  <w:style w:type="paragraph" w:styleId="af3">
    <w:name w:val="footnote text"/>
    <w:basedOn w:val="a"/>
    <w:link w:val="af4"/>
    <w:uiPriority w:val="99"/>
    <w:semiHidden/>
    <w:unhideWhenUsed/>
    <w:pPr>
      <w:spacing w:after="40"/>
    </w:pPr>
    <w:rPr>
      <w:sz w:val="18"/>
    </w:rPr>
  </w:style>
  <w:style w:type="character" w:customStyle="1" w:styleId="af4">
    <w:name w:val="Текст сноски Знак"/>
    <w:link w:val="af3"/>
    <w:uiPriority w:val="99"/>
    <w:rPr>
      <w:sz w:val="18"/>
    </w:rPr>
  </w:style>
  <w:style w:type="character" w:styleId="af5">
    <w:name w:val="footnote reference"/>
    <w:uiPriority w:val="99"/>
    <w:unhideWhenUsed/>
    <w:rPr>
      <w:vertAlign w:val="superscript"/>
    </w:rPr>
  </w:style>
  <w:style w:type="paragraph" w:styleId="af6">
    <w:name w:val="endnote text"/>
    <w:basedOn w:val="a"/>
    <w:link w:val="af7"/>
    <w:uiPriority w:val="99"/>
    <w:semiHidden/>
    <w:unhideWhenUsed/>
  </w:style>
  <w:style w:type="character" w:customStyle="1" w:styleId="af7">
    <w:name w:val="Текст концевой сноски Знак"/>
    <w:link w:val="af6"/>
    <w:uiPriority w:val="99"/>
    <w:rPr>
      <w:sz w:val="20"/>
    </w:rPr>
  </w:style>
  <w:style w:type="character" w:styleId="af8">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9">
    <w:name w:val="TOC Heading"/>
    <w:uiPriority w:val="39"/>
    <w:unhideWhenUsed/>
  </w:style>
  <w:style w:type="paragraph" w:styleId="afa">
    <w:name w:val="table of figures"/>
    <w:basedOn w:val="a"/>
    <w:next w:val="a"/>
    <w:uiPriority w:val="99"/>
    <w:unhideWhenUsed/>
  </w:style>
  <w:style w:type="paragraph" w:customStyle="1" w:styleId="afb">
    <w:name w:val="Название"/>
    <w:basedOn w:val="a"/>
    <w:qFormat/>
    <w:pPr>
      <w:jc w:val="center"/>
    </w:pPr>
    <w:rPr>
      <w:b/>
      <w:sz w:val="28"/>
    </w:rPr>
  </w:style>
  <w:style w:type="character" w:styleId="afc">
    <w:name w:val="page number"/>
    <w:basedOn w:val="a0"/>
  </w:style>
  <w:style w:type="paragraph" w:customStyle="1" w:styleId="13">
    <w:name w:val="Основной текст1"/>
    <w:pPr>
      <w:widowControl w:val="0"/>
      <w:pBdr>
        <w:top w:val="none" w:sz="4" w:space="0" w:color="000000"/>
        <w:left w:val="none" w:sz="4" w:space="0" w:color="000000"/>
        <w:bottom w:val="none" w:sz="4" w:space="0" w:color="000000"/>
        <w:right w:val="none" w:sz="4" w:space="0" w:color="000000"/>
        <w:between w:val="none" w:sz="4" w:space="0" w:color="000000"/>
      </w:pBdr>
      <w:ind w:firstLine="400"/>
    </w:pPr>
    <w:rPr>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Liberation Sans"/>
        <a:ea typeface="Liberation Sans"/>
        <a:cs typeface="Liberation Sans"/>
      </a:majorFont>
      <a:minorFont>
        <a:latin typeface="Liberation Sans"/>
        <a:ea typeface="Liberation Sans"/>
        <a:cs typeface="Liberation Sans"/>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5ABF9-4C82-43C5-B95F-00ED294B0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228</Words>
  <Characters>1301</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unit</dc:creator>
  <cp:lastModifiedBy>Никита Ким</cp:lastModifiedBy>
  <cp:revision>2</cp:revision>
  <dcterms:created xsi:type="dcterms:W3CDTF">2026-07-23T05:48:00Z</dcterms:created>
  <dcterms:modified xsi:type="dcterms:W3CDTF">2026-07-23T05:48:00Z</dcterms:modified>
  <cp:version>730895</cp:version>
</cp:coreProperties>
</file>