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pic="http://schemas.openxmlformats.org/drawingml/2006/picture" mc:Ignorable="w14 w15 wp14">
  <w:body>
    <w:p>
      <w:pPr>
        <w:ind w:left="-1440" w:right="15398"/>
        <w:spacing w:after="565"/>
      </w:pPr>
      <w: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361950</wp:posOffset>
                </wp:positionH>
                <wp:positionV relativeFrom="page">
                  <wp:posOffset>219075</wp:posOffset>
                </wp:positionV>
                <wp:extent cx="10076688" cy="589788"/>
                <wp:effectExtent l="0" t="0" r="77470" b="1270"/>
                <wp:wrapNone/>
                <wp:docPr id="1" name="Group 296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76688" cy="589788"/>
                          <a:chOff x="0" y="0"/>
                          <a:chExt cx="10076688" cy="589788"/>
                        </a:xfrm>
                      </wpg:grpSpPr>
                      <pic:pic>
                        <pic:nvPicPr>
                          <pic:cNvPr id="8" name="Picture 8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1542288" cy="4282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"/>
                        <wps:cNvSpPr/>
                        <wps:spPr bwMode="auto">
                          <a:xfrm>
                            <a:off x="0" y="571500"/>
                            <a:ext cx="100766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6688" h="18288" fill="norm" stroke="1" extrusionOk="0">
                                <a:moveTo>
                                  <a:pt x="0" y="0"/>
                                </a:moveTo>
                                <a:lnTo>
                                  <a:pt x="10076688" y="0"/>
                                </a:lnTo>
                                <a:lnTo>
                                  <a:pt x="100766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"/>
                        <wps:cNvSpPr/>
                        <wps:spPr bwMode="auto">
                          <a:xfrm>
                            <a:off x="6838188" y="533400"/>
                            <a:ext cx="323850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 h="56388" fill="norm" stroke="1" extrusionOk="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  <a:lnTo>
                                  <a:pt x="3238500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"/>
                        <wps:cNvSpPr/>
                        <wps:spPr bwMode="auto">
                          <a:xfrm>
                            <a:off x="7548372" y="138075"/>
                            <a:ext cx="3240240" cy="3782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r>
                                <w:rPr>
                                  <w:b/>
                                  <w:sz w:val="44"/>
                                </w:rPr>
                                <w:t xml:space="preserve">КАРТОЧКА ПРОЕКТА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251658240;o:allowoverlap:true;o:allowincell:true;mso-position-horizontal-relative:page;margin-left:28.50pt;mso-position-horizontal:absolute;mso-position-vertical-relative:page;margin-top:17.25pt;mso-position-vertical:absolute;width:793.44pt;height:46.44pt;mso-wrap-distance-left:9.00pt;mso-wrap-distance-top:0.00pt;mso-wrap-distance-right:9.00pt;mso-wrap-distance-bottom:0.00pt;" coordorigin="0,0" coordsize="100766,5897"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1" o:spid="_x0000_s1" type="#_x0000_t75" style="position:absolute;left:0;top:0;width:15422;height:4282;" stroked="false">
                  <v:path textboxrect="0,0,0,0"/>
                  <v:imagedata r:id="rId9" o:title=""/>
                </v:shape>
                <v:shape id="shape 2" o:spid="_x0000_s2" style="position:absolute;left:0;top:5715;width:100766;height:182;visibility:visible;" path="m0,0l99998,0l99998,99998l0,99998l0,0e" coordsize="100000,100000" fillcolor="#000000" strokeweight="0.00pt">
                  <v:path textboxrect="0,0,0,0"/>
                </v:shape>
                <v:shape id="shape 3" o:spid="_x0000_s3" style="position:absolute;left:68381;top:5334;width:32385;height:563;visibility:visible;" path="m0,0l100000,0l100000,100000l0,100000l0,0e" coordsize="100000,100000" fillcolor="#000000" strokeweight="0.00pt">
                  <v:path textboxrect="0,0,0,0"/>
                </v:shape>
                <v:shape id="shape 4" o:spid="_x0000_s4" o:spt="1" type="#_x0000_t1" style="position:absolute;left:75483;top:1380;width:32402;height:3782;visibility:visible;" filled="f" stroked="f">
                  <v:textbox inset="0,0,0,0">
                    <w:txbxContent>
                      <w:p>
                        <w:r>
                          <w:rPr>
                            <w:b/>
                            <w:sz w:val="44"/>
                          </w:rPr>
                          <w:t xml:space="preserve">КАРТОЧКА ПРОЕКТА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tbl>
      <w:tblPr>
        <w:tblStyle w:val="835"/>
        <w:tblpPr w:horzAnchor="text" w:tblpXSpec="center" w:vertAnchor="text" w:tblpY="1" w:leftFromText="180" w:topFromText="0" w:rightFromText="180" w:bottomFromText="0"/>
        <w:tblW w:w="15593" w:type="dxa"/>
        <w:jc w:val="center"/>
        <w:tblInd w:w="0" w:type="dxa"/>
        <w:tblCellMar>
          <w:left w:w="284" w:type="dxa"/>
          <w:top w:w="0" w:type="dxa"/>
          <w:right w:w="271" w:type="dxa"/>
          <w:bottom w:w="0" w:type="dxa"/>
        </w:tblCellMar>
        <w:tblLook w:val="04A0" w:firstRow="1" w:lastRow="0" w:firstColumn="1" w:lastColumn="0" w:noHBand="0" w:noVBand="1"/>
      </w:tblPr>
      <w:tblGrid>
        <w:gridCol w:w="7715"/>
        <w:gridCol w:w="7989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Название проекта бережливого управления (далее – проект):</w:t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 «Оптимизация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результата»</w:t>
            </w:r>
          </w:p>
          <w:p>
            <w:pPr>
              <w:ind w:left="144"/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1. Вовлеченные лица и рамки проекта</w:t>
            </w:r>
            <w:r/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2. Обоснование выбора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single" w:color="777777" w:sz="8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144" w:right="0" w:firstLine="0"/>
              <w:spacing w:before="0" w:after="40" w:line="200" w:lineRule="auto"/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Заказчики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Границы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от возникновения проблемы содержания территории округа — до подтверждённого устранения проблемы и оценки результата жителем.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Периметр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округа: инициативные группы граждан, выявляющие проблемы на территории; подразделение приёма сообщений; три направления (УДС, Благоустройство, ЖКХ) и подразделения-исполнители; Глава округа — контроль сроков и эскалация. Охват — 27 населённых пунктов.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Владелец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Башун Александр Александрович — глава Благовещенского муниципального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Руководитель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Уваров Геннадий Геннадьевич — начальник отдела информационного обслуживания Финансового управления администрации Благовещенского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Команда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«Лидеры перемен», 5 человек: Уваров Г.Г. — капитан; Вихрова Анастасия Васильевна — директор МБУ «Информационный центр Благовещенского муниципального округа»; Воронцова Дарья Сергеевна — начальник отдела по благоустройству управления жилищно-коммунального хозяйства; Комчадалова Анна Александровна — начальник управления архитектуры и градостроительства; Степаненко Анна Олеговна — советник главы администрации округа.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single" w:color="777777" w:sz="8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0" w:type="auto"/>
              <w:tblInd w:w="-203" w:type="dxa"/>
              <w:tblBorders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insideH w:val="none" w:color="000000" w:sz="4" w:space="0"/>
                <w:insideV w:val="none" w:color="000000" w:sz="4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94"/>
            </w:tblGrid>
            <w:tr>
              <w:tblPrEx/>
              <w:trPr/>
              <w:tc>
                <w:tcPr>
                  <w:tcBorders>
                    <w:top w:val="none" w:color="000000" w:sz="4" w:space="0"/>
                    <w:left w:val="none" w:color="000000" w:sz="4" w:space="0"/>
                    <w:bottom w:val="none" w:color="000000" w:sz="4" w:space="0"/>
                    <w:right w:val="none" w:color="000000" w:sz="4" w:space="0"/>
                  </w:tcBorders>
                  <w:tcMar>
                    <w:left w:w="180" w:type="dxa"/>
                    <w:top w:w="0" w:type="dxa"/>
                    <w:right w:w="180" w:type="dxa"/>
                    <w:bottom w:w="0" w:type="dxa"/>
                  </w:tcMar>
                  <w:tcW w:w="4394" w:type="dxa"/>
                  <w:vAlign w:val="top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Описание проблемы: </w:t>
                  </w:r>
                  <w:r>
                    <w:rPr>
                      <w:sz w:val="14"/>
                      <w:szCs w:val="14"/>
                    </w:rPr>
                  </w:r>
                  <w:r>
                    <w:rPr>
                      <w:sz w:val="14"/>
                      <w:szCs w:val="14"/>
                    </w:rPr>
                    <w:t xml:space="preserve"> Плановое выявление проблем содержания территории не ведётся: проблема попадает в работу после обращения жителя. Канала для передачи сообщений от инициативных групп граждан в администрацию не предусмотрено. Сообщения поступают по четырём каналам: личный приём, письменные заявления, социальные сети, платформа обратной связи. Весь объём поступающих обращений вручную распределяет Глава округа: ответственного заместителя по каждому обращению определяет лично он. Срок рассмотрения — 30 календарных дней, единый для обращений любой сложности (Федеральный закон № 59-ФЗ). Распределение проблем по объектам возникновения не ведётся: сколько обращений приходится на один адрес или участок, из учёта не видно. Связь с заявителем ограничена письменным ответом по итогам рассмотрения; о ходе работы он не информируется. Повторные обращения об одном объекте не выявляются.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Источник проблематики: инцидент-менеджмент — массовые обращения граждан о состоянии территории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Влияние на цели и задачи: содержание территории округа; показатели работы с обращениями граждан; клиентоцентричность — федеральный проект «Государство для людей».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Масштаб процесса: сквозной, кросс-функциональный — выявление проблем на территории, приём сообщений, три направления, подразделения-исполнители, Глава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Трудоёмкость процесса: 15 минут рабочего времени сотрудника на приём, регистрацию одного сообщения и передачу его исполнителю.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Причины неудовлетворённости заказчиков процесса: выявление проблемы начинается с обращения жителя; весь объём обращений распределяет вручную Глава округа; распределение проблем по объектам возникновения не ведётся; повторные обращения об одном объекте исполняются отдельно.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 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</w:tbl>
          <w:p>
            <w:pPr>
              <w:spacing w:after="40" w:before="0" w:line="200" w:lineRule="auto"/>
              <w:rPr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Ключевой риск: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устранение проблемы начинается после обращения жителя; весь объём обращений распределяет вручную Глава округа; срок рассмотрения не зависит от сложности обращения; повторные обращения об одном объекте учитываются и исполняются как отдельные.</w:t>
            </w:r>
          </w:p>
        </w:tc>
      </w:tr>
      <w:tr>
        <w:tblPrEx/>
        <w:trPr>
          <w:jc w:val="center"/>
        </w:trPr>
        <w:tc>
          <w:tcPr>
            <w:tcBorders>
              <w:top w:val="single" w:color="777777" w:sz="8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 w:right="2414"/>
              <w:spacing w:after="0"/>
            </w:pPr>
            <w:r>
              <w:rPr>
                <w:b/>
                <w:sz w:val="24"/>
              </w:rPr>
              <w:t xml:space="preserve">3. Цели и </w:t>
            </w:r>
            <w:r>
              <w:rPr>
                <w:b/>
                <w:sz w:val="24"/>
              </w:rPr>
              <w:t xml:space="preserve">плановый эффект</w:t>
            </w:r>
            <w:r/>
          </w:p>
        </w:tc>
        <w:tc>
          <w:tcPr>
            <w:tcBorders>
              <w:top w:val="single" w:color="777777" w:sz="8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vAlign w:val="center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</w:rPr>
              <w:t xml:space="preserve">4. Ключевые события проекта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tbl>
            <w:tblPr>
              <w:tblStyle w:val="835"/>
              <w:tblW w:w="7228" w:type="dxa"/>
              <w:tblInd w:w="0" w:type="dxa"/>
              <w:tblLayout w:type="fixed"/>
              <w:tblCellMar>
                <w:left w:w="120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300"/>
              <w:gridCol w:w="1300"/>
              <w:gridCol w:w="1628"/>
            </w:tblGrid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Показатель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База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Цель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Количество обращений граждан по благоустройству и ЖКХ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40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снижение не менее 30 %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Время протекания процесса: от возникновения проблемы до подтверждённого устранения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 — 44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сокращение не менее 50 %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проблем, выявленных до обращения жителя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50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фотофиксацией устранения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Трудозатраты сотрудника на регистрацию одного сообщения и передачу исполнителю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15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более 1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Средняя оценка жителем результата, шкала 1–5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измерялась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4,0</w:t>
                  </w:r>
                </w:p>
              </w:tc>
            </w:tr>
          </w:tbl>
          <w:p>
            <w:pPr>
              <w:spacing w:before="0" w:after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7665" w:type="dxa"/>
              <w:tblInd w:w="0" w:type="dxa"/>
              <w:tblCellMar>
                <w:left w:w="121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785"/>
              <w:gridCol w:w="1440"/>
              <w:gridCol w:w="1440"/>
            </w:tblGrid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Наименование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Начало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Окончание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Старт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22.07.2026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31.07.2026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 Диагностика и целевое состояние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1.1. Разработка карты текущего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1.2. Сбор фактических данных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1.3. Разработка карты целевого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01.09.2026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1.4. Разработка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 Реализация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2.1. Совещание по защите подходов внедрения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2.2. Внедрение мероприятий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 Анализ результатов и закрытие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3.1. Мониторинг достигнутых результатов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25.09.2026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3.2. Оформление карты достигнутого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3.3. Разработка стандарта/норматива и тиражирование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29.09.2026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3.4. Закрытие проекта (отчет руководителю)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</w:tbl>
          <w:p>
            <w:pPr>
              <w:spacing w:after="0" w:line="180" w:lineRule="auto" w:before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</w:tr>
    </w:tbl>
    <w:p>
      <w:r/>
      <w:r/>
    </w:p>
    <w:tbl>
      <w:tblPr>
        <w:tblStyle w:val="835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126"/>
        <w:gridCol w:w="4961"/>
        <w:gridCol w:w="2126"/>
        <w:gridCol w:w="2126"/>
        <w:gridCol w:w="2409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</w:rPr>
              <w:t xml:space="preserve">Руководитель проекта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textDirection w:val="lrTb"/>
            <w:noWrap w:val="false"/>
          </w:tcPr>
          <w:p>
            <w:pPr>
              <w:ind w:left="460" w:right="0" w:firstLine="0"/>
              <w:jc w:val="center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  <w:t xml:space="preserve">Глава Благовещенского муниципального округа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  <w:t xml:space="preserve">Куратор проекта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textDirection w:val="lrTb"/>
            <w:noWrap w:val="false"/>
          </w:tcPr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vMerge w:val="restart"/>
            <w:textDirection w:val="lrTb"/>
            <w:noWrap w:val="false"/>
          </w:tcPr>
          <w:p>
            <w:pPr>
              <w:ind w:left="-106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vMerge w:val="restart"/>
            <w:textDirection w:val="lrTb"/>
            <w:noWrap w:val="false"/>
          </w:tcPr>
          <w:p>
            <w:pPr>
              <w:ind w:left="460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458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highlight w:val="none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   (Ф.И.О., должность,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</w:tr>
    </w:tbl>
    <w:p>
      <w:r/>
      <w:r/>
    </w:p>
    <w:sectPr>
      <w:footnotePr/>
      <w:endnotePr/>
      <w:type w:val="nextPage"/>
      <w:pgSz w:w="16838" w:h="11904" w:orient="landscape"/>
      <w:pgMar w:top="567" w:right="567" w:bottom="340" w:left="567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430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lowerLetter"/>
      <w:isLgl w:val="false"/>
      <w:suff w:val="tab"/>
      <w:lvlText w:val="%2"/>
      <w:lvlJc w:val="left"/>
      <w:pPr>
        <w:ind w:left="17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lowerRoman"/>
      <w:isLgl w:val="false"/>
      <w:suff w:val="tab"/>
      <w:lvlText w:val="%3"/>
      <w:lvlJc w:val="left"/>
      <w:pPr>
        <w:ind w:left="25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decimal"/>
      <w:isLgl w:val="false"/>
      <w:suff w:val="tab"/>
      <w:lvlText w:val="%4"/>
      <w:lvlJc w:val="left"/>
      <w:pPr>
        <w:ind w:left="32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lowerLetter"/>
      <w:isLgl w:val="false"/>
      <w:suff w:val="tab"/>
      <w:lvlText w:val="%5"/>
      <w:lvlJc w:val="left"/>
      <w:pPr>
        <w:ind w:left="395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lowerRoman"/>
      <w:isLgl w:val="false"/>
      <w:suff w:val="tab"/>
      <w:lvlText w:val="%6"/>
      <w:lvlJc w:val="left"/>
      <w:pPr>
        <w:ind w:left="467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decimal"/>
      <w:isLgl w:val="false"/>
      <w:suff w:val="tab"/>
      <w:lvlText w:val="%7"/>
      <w:lvlJc w:val="left"/>
      <w:pPr>
        <w:ind w:left="53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lowerLetter"/>
      <w:isLgl w:val="false"/>
      <w:suff w:val="tab"/>
      <w:lvlText w:val="%8"/>
      <w:lvlJc w:val="left"/>
      <w:pPr>
        <w:ind w:left="61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lowerRoman"/>
      <w:isLgl w:val="false"/>
      <w:suff w:val="tab"/>
      <w:lvlText w:val="%9"/>
      <w:lvlJc w:val="left"/>
      <w:pPr>
        <w:ind w:left="68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31"/>
    <w:next w:val="831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paragraph" w:styleId="658">
    <w:name w:val="Heading 2"/>
    <w:basedOn w:val="831"/>
    <w:next w:val="831"/>
    <w:link w:val="65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9">
    <w:name w:val="Heading 2 Char"/>
    <w:basedOn w:val="832"/>
    <w:link w:val="658"/>
    <w:uiPriority w:val="9"/>
    <w:rPr>
      <w:rFonts w:ascii="Arial" w:hAnsi="Arial" w:eastAsia="Arial" w:cs="Arial"/>
      <w:sz w:val="34"/>
    </w:rPr>
  </w:style>
  <w:style w:type="paragraph" w:styleId="660">
    <w:name w:val="Heading 3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1">
    <w:name w:val="Heading 3 Char"/>
    <w:basedOn w:val="832"/>
    <w:link w:val="660"/>
    <w:uiPriority w:val="9"/>
    <w:rPr>
      <w:rFonts w:ascii="Arial" w:hAnsi="Arial" w:eastAsia="Arial" w:cs="Arial"/>
      <w:sz w:val="30"/>
      <w:szCs w:val="30"/>
    </w:rPr>
  </w:style>
  <w:style w:type="paragraph" w:styleId="662">
    <w:name w:val="Heading 4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3">
    <w:name w:val="Heading 4 Char"/>
    <w:basedOn w:val="832"/>
    <w:link w:val="662"/>
    <w:uiPriority w:val="9"/>
    <w:rPr>
      <w:rFonts w:ascii="Arial" w:hAnsi="Arial" w:eastAsia="Arial" w:cs="Arial"/>
      <w:b/>
      <w:bCs/>
      <w:sz w:val="26"/>
      <w:szCs w:val="26"/>
    </w:rPr>
  </w:style>
  <w:style w:type="paragraph" w:styleId="664">
    <w:name w:val="Heading 5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5">
    <w:name w:val="Heading 5 Char"/>
    <w:basedOn w:val="832"/>
    <w:link w:val="664"/>
    <w:uiPriority w:val="9"/>
    <w:rPr>
      <w:rFonts w:ascii="Arial" w:hAnsi="Arial" w:eastAsia="Arial" w:cs="Arial"/>
      <w:b/>
      <w:bCs/>
      <w:sz w:val="24"/>
      <w:szCs w:val="24"/>
    </w:rPr>
  </w:style>
  <w:style w:type="paragraph" w:styleId="666">
    <w:name w:val="Heading 6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7">
    <w:name w:val="Heading 6 Char"/>
    <w:basedOn w:val="832"/>
    <w:link w:val="666"/>
    <w:uiPriority w:val="9"/>
    <w:rPr>
      <w:rFonts w:ascii="Arial" w:hAnsi="Arial" w:eastAsia="Arial" w:cs="Arial"/>
      <w:b/>
      <w:bCs/>
      <w:sz w:val="22"/>
      <w:szCs w:val="22"/>
    </w:rPr>
  </w:style>
  <w:style w:type="paragraph" w:styleId="668">
    <w:name w:val="Heading 7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9">
    <w:name w:val="Heading 7 Char"/>
    <w:basedOn w:val="832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0">
    <w:name w:val="Heading 8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1">
    <w:name w:val="Heading 8 Char"/>
    <w:basedOn w:val="832"/>
    <w:link w:val="670"/>
    <w:uiPriority w:val="9"/>
    <w:rPr>
      <w:rFonts w:ascii="Arial" w:hAnsi="Arial" w:eastAsia="Arial" w:cs="Arial"/>
      <w:i/>
      <w:iCs/>
      <w:sz w:val="22"/>
      <w:szCs w:val="22"/>
    </w:rPr>
  </w:style>
  <w:style w:type="paragraph" w:styleId="672">
    <w:name w:val="Heading 9"/>
    <w:basedOn w:val="831"/>
    <w:next w:val="831"/>
    <w:link w:val="67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3">
    <w:name w:val="Heading 9 Char"/>
    <w:basedOn w:val="832"/>
    <w:link w:val="672"/>
    <w:uiPriority w:val="9"/>
    <w:rPr>
      <w:rFonts w:ascii="Arial" w:hAnsi="Arial" w:eastAsia="Arial" w:cs="Arial"/>
      <w:i/>
      <w:iCs/>
      <w:sz w:val="21"/>
      <w:szCs w:val="21"/>
    </w:rPr>
  </w:style>
  <w:style w:type="paragraph" w:styleId="674">
    <w:name w:val="List Paragraph"/>
    <w:basedOn w:val="83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before="0" w:after="0" w:line="240" w:lineRule="auto"/>
    </w:pPr>
  </w:style>
  <w:style w:type="paragraph" w:styleId="676">
    <w:name w:val="Title"/>
    <w:basedOn w:val="831"/>
    <w:next w:val="831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basedOn w:val="832"/>
    <w:link w:val="676"/>
    <w:uiPriority w:val="10"/>
    <w:rPr>
      <w:sz w:val="48"/>
      <w:szCs w:val="48"/>
    </w:rPr>
  </w:style>
  <w:style w:type="paragraph" w:styleId="678">
    <w:name w:val="Subtitle"/>
    <w:basedOn w:val="831"/>
    <w:next w:val="831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basedOn w:val="832"/>
    <w:link w:val="678"/>
    <w:uiPriority w:val="11"/>
    <w:rPr>
      <w:sz w:val="24"/>
      <w:szCs w:val="24"/>
    </w:rPr>
  </w:style>
  <w:style w:type="paragraph" w:styleId="680">
    <w:name w:val="Quote"/>
    <w:basedOn w:val="831"/>
    <w:next w:val="831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1"/>
    <w:next w:val="831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character" w:styleId="684">
    <w:name w:val="Header Char"/>
    <w:basedOn w:val="832"/>
    <w:link w:val="841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843"/>
    <w:uiPriority w:val="99"/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ascii="Calibri" w:hAnsi="Calibri" w:eastAsia="Calibri" w:cs="Calibri"/>
      <w:color w:val="000000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table" w:styleId="835" w:customStyle="1">
    <w:name w:val="Table Grid"/>
    <w:pPr>
      <w:spacing w:after="0" w:line="240" w:lineRule="auto"/>
    </w:pPr>
    <w:tblPr>
      <w:tblCellMar>
        <w:left w:w="0" w:type="dxa"/>
        <w:top w:w="0" w:type="dxa"/>
        <w:right w:w="0" w:type="dxa"/>
        <w:bottom w:w="0" w:type="dxa"/>
      </w:tblCellMar>
    </w:tblPr>
  </w:style>
  <w:style w:type="character" w:styleId="836">
    <w:name w:val="annotation reference"/>
    <w:basedOn w:val="832"/>
    <w:uiPriority w:val="99"/>
    <w:semiHidden/>
    <w:unhideWhenUsed/>
    <w:rPr>
      <w:sz w:val="16"/>
      <w:szCs w:val="16"/>
    </w:rPr>
  </w:style>
  <w:style w:type="paragraph" w:styleId="837">
    <w:name w:val="annotation text"/>
    <w:basedOn w:val="831"/>
    <w:link w:val="83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38" w:customStyle="1">
    <w:name w:val="Текст примечания Знак"/>
    <w:basedOn w:val="832"/>
    <w:link w:val="837"/>
    <w:uiPriority w:val="99"/>
    <w:semiHidden/>
    <w:rPr>
      <w:rFonts w:ascii="Calibri" w:hAnsi="Calibri" w:eastAsia="Calibri" w:cs="Calibri"/>
      <w:color w:val="000000"/>
      <w:sz w:val="20"/>
      <w:szCs w:val="20"/>
    </w:rPr>
  </w:style>
  <w:style w:type="paragraph" w:styleId="839">
    <w:name w:val="annotation subject"/>
    <w:basedOn w:val="837"/>
    <w:next w:val="837"/>
    <w:link w:val="840"/>
    <w:uiPriority w:val="99"/>
    <w:semiHidden/>
    <w:unhideWhenUsed/>
    <w:rPr>
      <w:b/>
      <w:bCs/>
    </w:rPr>
  </w:style>
  <w:style w:type="character" w:styleId="840" w:customStyle="1">
    <w:name w:val="Тема примечания Знак"/>
    <w:basedOn w:val="838"/>
    <w:link w:val="839"/>
    <w:uiPriority w:val="99"/>
    <w:semiHidden/>
    <w:rPr>
      <w:rFonts w:ascii="Calibri" w:hAnsi="Calibri" w:eastAsia="Calibri" w:cs="Calibri"/>
      <w:b/>
      <w:bCs/>
      <w:color w:val="000000"/>
      <w:sz w:val="20"/>
      <w:szCs w:val="20"/>
    </w:rPr>
  </w:style>
  <w:style w:type="paragraph" w:styleId="841">
    <w:name w:val="Header"/>
    <w:basedOn w:val="831"/>
    <w:link w:val="842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2" w:customStyle="1">
    <w:name w:val="Верхний колонтитул Знак"/>
    <w:basedOn w:val="832"/>
    <w:link w:val="841"/>
    <w:uiPriority w:val="99"/>
    <w:rPr>
      <w:rFonts w:ascii="Calibri" w:hAnsi="Calibri" w:eastAsia="Calibri" w:cs="Calibri"/>
      <w:color w:val="000000"/>
    </w:rPr>
  </w:style>
  <w:style w:type="paragraph" w:styleId="843">
    <w:name w:val="Footer"/>
    <w:basedOn w:val="831"/>
    <w:link w:val="84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4" w:customStyle="1">
    <w:name w:val="Нижний колонтитул Знак"/>
    <w:basedOn w:val="832"/>
    <w:link w:val="843"/>
    <w:uiPriority w:val="99"/>
    <w:rPr>
      <w:rFonts w:ascii="Calibri" w:hAnsi="Calibri" w:eastAsia="Calibri" w:cs="Calibri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Presentation</dc:title>
  <dc:subject/>
  <dc:creator>Unknown Creator</dc:creator>
  <cp:keywords/>
  <cp:lastModifiedBy>Отдел ПУ и ОР МПК АО</cp:lastModifiedBy>
  <cp:revision>4</cp:revision>
  <dcterms:created xsi:type="dcterms:W3CDTF">2023-08-03T03:05:00Z</dcterms:created>
  <dcterms:modified xsi:type="dcterms:W3CDTF">2026-06-24T06:52:04Z</dcterms:modified>
</cp:coreProperties>
</file>