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p w14:paraId="3FD19BAC" w14:textId="77777777" w:rsidR="003100F5" w:rsidRDefault="00000000">
            <w:pPr>
              <w:jc w:val="both"/>
              <w:rPr>
                <w:sz w:val="24"/>
                <w:szCs w:val="24"/>
              </w:rPr>
            </w:pPr>
            <w:r>
              <w:rPr>
                <w:sz w:val="24"/>
                <w:szCs w:val="24"/>
              </w:rPr>
              <w:t xml:space="preserve">Все пять членов команды проекта прошли обучение основам бережливого управления на онлайн-курсе «Как внедрить инструменты бережливого производства в свою работу» Мастерской управления «Сенеж» президентской платформы «Россия — страна возможностей». Копии сертификатов об обучении — на листе 21 приложения к настоящей справке (копия отчётной презентации проекта).</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0 рублей. Оборудование и лицензии не приобретались, сторонний подрядчик не привлекался — цифровое решение разработано силами администрации округа. Сервис размещён на действующем сервере администрации, дополнительных мощностей не потребовалось; классификация обращений выполняется на бесплатном тарифе, объёма которого достаточно при текущем потоке сообщений. Для оценки тиражирования: при размещении в арендованном облаке и переходе на платный тариф классификатора расходы составили бы порядка 260 тыс.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22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