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keepNext/>
        <w:spacing w:after="100"/>
      </w:pPr>
      <w:r>
        <w:drawing>
          <wp:inline xmlns:pic="http://schemas.openxmlformats.org/drawingml/2006/picture">
            <wp:extent cx="1728000" cy="4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837"/>
        <w:jc w:val="center"/>
        <w:spacing w:before="0" w:after="0" w:line="252" w:lineRule="auto"/>
        <w:tabs>
          <w:tab w:val="left" w:pos="1058" w:leader="none"/>
        </w:tabs>
        <w:rPr>
          <w:bCs/>
          <w:sz w:val="28"/>
          <w:szCs w:val="28"/>
        </w:rPr>
      </w:pPr>
      <w:r>
        <w:rPr>
          <w:rFonts w:cstheme="minorHAnsi" w:ascii="Times New Roman" w:hAnsi="Times New Roman"/>
          <w:sz w:val="24"/>
          <w:lang w:eastAsia="ru-RU"/>
        </w:rPr>
        <mc:AlternateContent>
          <mc:Choice Requires="wpg"/>
          <mc:Fallback/>
        </mc:AlternateContent>
      </w:r>
      <w:r>
        <w:rPr>
          <w:rFonts w:eastAsia="Times New Roman" w:cstheme="minorHAnsi" w:ascii="Times New Roman" w:hAnsi="Times New Roman"/>
          <w:b/>
          <w:sz w:val="24"/>
          <w:szCs w:val="20"/>
          <w:lang w:eastAsia="ru-RU"/>
        </w:rPr>
        <w:t xml:space="preserve">Отчет</w:t>
      </w:r>
      <w:r>
        <w:rPr>
          <w:rFonts w:ascii="Times New Roman" w:hAnsi="Times New Roman"/>
          <w:bCs/>
          <w:sz w:val="24"/>
          <w:szCs w:val="28"/>
        </w:rPr>
      </w:r>
      <w:r>
        <w:rPr>
          <w:rFonts w:ascii="Times New Roman" w:hAnsi="Times New Roman"/>
          <w:bCs/>
          <w:sz w:val="24"/>
          <w:szCs w:val="28"/>
        </w:rPr>
      </w:r>
    </w:p>
    <w:p>
      <w:pPr>
        <w:pStyle w:val="837"/>
        <w:jc w:val="center"/>
        <w:spacing w:before="0" w:after="0" w:line="252" w:lineRule="auto"/>
        <w:tabs>
          <w:tab w:val="left" w:pos="1058" w:leader="none"/>
        </w:tabs>
        <w:rPr>
          <w:rFonts w:eastAsia="Times New Roman" w:cstheme="minorHAnsi"/>
          <w:b/>
          <w:sz w:val="40"/>
          <w:szCs w:val="20"/>
          <w:lang w:eastAsia="ru-RU"/>
        </w:rPr>
      </w:pPr>
      <w:r>
        <w:rPr>
          <w:rFonts w:eastAsia="Times New Roman" w:cstheme="minorHAnsi" w:ascii="Times New Roman" w:hAnsi="Times New Roman"/>
          <w:b/>
          <w:sz w:val="24"/>
          <w:szCs w:val="20"/>
          <w:lang w:eastAsia="ru-RU"/>
        </w:rPr>
        <w:t xml:space="preserve">о результатах реализации проекта бережливого управления</w:t>
      </w:r>
      <w:r>
        <w:rPr>
          <w:rFonts w:eastAsia="Times New Roman" w:cstheme="minorHAnsi" w:ascii="Times New Roman" w:hAnsi="Times New Roman"/>
          <w:b/>
          <w:sz w:val="24"/>
          <w:szCs w:val="20"/>
          <w:lang w:eastAsia="ru-RU"/>
        </w:rPr>
      </w:r>
      <w:r>
        <w:rPr>
          <w:rFonts w:eastAsia="Times New Roman" w:cstheme="minorHAnsi" w:ascii="Times New Roman" w:hAnsi="Times New Roman"/>
          <w:b/>
          <w:sz w:val="24"/>
          <w:szCs w:val="20"/>
          <w:lang w:eastAsia="ru-RU"/>
        </w:rPr>
      </w:r>
    </w:p>
    <w:p>
      <w:pPr>
        <w:pStyle w:val="837"/>
        <w:jc w:val="center"/>
        <w:spacing w:before="0" w:after="0" w:line="252" w:lineRule="auto"/>
        <w:tabs>
          <w:tab w:val="left" w:pos="1058" w:leader="none"/>
        </w:tabs>
        <w:rPr>
          <w:color w:val="000000" w:themeColor="text1"/>
          <w:sz w:val="18"/>
          <w:szCs w:val="16"/>
        </w:rPr>
      </w:pPr>
      <w:r>
        <w:rPr>
          <w:b/>
        </w:rPr>
        <w:t>Оптимизация процесса устранения проблем благоустройства и содержания территории Благовещенского муниципального округа за счёт перехода от реагирования на обращения к их плановому выявлению и контролю результата</w:t>
      </w:r>
    </w:p>
    <w:p>
      <w:pPr>
        <w:pStyle w:val="837"/>
        <w:jc w:val="center"/>
        <w:spacing w:before="0" w:after="120" w:line="252" w:lineRule="auto"/>
        <w:tabs>
          <w:tab w:val="left" w:pos="1058" w:leader="none"/>
        </w:tabs>
        <w:rPr>
          <w:sz w:val="28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Информация о результатах реализации проекта</w:t>
      </w:r>
      <w:r>
        <w:rPr>
          <w:rFonts w:ascii="Times New Roman" w:hAnsi="Times New Roman"/>
          <w:sz w:val="24"/>
          <w:szCs w:val="28"/>
        </w:rPr>
      </w:r>
      <w:r>
        <w:rPr>
          <w:rFonts w:ascii="Times New Roman" w:hAnsi="Times New Roman"/>
          <w:sz w:val="24"/>
          <w:szCs w:val="28"/>
        </w:rPr>
      </w:r>
    </w:p>
    <w:p>
      <w:pPr>
        <w:spacing w:after="120"/>
      </w:pPr>
      <w:r>
        <w:rPr>
          <w:i/>
          <w:sz w:val="20"/>
        </w:rPr>
        <w:t>Экземпляр от 26.10.2026. Данные подтверждены руководителем проекта. Период проекта: 22.07–30.09.2026. Представлены подтверждённые в направленных материалах сведения пилота на 27.09.2026; новых октябрьских замеров в проект не поступало.</w:t>
      </w:r>
    </w:p>
    <w:tbl>
      <w:tblPr>
        <w:jc w:val="center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  <w:tblW w:type="dxa" w:w="9638"/>
        <w:tblBorders>
          <w:top w:val="single" w:sz="4" w:color="606060"/>
          <w:left w:val="single" w:sz="4" w:color="606060"/>
          <w:bottom w:val="single" w:sz="4" w:color="606060"/>
          <w:right w:val="single" w:sz="4" w:color="606060"/>
          <w:insideH w:val="single" w:sz="4" w:color="606060"/>
          <w:insideV w:val="single" w:sz="4" w:color="606060"/>
        </w:tblBorders>
      </w:tblPr>
      <w:tblGrid>
        <w:gridCol w:w="3402"/>
        <w:gridCol w:w="1531"/>
        <w:gridCol w:w="1701"/>
        <w:gridCol w:w="3005"/>
      </w:tblGrid>
      <w:tr>
        <w:tblPrEx/>
        <w:trPr>
          <w:cantSplit/>
          <w:tblHeader/>
        </w:trPr>
        <w:tc>
          <w:tcPr>
            <w:tcW w:w="3402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shd w:val="clear" w:color="auto" w:fill="auto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Наименование целевых показателей, характеризующих достижение цели реализации проекта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w="153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shd w:val="clear" w:color="auto" w:fill="auto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Текущее значение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w="170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shd w:val="clear" w:color="auto" w:fill="auto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Целевое значение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w="3005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shd w:val="clear" w:color="auto" w:fill="auto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Фактически достигнутое значение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blPrEx/>
        <w:trPr>
          <w:cantSplit/>
        </w:trPr>
        <w:tc>
          <w:tcPr>
            <w:tcW w:w="3402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Количество обращений граждан по благоустройству и ЖКХ, шт./мес.</w:t>
            </w:r>
          </w:p>
        </w:tc>
        <w:tc>
          <w:tcPr>
            <w:tcW w:w="153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40</w:t>
            </w:r>
          </w:p>
        </w:tc>
        <w:tc>
          <w:tcPr>
            <w:tcW w:w="170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снижение не менее  30 %</w:t>
            </w:r>
          </w:p>
        </w:tc>
        <w:tc>
          <w:tcPr>
            <w:tcW w:w="3005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Фактическое значение в материалах не представлено. Снижение количества официальных обращений не подтверждено замером.</w:t>
            </w:r>
          </w:p>
        </w:tc>
      </w:tr>
      <w:tr>
        <w:tblPrEx/>
        <w:trPr>
          <w:cantSplit/>
        </w:trPr>
        <w:tc>
          <w:tcPr>
            <w:tcW w:w="3402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Время протекания процесса: от возникновения проблемы до подтверждённого устранения, календарные дни</w:t>
            </w:r>
          </w:p>
        </w:tc>
        <w:tc>
          <w:tcPr>
            <w:tcW w:w="153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10 — 44</w:t>
            </w:r>
          </w:p>
        </w:tc>
        <w:tc>
          <w:tcPr>
            <w:tcW w:w="170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сокращение не менее  50 %</w:t>
            </w:r>
          </w:p>
        </w:tc>
        <w:tc>
          <w:tcPr>
            <w:tcW w:w="3005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1 ч 08 мин — 7,5 дня*. Разные основания диапазона пояснены под таблицей.</w:t>
            </w:r>
          </w:p>
        </w:tc>
      </w:tr>
      <w:tr>
        <w:tblPrEx/>
        <w:trPr>
          <w:cantSplit/>
        </w:trPr>
        <w:tc>
          <w:tcPr>
            <w:tcW w:w="3402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Доля проблем, выявленных до обращения жителя, %</w:t>
            </w:r>
          </w:p>
        </w:tc>
        <w:tc>
          <w:tcPr>
            <w:tcW w:w="153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170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не менее  50</w:t>
            </w:r>
          </w:p>
        </w:tc>
        <w:tc>
          <w:tcPr>
            <w:tcW w:w="3005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85 % (11 из 13). В пилоте преимущественно участвовала команда; выборка мала.</w:t>
            </w:r>
          </w:p>
        </w:tc>
      </w:tr>
      <w:tr>
        <w:tblPrEx/>
        <w:trPr>
          <w:cantSplit/>
        </w:trPr>
        <w:tc>
          <w:tcPr>
            <w:tcW w:w="3402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Доля заявок с фотофиксацией устранения, %</w:t>
            </w:r>
          </w:p>
        </w:tc>
        <w:tc>
          <w:tcPr>
            <w:tcW w:w="153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w="170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  <w:tc>
          <w:tcPr>
            <w:tcW w:w="3005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67 % (4 из 6). В двух случаях был отчёт без фото. Цель 100 % по фотофиксации не достигнута.</w:t>
            </w:r>
          </w:p>
        </w:tc>
      </w:tr>
      <w:tr>
        <w:tblPrEx/>
        <w:trPr>
          <w:cantSplit/>
        </w:trPr>
        <w:tc>
          <w:tcPr>
            <w:tcW w:w="3402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Трудозатраты сотрудника на регистрацию одного сообщения и передачу исполнителю, минуты</w:t>
            </w:r>
          </w:p>
        </w:tc>
        <w:tc>
          <w:tcPr>
            <w:tcW w:w="153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w="170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не более  1</w:t>
            </w:r>
          </w:p>
        </w:tc>
        <w:tc>
          <w:tcPr>
            <w:tcW w:w="3005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0 мин участия сотрудника в регистрации и передаче: эти операции автоматизированы.</w:t>
            </w:r>
          </w:p>
        </w:tc>
      </w:tr>
      <w:tr>
        <w:tblPrEx/>
        <w:trPr>
          <w:cantSplit/>
        </w:trPr>
        <w:tc>
          <w:tcPr>
            <w:tcW w:w="3402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Средняя оценка жителем результата, шкала 1–5, баллы, шкала 1–5</w:t>
            </w:r>
          </w:p>
        </w:tc>
        <w:tc>
          <w:tcPr>
            <w:tcW w:w="153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не измерялась</w:t>
            </w:r>
          </w:p>
        </w:tc>
        <w:tc>
          <w:tcPr>
            <w:tcW w:w="1701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не менее  4,0</w:t>
            </w:r>
          </w:p>
        </w:tc>
        <w:tc>
          <w:tcPr>
            <w:tcW w:w="3005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5,0 (одна оценка жителя; не показатель массовой удовлетворённости).</w:t>
            </w:r>
          </w:p>
        </w:tc>
      </w:tr>
      <w:tr>
        <w:tblPrEx/>
        <w:trPr>
          <w:cantSplit/>
        </w:trPr>
        <w:tc>
          <w:tcPr>
            <w:tcW w:w="3402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  <w:ind w:left="0" w:right="0" w:firstLine="0"/>
              <w:shd w:val="clear" w:color="ffffff" w:fill="ffffff"/>
              <w:tabs>
                <w:tab w:val="left" w:pos="1058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Ожидаемая экономия средств от реализации проекта за год, тыс. рублей (при наличии)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gridSpan w:val="3"/>
            <w:tcW w:w="6236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Денежная оценка не определена. Расчётный эффект в трудозатратах — 476 ч/год (60 рабочих дней); это не сумма рублей.</w:t>
            </w:r>
          </w:p>
        </w:tc>
      </w:tr>
    </w:tbl>
    <w:p>
      <w:r>
        <w:rPr>
          <w:sz w:val="20"/>
        </w:rPr>
        <w:t>* 10–44 дня — оценочная модель прежнего процесса (точный минимум 10 дн. 2 ч. 55 мин.), не первичный замер всей цепочки. 1 ч 08 мин — конкретная заявка № 68; 7,5 дня — сумма медиан реакции и работы по УДС. Прямую сопоставимость всех случаев и измеренное сокращение каждого обращения не заявляем. Источник — слайд 8 и снимки панели 27.09.2026.</w:t>
      </w:r>
    </w:p>
    <w:p>
      <w:pPr>
        <w:pStyle w:val="837"/>
        <w:jc w:val="center"/>
        <w:spacing w:before="0" w:after="0" w:line="252" w:lineRule="auto"/>
        <w:keepNext/>
        <w:tabs>
          <w:tab w:val="left" w:pos="1058" w:leader="none"/>
        </w:tabs>
        <w:rPr>
          <w:sz w:val="28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Информация о реализации плана мероприятий по реализации проекта</w:t>
      </w:r>
      <w:r>
        <w:rPr>
          <w:rFonts w:ascii="Times New Roman" w:hAnsi="Times New Roman"/>
          <w:sz w:val="24"/>
          <w:szCs w:val="28"/>
        </w:rPr>
      </w:r>
      <w:r>
        <w:rPr>
          <w:rFonts w:ascii="Times New Roman" w:hAnsi="Times New Roman"/>
          <w:sz w:val="24"/>
          <w:szCs w:val="28"/>
        </w:rPr>
      </w:r>
    </w:p>
    <w:tbl>
      <w:tblPr>
        <w:jc w:val="center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  <w:tblW w:type="dxa" w:w="9638"/>
        <w:tblBorders>
          <w:top w:val="single" w:sz="4" w:color="606060"/>
          <w:left w:val="single" w:sz="4" w:color="606060"/>
          <w:bottom w:val="single" w:sz="4" w:color="606060"/>
          <w:right w:val="single" w:sz="4" w:color="606060"/>
          <w:insideH w:val="single" w:sz="4" w:color="606060"/>
          <w:insideV w:val="single" w:sz="4" w:color="606060"/>
        </w:tblBorders>
      </w:tblPr>
      <w:tblGrid>
        <w:gridCol w:w="510"/>
        <w:gridCol w:w="3742"/>
        <w:gridCol w:w="5386"/>
      </w:tblGrid>
      <w:tr>
        <w:tblPrEx/>
        <w:trPr>
          <w:cantSplit/>
          <w:tblHeader/>
        </w:trPr>
        <w:tc>
          <w:tcPr>
            <w:tcW w:w="510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№ п/п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w="3742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Наименование мероприятия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w="5386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  <w:shd w:fill="EAEAEA"/>
          </w:tcPr>
          <w:p>
            <w:pPr>
              <w:spacing w:after="60" w:line="252" w:lineRule="auto"/>
              <w:ind w:left="0" w:right="0" w:firstLine="0"/>
              <w:jc w:val="center"/>
              <w:keepNext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b/>
                <w:color w:val="000000"/>
                <w:sz w:val="20"/>
              </w:rPr>
              <w:t xml:space="preserve">Результат мероприятия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blPrEx/>
        <w:trPr>
          <w:cantSplit/>
        </w:trPr>
        <w:tc>
          <w:tcPr>
            <w:tcW w:w="510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3742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Инициативные группы граждан: получают роль в сервисе и подают заявки по итогам обхода территории</w:t>
            </w:r>
          </w:p>
        </w:tc>
        <w:tc>
          <w:tcPr>
            <w:tcW w:w="5386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Проблема попадает в работу до обращения жителя; ресурс активных жителей включён в процесс</w:t>
            </w:r>
          </w:p>
        </w:tc>
      </w:tr>
      <w:tr>
        <w:tblPrEx/>
        <w:trPr>
          <w:cantSplit/>
        </w:trPr>
        <w:tc>
          <w:tcPr>
            <w:tcW w:w="510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3742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Единый цифровой канал приёма в мессенджере MAX</w:t>
            </w:r>
          </w:p>
        </w:tc>
        <w:tc>
          <w:tcPr>
            <w:tcW w:w="5386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Регистрация без участия сотрудника, время регистрации — секунды</w:t>
            </w:r>
          </w:p>
        </w:tc>
      </w:tr>
      <w:tr>
        <w:tblPrEx/>
        <w:trPr>
          <w:cantSplit/>
        </w:trPr>
        <w:tc>
          <w:tcPr>
            <w:tcW w:w="510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3742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ИИ-классификация обращения, каскад геопривязки, слова-подсказки категорий</w:t>
            </w:r>
          </w:p>
        </w:tc>
        <w:tc>
          <w:tcPr>
            <w:tcW w:w="5386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Категория, адрес и срочность определяются автоматически</w:t>
            </w:r>
          </w:p>
        </w:tc>
      </w:tr>
      <w:tr>
        <w:tblPrEx/>
        <w:trPr>
          <w:cantSplit/>
        </w:trPr>
        <w:tc>
          <w:tcPr>
            <w:tcW w:w="510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3742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Маршрутизация по цепочкам ответственных, SLA-таймеры, ступенчатая эскалация</w:t>
            </w:r>
          </w:p>
        </w:tc>
        <w:tc>
          <w:tcPr>
            <w:tcW w:w="5386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Доведение до исполнителя без ручной передачи и без резолюции; срок на каждой заявке, просрочка поднимается заместителю, затем Главе — сокращение времени протекания процесса</w:t>
            </w:r>
          </w:p>
        </w:tc>
      </w:tr>
      <w:tr>
        <w:tblPrEx/>
        <w:trPr>
          <w:cantSplit/>
        </w:trPr>
        <w:tc>
          <w:tcPr>
            <w:tcW w:w="510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3742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Дедупликация по координатам и нормализованному адресу</w:t>
            </w:r>
          </w:p>
        </w:tc>
        <w:tc>
          <w:tcPr>
            <w:tcW w:w="5386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Обращения об одной проблеме склеиваются автоматически</w:t>
            </w:r>
          </w:p>
        </w:tc>
      </w:tr>
      <w:tr>
        <w:tblPrEx/>
        <w:trPr>
          <w:cantSplit/>
        </w:trPr>
        <w:tc>
          <w:tcPr>
            <w:tcW w:w="510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w="3742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Доказательное закрытие с фотоматериалом, уведомление автора, оценка 1–5</w:t>
            </w:r>
          </w:p>
        </w:tc>
        <w:tc>
          <w:tcPr>
            <w:tcW w:w="5386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Оценка ≤ 2 автоматически возвращает заявку в работу. Фотофиксация — 67 % (4 из 6), допускается фото или отчёт; результат по целевой доле фото не достигнут полностью.</w:t>
            </w:r>
          </w:p>
        </w:tc>
      </w:tr>
      <w:tr>
        <w:tblPrEx/>
        <w:trPr>
          <w:cantSplit/>
        </w:trPr>
        <w:tc>
          <w:tcPr>
            <w:gridSpan w:val="2"/>
            <w:tcW w:w="4252" w:type="dxa"/>
            <w:vAlign w:val="top"/>
            <w:noWrap w:val="false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  <w:ind w:left="0" w:right="0" w:firstLine="0"/>
              <w:jc w:val="both"/>
              <w:shd w:val="clear" w:color="ffffff" w:fill="ffffff"/>
              <w:tabs>
                <w:tab w:val="left" w:pos="1058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Процент выполнения плана мероприятий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 реализации проекта</w:t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386" w:type="dxa"/>
            <w:noWrap w:val="false"/>
            <w:vAlign w:val="top"/>
            <w:textDirection w:val="lrTb"/>
            <w:tcBorders>
              <w:top w:val="single" w:sz="4" w:color="606060"/>
              <w:left w:val="single" w:sz="4" w:color="606060"/>
              <w:bottom w:val="single" w:sz="4" w:color="606060"/>
              <w:right w:val="single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100 % — выполнены 6 из 6 мероприятий. Подтверждено руководителем проекта. Процент выполнения мероприятий не означает достижения всех целевых значений показателей.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W w:type="dxa" w:w="9638"/>
        <w:tblBorders>
          <w:top w:val="nil" w:sz="4" w:color="606060"/>
          <w:left w:val="nil" w:sz="4" w:color="606060"/>
          <w:bottom w:val="nil" w:sz="4" w:color="606060"/>
          <w:right w:val="nil" w:sz="4" w:color="606060"/>
          <w:insideH w:val="nil" w:sz="4" w:color="606060"/>
          <w:insideV w:val="nil" w:sz="4" w:color="606060"/>
        </w:tblBorders>
      </w:tblPr>
      <w:tblGrid>
        <w:gridCol w:w="4932"/>
        <w:gridCol w:w="4706"/>
      </w:tblGrid>
      <w:tr>
        <w:trPr>
          <w:cantSplit/>
        </w:trPr>
        <w:tc>
          <w:tcPr>
            <w:tcW w:type="dxa" w:w="4932"/>
            <w:vAlign w:val="top"/>
            <w:textDirection w:val="lrTb"/>
            <w:tcBorders>
              <w:top w:val="nil" w:sz="4" w:color="606060"/>
              <w:left w:val="nil" w:sz="4" w:color="606060"/>
              <w:bottom w:val="nil" w:sz="4" w:color="606060"/>
              <w:right w:val="nil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/>
                <w:sz w:val="22"/>
              </w:rPr>
              <w:t>Руководитель проекта</w:t>
            </w:r>
          </w:p>
        </w:tc>
        <w:tc>
          <w:tcPr>
            <w:tcW w:type="dxa" w:w="4706"/>
            <w:vAlign w:val="top"/>
            <w:textDirection w:val="lrTb"/>
            <w:tcBorders>
              <w:top w:val="nil" w:sz="4" w:color="606060"/>
              <w:left w:val="nil" w:sz="4" w:color="606060"/>
              <w:bottom w:val="nil" w:sz="4" w:color="606060"/>
              <w:right w:val="nil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Уваров Геннадий Геннадьевич</w:t>
              <w:br/>
              <w:br/>
              <w:t>________________ / подпись /</w:t>
            </w:r>
          </w:p>
        </w:tc>
      </w:tr>
      <w:tr>
        <w:trPr>
          <w:cantSplit/>
        </w:trPr>
        <w:tc>
          <w:tcPr>
            <w:tcW w:type="dxa" w:w="4932"/>
            <w:vAlign w:val="top"/>
            <w:textDirection w:val="lrTb"/>
            <w:tcBorders>
              <w:top w:val="nil" w:sz="4" w:color="606060"/>
              <w:left w:val="nil" w:sz="4" w:color="606060"/>
              <w:bottom w:val="nil" w:sz="4" w:color="606060"/>
              <w:right w:val="nil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/>
                <w:sz w:val="22"/>
              </w:rPr>
              <w:t>Глава Благовещенского муниципального округа</w:t>
            </w:r>
          </w:p>
        </w:tc>
        <w:tc>
          <w:tcPr>
            <w:tcW w:type="dxa" w:w="4706"/>
            <w:vAlign w:val="top"/>
            <w:textDirection w:val="lrTb"/>
            <w:tcBorders>
              <w:top w:val="nil" w:sz="4" w:color="606060"/>
              <w:left w:val="nil" w:sz="4" w:color="606060"/>
              <w:bottom w:val="nil" w:sz="4" w:color="606060"/>
              <w:right w:val="nil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Башун Александр Александрович</w:t>
              <w:br/>
              <w:br/>
              <w:t>________________ / подпись /</w:t>
            </w:r>
          </w:p>
        </w:tc>
      </w:tr>
      <w:tr>
        <w:trPr>
          <w:cantSplit/>
        </w:trPr>
        <w:tc>
          <w:tcPr>
            <w:tcW w:type="dxa" w:w="4932"/>
            <w:vAlign w:val="top"/>
            <w:textDirection w:val="lrTb"/>
            <w:tcBorders>
              <w:top w:val="nil" w:sz="4" w:color="606060"/>
              <w:left w:val="nil" w:sz="4" w:color="606060"/>
              <w:bottom w:val="nil" w:sz="4" w:color="606060"/>
              <w:right w:val="nil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/>
                <w:sz w:val="22"/>
              </w:rPr>
              <w:t>Куратор проекта</w:t>
            </w:r>
          </w:p>
        </w:tc>
        <w:tc>
          <w:tcPr>
            <w:tcW w:type="dxa" w:w="4706"/>
            <w:vAlign w:val="top"/>
            <w:textDirection w:val="lrTb"/>
            <w:tcBorders>
              <w:top w:val="nil" w:sz="4" w:color="606060"/>
              <w:left w:val="nil" w:sz="4" w:color="606060"/>
              <w:bottom w:val="nil" w:sz="4" w:color="606060"/>
              <w:right w:val="nil" w:sz="4" w:color="606060"/>
            </w:tcBorders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b w:val="0"/>
                <w:sz w:val="22"/>
              </w:rPr>
              <w:t>Ключников Александр Юрьевич</w:t>
              <w:br/>
              <w:br/>
              <w:t>________________ / подпись /</w:t>
            </w:r>
          </w:p>
        </w:tc>
      </w:tr>
    </w:tbl>
    <w:sectPr>
      <w:footnotePr/>
      <w:endnotePr/>
      <w:type w:val="nextPage"/>
      <w:pgSz w:w="11906" w:h="16838"/>
      <w:pgMar w:top="907" w:right="1134" w:bottom="907" w:left="1134" w:header="397" w:footer="397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2"/>
    <w:next w:val="832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3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2"/>
    <w:next w:val="832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3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2"/>
    <w:next w:val="832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3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3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3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3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3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3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3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2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3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pPr>
      <w:spacing w:after="10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character" w:styleId="836" w:customStyle="1">
    <w:name w:val="Основной текст Знак"/>
    <w:link w:val="837"/>
    <w:rPr>
      <w:sz w:val="27"/>
      <w:szCs w:val="27"/>
      <w:shd w:val="clear" w:color="auto" w:fill="ffffff"/>
    </w:rPr>
  </w:style>
  <w:style w:type="paragraph" w:styleId="837">
    <w:name w:val="Body Text"/>
    <w:basedOn w:val="832"/>
    <w:link w:val="836"/>
    <w:pPr>
      <w:spacing w:before="420" w:after="720" w:line="322" w:lineRule="exact"/>
      <w:shd w:val="clear" w:color="auto" w:fill="ffffff"/>
    </w:pPr>
    <w:rPr>
      <w:rFonts w:asciiTheme="minorHAnsi" w:hAnsiTheme="minorHAnsi" w:eastAsiaTheme="minorHAnsi" w:cstheme="minorBidi"/>
      <w:sz w:val="27"/>
      <w:szCs w:val="27"/>
      <w:lang w:eastAsia="en-US"/>
    </w:rPr>
  </w:style>
  <w:style w:type="character" w:styleId="838" w:customStyle="1">
    <w:name w:val="Основной текст Знак1"/>
    <w:basedOn w:val="833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ustomXml" Target="../customXml/item1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43305-1EA2-41CB-9320-D5BDE5A21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adelina.aksenova</dc:creator>
  <cp:keywords/>
  <dc:description/>
  <cp:lastModifiedBy>Отдел ПУ и ОР МПК АО</cp:lastModifiedBy>
  <cp:revision>10</cp:revision>
  <dcterms:created xsi:type="dcterms:W3CDTF">2024-09-24T00:57:00Z</dcterms:created>
  <dcterms:modified xsi:type="dcterms:W3CDTF">2026-09-23T05:52:59Z</dcterms:modified>
</cp:coreProperties>
</file>