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Канала для передачи сообщений от инициативных групп граждан в администрацию не предусмотрено. Сообщения поступают по четырём каналам: личный приём, письменные заявления, социальные сети, платформа обратной связи. Весь объём поступающих обращений вручную распределяет Глава округа: ответственного заместителя по каждому обращению определяет лично он. Срок рассмотрения — 30 календарных дней, единый для обращений любой сложности (Федеральный закон № 59-ФЗ). Распределение проблем по объектам возникновения не ведётся: сколько обращений приходится на один адрес или участок, из учёта не видно. Связь с заявителем ограничена письменным ответом по итогам рассмотрения; о ходе работы он не информируется. Повторные обращения об одном объекте не выявляются.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весь объём обращений распределяет вручную Глава округа; распределение проблем по объектам возникновения не ведётся;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устранение проблемы начинается после обращения жителя; весь объём обращений распределяет вручную Глава округа; срок рассмотрения не зависит от сложности обращения; повторные обращения об одном объекте учитываются и исполняются как отдельные.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ЖКХ, шт./мес.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устранения, календ.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44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фотофиксацией устранения,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