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Время протекания процесса от возникновения проблемы до подтверждённого устранения — </w:t>
            </w:r>
            <w:r>
              <w:rPr>
                <w:color w:val="C00000"/>
                <w:b/>
                <w:sz w:val="24"/>
                <w:szCs w:val="24"/>
              </w:rPr>
              <w:t xml:space="preserve">от 10 до 44 календарных дней; из них до 14 дней проблема не выявлена — экспертная оценка, подтверждается опросом исполнителей и хронометражем</w:t>
            </w:r>
            <w:r>
              <w:rPr>
                <w:sz w:val="24"/>
                <w:szCs w:val="24"/>
              </w:rPr>
              <w:t xml:space="preserve">.</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памятки по ролям применяются; </w:t>
            </w:r>
            <w:r>
              <w:rPr>
                <w:color w:val="C00000"/>
                <w:b/>
                <w:sz w:val="24"/>
                <w:szCs w:val="24"/>
              </w:rPr>
              <w:t xml:space="preserve">регламент процесса разрабатывается, утверждается приказом до 29.09.2026</w:t>
            </w:r>
            <w:r>
              <w:rPr>
                <w:sz w:val="24"/>
                <w:szCs w:val="24"/>
              </w:rPr>
              <w:t xml:space="preserve">.</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Количественные результаты уточняются по итогам мониторинга достигнутых результатов 24–25.09.2026.</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w:t>
            </w:r>
            <w:r>
              <w:rPr>
                <w:color w:val="C00000"/>
                <w:b/>
                <w:sz w:val="24"/>
                <w:szCs w:val="24"/>
              </w:rPr>
              <w:t xml:space="preserve">уточняется по данным системы документооборота</w:t>
            </w:r>
            <w:r>
              <w:rPr>
                <w:sz w:val="24"/>
                <w:szCs w:val="24"/>
              </w:rPr>
              <w:t xml:space="preserve">.</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заявок с фотофиксацией устранения: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