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pic="http://schemas.openxmlformats.org/drawingml/2006/picture" mc:Ignorable="w14 w15 wp14">
  <w:body>
    <w:p>
      <w:pPr>
        <w:ind w:left="-1440" w:right="15398"/>
        <w:spacing w:after="565"/>
      </w:pP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361950</wp:posOffset>
                </wp:positionH>
                <wp:positionV relativeFrom="page">
                  <wp:posOffset>219075</wp:posOffset>
                </wp:positionV>
                <wp:extent cx="10076688" cy="589788"/>
                <wp:effectExtent l="0" t="0" r="77470" b="1270"/>
                <wp:wrapNone/>
                <wp:docPr id="1" name="Group 29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076688" cy="589788"/>
                          <a:chOff x="0" y="0"/>
                          <a:chExt cx="10076688" cy="589788"/>
                        </a:xfrm>
                      </wpg:grpSpPr>
                      <pic:pic>
                        <pic:nvPicPr>
                          <pic:cNvPr id="8" name="Picture 8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0"/>
                            <a:ext cx="1542288" cy="428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"/>
                        <wps:cNvSpPr/>
                        <wps:spPr bwMode="auto">
                          <a:xfrm>
                            <a:off x="0" y="571500"/>
                            <a:ext cx="100766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6688" h="18288" fill="norm" stroke="1" extrusionOk="0">
                                <a:moveTo>
                                  <a:pt x="0" y="0"/>
                                </a:moveTo>
                                <a:lnTo>
                                  <a:pt x="10076688" y="0"/>
                                </a:lnTo>
                                <a:lnTo>
                                  <a:pt x="100766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99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6838188" y="533400"/>
                            <a:ext cx="32385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0" h="56388" fill="norm" stroke="1" extrusionOk="0">
                                <a:moveTo>
                                  <a:pt x="0" y="0"/>
                                </a:moveTo>
                                <a:lnTo>
                                  <a:pt x="3238500" y="0"/>
                                </a:lnTo>
                                <a:lnTo>
                                  <a:pt x="32385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6699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>
                            <a:off x="7548372" y="138075"/>
                            <a:ext cx="3240240" cy="378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b/>
                                  <w:sz w:val="44"/>
                                </w:rPr>
                                <w:t xml:space="preserve">КАРТОЧКА ПРОЕКТА</w:t>
                              </w:r>
                              <w:r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251658240;o:allowoverlap:true;o:allowincell:true;mso-position-horizontal-relative:page;margin-left:28.50pt;mso-position-horizontal:absolute;mso-position-vertical-relative:page;margin-top:17.25pt;mso-position-vertical:absolute;width:793.44pt;height:46.44pt;mso-wrap-distance-left:9.00pt;mso-wrap-distance-top:0.00pt;mso-wrap-distance-right:9.00pt;mso-wrap-distance-bottom:0.00pt;" coordorigin="0,0" coordsize="100766,5897">
                <v:shapetype type="#_x0000_t75" o:spt="75" coordsize="21600,21600" o:preferrelative="t" path="m@4@5l@4@11@9@11@9@5xe"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</v:shapetype>
                <v:shape id="_x0000_i1" o:spid="_x0000_s1" type="#_x0000_t75" style="position:absolute;left:0;top:0;width:15422;height:4282;" stroked="false">
                  <v:path textboxrect="0,0,0,0"/>
                  <v:imagedata r:id="rId9" o:title=""/>
                </v:shape>
                <v:shape id="shape 2" o:spid="_x0000_s2" style="position:absolute;left:0;top:5715;width:100766;height:182;visibility:visible;" path="m0,0l99998,0l99998,99998l0,99998l0,0e" coordsize="100000,100000" fillcolor="#000000" strokeweight="0.00pt">
                  <v:path textboxrect="0,0,0,0"/>
                </v:shape>
                <v:shape id="shape 3" o:spid="_x0000_s3" style="position:absolute;left:68381;top:5334;width:32385;height:563;visibility:visible;" path="m0,0l100000,0l100000,100000l0,100000l0,0e" coordsize="100000,100000" fillcolor="#000000" strokeweight="0.00pt">
                  <v:path textboxrect="0,0,0,0"/>
                </v:shape>
                <v:shape id="shape 4" o:spid="_x0000_s4" o:spt="1" type="#_x0000_t1" style="position:absolute;left:75483;top:1380;width:32402;height:3782;visibility:visible;" filled="f" stroked="f">
                  <v:textbox inset="0,0,0,0">
                    <w:txbxContent>
                      <w:p>
                        <w:r>
                          <w:rPr>
                            <w:b/>
                            <w:sz w:val="44"/>
                          </w:rPr>
                          <w:t xml:space="preserve">КАРТОЧКА ПРОЕКТА</w:t>
                        </w:r>
                        <w:r/>
                      </w:p>
                    </w:txbxContent>
                  </v:textbox>
                </v:shape>
              </v:group>
            </w:pict>
          </mc:Fallback>
        </mc:AlternateContent>
      </w:r>
      <w:r/>
    </w:p>
    <w:tbl>
      <w:tblPr>
        <w:tblStyle w:val="835"/>
        <w:tblpPr w:horzAnchor="text" w:tblpXSpec="center" w:vertAnchor="text" w:tblpY="1" w:leftFromText="180" w:topFromText="0" w:rightFromText="180" w:bottomFromText="0"/>
        <w:tblW w:w="15593" w:type="dxa"/>
        <w:jc w:val="center"/>
        <w:tblInd w:w="0" w:type="dxa"/>
        <w:tblCellMar>
          <w:left w:w="284" w:type="dxa"/>
          <w:top w:w="0" w:type="dxa"/>
          <w:right w:w="271" w:type="dxa"/>
          <w:bottom w:w="0" w:type="dxa"/>
        </w:tblCellMar>
        <w:tblLook w:val="04A0" w:firstRow="1" w:lastRow="0" w:firstColumn="1" w:lastColumn="0" w:noHBand="0" w:noVBand="1"/>
      </w:tblPr>
      <w:tblGrid>
        <w:gridCol w:w="7715"/>
        <w:gridCol w:w="7989"/>
      </w:tblGrid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144"/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16"/>
                <w:highlight w:val="none"/>
                <w:szCs w:val="16"/>
              </w:rPr>
            </w:r>
            <w:r>
              <w:rPr>
                <w:b/>
                <w:sz w:val="16"/>
                <w:highlight w:val="none"/>
                <w:szCs w:val="16"/>
              </w:rPr>
              <w:t xml:space="preserve">Название проекта бережливого управления (далее – проект):</w:t>
            </w:r>
            <w:r>
              <w:rPr>
                <w:b/>
                <w:sz w:val="16"/>
                <w:highlight w:val="none"/>
                <w:szCs w:val="16"/>
              </w:rPr>
            </w:r>
            <w:r>
              <w:rPr>
                <w:b/>
                <w:sz w:val="16"/>
                <w:highlight w:val="none"/>
                <w:szCs w:val="16"/>
              </w:rPr>
            </w:r>
            <w:r>
              <w:rPr>
                <w:b/>
                <w:sz w:val="16"/>
                <w:highlight w:val="none"/>
                <w:szCs w:val="16"/>
              </w:rPr>
              <w:t xml:space="preserve"> «Оптимизация процесса устранения проблем благоустройства и содержания территории Благовещенского муниципального округа за счёт перехода от реагирования на обращения к их плановому выявлению и контролю результата»</w:t>
            </w:r>
          </w:p>
          <w:p>
            <w:pPr>
              <w:ind w:left="144"/>
              <w:spacing w:after="0"/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ind w:left="144"/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</w:rPr>
              <w:t xml:space="preserve">1. Вовлеченные лица и рамки проекта</w:t>
            </w:r>
            <w:r/>
          </w:p>
        </w:tc>
        <w:tc>
          <w:tcPr>
            <w:tcBorders>
              <w:top w:val="none" w:color="000000" w:sz="4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textDirection w:val="lrTb"/>
            <w:noWrap w:val="false"/>
          </w:tcPr>
          <w:p>
            <w:pPr>
              <w:spacing w:after="0"/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  <w:highlight w:val="none"/>
              </w:rPr>
            </w:r>
            <w:r>
              <w:rPr>
                <w:b/>
                <w:sz w:val="24"/>
                <w:highlight w:val="none"/>
              </w:rPr>
            </w:r>
          </w:p>
          <w:p>
            <w:pPr>
              <w:spacing w:after="0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sz w:val="24"/>
              </w:rPr>
              <w:t xml:space="preserve">2. Обоснование выбора</w:t>
            </w:r>
            <w:r/>
          </w:p>
        </w:tc>
      </w:tr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single" w:color="777777" w:sz="8" w:space="0"/>
              <w:right w:val="single" w:color="777777" w:sz="8" w:space="0"/>
            </w:tcBorders>
            <w:tcW w:w="7955" w:type="dxa"/>
            <w:textDirection w:val="lrTb"/>
            <w:noWrap w:val="false"/>
            <w:vAlign w:val="top"/>
          </w:tcPr>
          <w:p>
            <w:pPr>
              <w:ind w:left="144" w:right="0" w:firstLine="0"/>
              <w:spacing w:before="0" w:after="40" w:line="200" w:lineRule="auto"/>
              <w:rPr>
                <w:rFonts w:ascii="Calibri" w:hAnsi="Calibri" w:eastAsia="Calibri" w:cs="Calibri"/>
                <w:b/>
                <w:bCs/>
                <w:color w:val="000000"/>
                <w:sz w:val="18"/>
                <w:szCs w:val="18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Заказчики процесса: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Администрация Благовещенского муниципального округа.</w:t>
            </w:r>
          </w:p>
          <w:p>
            <w:pPr>
              <w:ind w:left="144" w:right="0" w:firstLine="0"/>
              <w:spacing w:before="0" w:after="40" w:line="20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Границы проекта: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от возникновения проблемы содержания территории округа — до подтверждённого устранения проблемы и оценки результата жителем.</w:t>
            </w:r>
          </w:p>
          <w:p>
            <w:pPr>
              <w:ind w:left="144" w:right="0" w:firstLine="0"/>
              <w:spacing w:before="0" w:after="40" w:line="20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Периметр проекта: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администрация Благовещенского муниципального округа: инициативные группы граждан, выявляющие проблемы на территории; подразделение приёма сообщений; три направления (УДС, Благоустройство, ЖКХ) и подразделения-исполнители; Глава округа — контроль сроков и эскалация. Охват — 27 населённых пунктов.</w:t>
            </w:r>
          </w:p>
          <w:p>
            <w:pPr>
              <w:ind w:left="144" w:right="0" w:firstLine="0"/>
              <w:spacing w:before="0" w:after="40" w:line="20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Владелец процесса: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Башун Александр Александрович — глава Благовещенского муниципального округа.</w:t>
            </w:r>
          </w:p>
          <w:p>
            <w:pPr>
              <w:ind w:left="144" w:right="0" w:firstLine="0"/>
              <w:jc w:val="left"/>
              <w:spacing w:before="0" w:after="40" w:line="20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Руководитель проекта: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Уваров Геннадий Геннадьевич — начальник отдела информационного обслуживания Финансового управления администрации Благовещенского округа.</w:t>
            </w:r>
          </w:p>
          <w:p>
            <w:pPr>
              <w:ind w:left="144" w:right="0" w:firstLine="0"/>
              <w:jc w:val="left"/>
              <w:spacing w:before="0" w:after="40" w:line="200" w:lineRule="auto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Команда проекта: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«Лидеры перемен», 5 человек: Уваров Г.Г. — капитан; Вихрова Анастасия Васильевна — директор МБУ «Информационный центр Благовещенского муниципального округа»; Воронцова Дарья Сергеевна — начальник отдела по благоустройству управления жилищно-коммунального хозяйства; Комчадалова Анна Александровна — начальник управления архитектуры и градостроительства; Степаненко Анна Олеговна — советник главы администрации округа.</w:t>
            </w:r>
          </w:p>
        </w:tc>
        <w:tc>
          <w:tcPr>
            <w:tcBorders>
              <w:top w:val="none" w:color="000000" w:sz="4" w:space="0"/>
              <w:left w:val="single" w:color="777777" w:sz="8" w:space="0"/>
              <w:bottom w:val="single" w:color="777777" w:sz="8" w:space="0"/>
              <w:right w:val="none" w:color="000000" w:sz="4" w:space="0"/>
            </w:tcBorders>
            <w:tcW w:w="7638" w:type="dxa"/>
            <w:textDirection w:val="lrTb"/>
            <w:noWrap w:val="false"/>
            <w:vAlign w:val="top"/>
          </w:tcPr>
          <w:tbl>
            <w:tblPr>
              <w:tblStyle w:val="835"/>
              <w:tblW w:w="0" w:type="auto"/>
              <w:tblInd w:w="-203" w:type="dxa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94"/>
            </w:tblGrid>
            <w:tr>
              <w:tblPrEx/>
              <w:trPr/>
              <w:tc>
                <w:tcPr>
                  <w:tcBorders>
                    <w:top w:val="none" w:color="000000" w:sz="4" w:space="0"/>
                    <w:left w:val="none" w:color="000000" w:sz="4" w:space="0"/>
                    <w:bottom w:val="none" w:color="000000" w:sz="4" w:space="0"/>
                    <w:right w:val="none" w:color="000000" w:sz="4" w:space="0"/>
                  </w:tcBorders>
                  <w:tcMar>
                    <w:left w:w="180" w:type="dxa"/>
                    <w:top w:w="0" w:type="dxa"/>
                    <w:right w:w="180" w:type="dxa"/>
                    <w:bottom w:w="0" w:type="dxa"/>
                  </w:tcMar>
                  <w:tcW w:w="4394" w:type="dxa"/>
                  <w:vAlign w:val="top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4"/>
                      <w:szCs w:val="14"/>
                    </w:rPr>
                    <w:t xml:space="preserve">Описание проблемы: </w:t>
                  </w:r>
                  <w:r>
                    <w:rPr>
                      <w:sz w:val="14"/>
                      <w:szCs w:val="14"/>
                    </w:rPr>
                  </w:r>
                  <w:r>
                    <w:rPr>
                      <w:sz w:val="14"/>
                      <w:szCs w:val="14"/>
                    </w:rPr>
                    <w:t xml:space="preserve"> Плановое выявление проблем содержания территории не ведётся: проблема попадает в работу после обращения жителя. Канала для передачи сообщений от инициативных групп граждан в администрацию не предусмотрено. Сообщения поступают по четырём каналам: личный приём, письменные заявления, социальные сети, платформа обратной связи. Весь объём поступающих обращений вручную распределяет Глава округа: ответственного заместителя по каждому обращению определяет лично он. Срок рассмотрения — 30 календарных дней, единый для обращений любой сложности (Федеральный закон № 59-ФЗ). Распределение проблем по объектам возникновения не ведётся: сколько обращений приходится на один адрес или участок, из учёта не видно. Связь с заявителем ограничена письменным ответом по итогам рассмотрения; о ходе работы он не информируется. Повторные обращения об одном объекте не выявляются.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4"/>
                      <w:szCs w:val="14"/>
                    </w:rPr>
                    <w:t xml:space="preserve">Источник проблематики: инцидент-менеджмент — массовые обращения граждан о состоянии территории округа.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4"/>
                      <w:szCs w:val="14"/>
                    </w:rPr>
                    <w:t xml:space="preserve">Влияние на цели и задачи: содержание территории округа; показатели работы с обращениями граждан; клиентоцентричность — федеральный проект «Государство для людей».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4"/>
                      <w:szCs w:val="14"/>
                    </w:rPr>
                    <w:t xml:space="preserve">Масштаб процесса: сквозной, кросс-функциональный — выявление проблем на территории, приём сообщений, три направления, подразделения-исполнители, Глава округа.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4"/>
                      <w:szCs w:val="14"/>
                    </w:rPr>
                    <w:t xml:space="preserve">Трудоёмкость процесса: 15 минут рабочего времени сотрудника на приём, регистрацию одного сообщения и передачу его исполнителю.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/>
                      <w:sz w:val="14"/>
                      <w:szCs w:val="14"/>
                    </w:rPr>
                    <w:t xml:space="preserve">Причины неудовлетворённости заказчиков процесса: выявление проблемы начинается с обращения жителя; весь объём обращений распределяет вручную Глава округа; распределение проблем по объектам возникновения не ведётся; повторные обращения об одном объекте исполняются отдельно.</w:t>
                  </w:r>
                </w:p>
                <w:p>
                  <w:pPr>
                    <w:ind w:left="0" w:right="0" w:firstLine="0"/>
                    <w:spacing w:after="40" w:before="0" w:line="200" w:lineRule="auto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/>
                      <w:sz w:val="14"/>
                      <w:szCs w:val="14"/>
                    </w:rPr>
                    <w:t xml:space="preserve"> </w:t>
                  </w:r>
                  <w:r>
                    <w:rPr>
                      <w:sz w:val="14"/>
                      <w:szCs w:val="14"/>
                    </w:rPr>
                  </w:r>
                </w:p>
              </w:tc>
            </w:tr>
          </w:tbl>
          <w:p>
            <w:pPr>
              <w:spacing w:after="40" w:before="0" w:line="200" w:lineRule="auto"/>
              <w:rPr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14"/>
                <w:szCs w:val="14"/>
              </w:rPr>
              <w:t xml:space="preserve">Ключевой риск: </w:t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  <w:t xml:space="preserve"> устранение проблемы начинается после обращения жителя; весь объём обращений распределяет вручную Глава округа; срок рассмотрения не зависит от сложности обращения; повторные обращения об одном объекте учитываются и исполняются как отдельные.</w:t>
            </w:r>
          </w:p>
        </w:tc>
      </w:tr>
      <w:tr>
        <w:tblPrEx/>
        <w:trPr>
          <w:jc w:val="center"/>
        </w:trPr>
        <w:tc>
          <w:tcPr>
            <w:tcBorders>
              <w:top w:val="single" w:color="777777" w:sz="8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</w:tcPr>
          <w:p>
            <w:pPr>
              <w:ind w:left="144" w:right="2414"/>
              <w:spacing w:after="0"/>
            </w:pPr>
            <w:r>
              <w:rPr>
                <w:b/>
                <w:sz w:val="24"/>
              </w:rPr>
              <w:t xml:space="preserve">3. Цели и </w:t>
            </w:r>
            <w:r>
              <w:rPr>
                <w:b/>
                <w:sz w:val="24"/>
              </w:rPr>
              <w:t xml:space="preserve">плановый эффект</w:t>
            </w:r>
            <w:r/>
          </w:p>
        </w:tc>
        <w:tc>
          <w:tcPr>
            <w:tcBorders>
              <w:top w:val="single" w:color="777777" w:sz="8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vAlign w:val="center"/>
            <w:textDirection w:val="lrTb"/>
            <w:noWrap w:val="false"/>
          </w:tcPr>
          <w:p>
            <w:pPr>
              <w:spacing w:after="0"/>
            </w:pPr>
            <w:r>
              <w:rPr>
                <w:b/>
                <w:sz w:val="24"/>
              </w:rPr>
              <w:t xml:space="preserve">4. Ключевые события проекта</w:t>
            </w:r>
            <w:r/>
          </w:p>
        </w:tc>
      </w:tr>
      <w:tr>
        <w:tblPrEx/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777777" w:sz="8" w:space="0"/>
            </w:tcBorders>
            <w:tcW w:w="7955" w:type="dxa"/>
            <w:textDirection w:val="lrTb"/>
            <w:noWrap w:val="false"/>
            <w:vAlign w:val="top"/>
          </w:tcPr>
          <w:p>
            <w:pPr>
              <w:ind w:left="-570" w:right="0"/>
              <w:spacing w:after="0" w:before="0" w:line="180" w:lineRule="auto"/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  <w:tbl>
            <w:tblPr>
              <w:tblStyle w:val="835"/>
              <w:tblW w:w="7228" w:type="dxa"/>
              <w:tblInd w:w="0" w:type="dxa"/>
              <w:tblLayout w:type="fixed"/>
              <w:tblCellMar>
                <w:left w:w="120" w:type="dxa"/>
                <w:top w:w="20" w:type="dxa"/>
                <w:right w:w="115" w:type="dxa"/>
                <w:bottom w:w="20" w:type="dxa"/>
              </w:tblCellMar>
              <w:tblLook w:val="04A0" w:firstRow="1" w:lastRow="0" w:firstColumn="1" w:lastColumn="0" w:noHBand="0" w:noVBand="1"/>
            </w:tblPr>
            <w:tblGrid>
              <w:gridCol w:w="4300"/>
              <w:gridCol w:w="1300"/>
              <w:gridCol w:w="1628"/>
            </w:tblGrid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b/>
                      <w:sz w:val="14"/>
                      <w:szCs w:val="14"/>
                    </w:rPr>
                    <w:t xml:space="preserve">Показатель</w:t>
                  </w:r>
                  <w:r>
                    <w:rPr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b/>
                      <w:sz w:val="14"/>
                      <w:szCs w:val="14"/>
                    </w:rPr>
                    <w:t xml:space="preserve">База</w:t>
                  </w:r>
                  <w:r>
                    <w:rPr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b/>
                      <w:sz w:val="14"/>
                      <w:szCs w:val="14"/>
                    </w:rPr>
                    <w:t xml:space="preserve">Цель</w:t>
                  </w:r>
                  <w:r>
                    <w:rPr>
                      <w:sz w:val="14"/>
                      <w:szCs w:val="14"/>
                    </w:rPr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Количество обращений граждан по благоустройству и ЖКХ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снижение не менее 30 %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Время протекания процесса: от возникновения проблемы до подтверждённого устранения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10 — 44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сокращение не менее 50 %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Доля проблем, выявленных до обращения жителя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не менее 50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Доля заявок с фотофиксацией устранения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100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Трудозатраты сотрудника на регистрацию одного сообщения и передачу исполнителю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15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не более 1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Доля заявок с установленным сроком исполнения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100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Доля заявок, исполненных в установленный срок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не менее 90</w:t>
                  </w:r>
                </w:p>
              </w:tc>
            </w:tr>
            <w:tr>
              <w:tblPrEx/>
              <w:trPr>
                <w:trHeight w:val="336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300" w:type="dxa"/>
                  <w:textDirection w:val="lrTb"/>
                  <w:noWrap w:val="false"/>
                </w:tcPr>
                <w:p>
                  <w:pPr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Средняя оценка жителем результата, шкала 1–5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300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не измерялась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628" w:type="dxa"/>
                  <w:textDirection w:val="lrTb"/>
                  <w:noWrap w:val="false"/>
                </w:tcPr>
                <w:p>
                  <w:pPr>
                    <w:ind w:left="1" w:right="0"/>
                    <w:spacing w:after="0" w:before="0" w:line="180" w:lineRule="auto"/>
                    <w:framePr w:hSpace="180" w:wrap="around" w:vAnchor="text" w:hAnchor="text" w:xAlign="center" w:y="1"/>
                  </w:pPr>
                  <w:r>
                    <w:rPr>
                      <w:sz w:val="14"/>
                      <w:szCs w:val="14"/>
                    </w:rPr>
                    <w:t xml:space="preserve">не менее 4,0</w:t>
                  </w:r>
                </w:p>
              </w:tc>
            </w:tr>
          </w:tbl>
          <w:p>
            <w:pPr>
              <w:spacing w:before="0" w:after="0" w:line="180" w:lineRule="auto"/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4" w:space="0"/>
              <w:left w:val="single" w:color="777777" w:sz="8" w:space="0"/>
              <w:bottom w:val="none" w:color="000000" w:sz="4" w:space="0"/>
              <w:right w:val="none" w:color="000000" w:sz="4" w:space="0"/>
            </w:tcBorders>
            <w:tcW w:w="7638" w:type="dxa"/>
            <w:textDirection w:val="lrTb"/>
            <w:noWrap w:val="false"/>
            <w:vAlign w:val="top"/>
          </w:tcPr>
          <w:tbl>
            <w:tblPr>
              <w:tblStyle w:val="835"/>
              <w:tblW w:w="7665" w:type="dxa"/>
              <w:tblInd w:w="0" w:type="dxa"/>
              <w:tblCellMar>
                <w:left w:w="121" w:type="dxa"/>
                <w:top w:w="20" w:type="dxa"/>
                <w:right w:w="115" w:type="dxa"/>
                <w:bottom w:w="20" w:type="dxa"/>
              </w:tblCellMar>
              <w:tblLook w:val="04A0" w:firstRow="1" w:lastRow="0" w:firstColumn="1" w:lastColumn="0" w:noHBand="0" w:noVBand="1"/>
            </w:tblPr>
            <w:tblGrid>
              <w:gridCol w:w="4785"/>
              <w:gridCol w:w="1440"/>
              <w:gridCol w:w="1440"/>
            </w:tblGrid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Наименование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b/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Начало</w:t>
                  </w: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</w: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b/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Окончание</w:t>
                  </w: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</w: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Старт проекта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22.07.2026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31.07.2026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1. Диагностика и целевое состояние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03.08.2026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04.09.2026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1.1. Разработка карты текущего состояния процесса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24.08.2026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31.08.2026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1.2. Сбор фактических данных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03.08.2026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24.08.2026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1.3. Разработка карты целевого состояния процесса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01.09.2026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03.09.2026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1.4. Разработка плана мероприятий </w:t>
                  </w:r>
                  <w:r>
                    <w:rPr>
                      <w:rFonts w:ascii="Times New Roman" w:hAnsi="Times New Roman" w:eastAsia="Times New Roman" w:cs="Times New Roman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по реализации проекта 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03.09.2026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04.09.2026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2. Реализация плана мероприятий </w:t>
                  </w:r>
                  <w:r>
                    <w:rPr>
                      <w:rFonts w:ascii="Times New Roman" w:hAnsi="Times New Roman" w:eastAsia="Times New Roman" w:cs="Times New Roman"/>
                      <w:b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по реализации проекта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07.09.2026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23.09.2026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2.1. Совещание по защите подходов внедрения 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07.09.2026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07.09.2026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2.2. Внедрение мероприятий 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08.09.2026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23.09.2026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b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3. Анализ результатов и закрытие проекта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24.09.2026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30.09.2026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3.1. Мониторинг достигнутых результатов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24.09.2026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25.09.2026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3.2. Оформление карты достигнутого состояния процесса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28.09.2026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28.09.2026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3.3. Разработка стандарта/норматива и тиражирование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28.09.2026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29.09.2026</w:t>
                  </w:r>
                </w:p>
              </w:tc>
            </w:tr>
            <w:tr>
              <w:tblPrEx/>
              <w:trPr>
                <w:trHeight w:val="20"/>
              </w:trPr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4785" w:type="dxa"/>
                  <w:textDirection w:val="lrTb"/>
                  <w:noWrap w:val="false"/>
                </w:tcPr>
                <w:p>
                  <w:pPr>
                    <w:ind w:left="0" w:right="0" w:firstLine="0"/>
                    <w:spacing w:after="0" w:before="0" w:line="180" w:lineRule="auto"/>
                    <w:rPr>
                      <w:color w:val="000000" w:themeColor="text1"/>
                      <w:highlight w:val="none"/>
                    </w:r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</w:pBdr>
                  </w:pPr>
                  <w:r>
                    <w:rPr>
                      <w:rFonts w:ascii="Calibri" w:hAnsi="Calibri" w:eastAsia="Calibri" w:cs="Calibri"/>
                      <w:color w:val="000000" w:themeColor="text1"/>
                      <w:sz w:val="14"/>
                      <w:highlight w:val="none"/>
                      <w:szCs w:val="14"/>
                    </w:rPr>
                    <w:t xml:space="preserve">3.4. Закрытие проекта (отчет руководителю)</w:t>
                  </w:r>
                  <w:r>
                    <w:rPr>
                      <w:color w:val="000000" w:themeColor="text1"/>
                      <w:highlight w:val="none"/>
                      <w:sz w:val="14"/>
                      <w:szCs w:val="1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30.09.2026</w:t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tcW w:w="1440" w:type="dxa"/>
                  <w:textDirection w:val="lrTb"/>
                  <w:noWrap w:val="false"/>
                </w:tcPr>
                <w:p>
                  <w:pPr>
                    <w:spacing w:after="0" w:line="180" w:lineRule="auto" w:before="0"/>
                    <w:rPr>
                      <w:color w:val="000000" w:themeColor="text1"/>
                      <w:sz w:val="18"/>
                      <w:szCs w:val="18"/>
                      <w:highlight w:val="none"/>
                    </w:rPr>
                    <w:framePr w:hSpace="180" w:wrap="around" w:vAnchor="text" w:hAnchor="text" w:xAlign="center" w:y="1"/>
                  </w:pPr>
                  <w:r>
                    <w:rPr>
                      <w:color w:val="000000" w:themeColor="text1"/>
                      <w:sz w:val="14"/>
                      <w:szCs w:val="14"/>
                      <w:highlight w:val="none"/>
                    </w:rPr>
                    <w:t xml:space="preserve">30.09.2026</w:t>
                  </w:r>
                </w:p>
              </w:tc>
            </w:tr>
          </w:tbl>
          <w:p>
            <w:pPr>
              <w:spacing w:after="0" w:line="180" w:lineRule="auto" w:before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r/>
      <w:r/>
    </w:p>
    <w:tbl>
      <w:tblPr>
        <w:tblStyle w:val="83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126"/>
        <w:gridCol w:w="4961"/>
        <w:gridCol w:w="2126"/>
        <w:gridCol w:w="2126"/>
        <w:gridCol w:w="2409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6"/>
                <w:szCs w:val="16"/>
              </w:rPr>
              <w:t xml:space="preserve">Руководитель проекта</w:t>
            </w:r>
            <w:r>
              <w:rPr>
                <w:b w:val="0"/>
                <w:bCs w:val="0"/>
                <w:sz w:val="16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961" w:type="dxa"/>
            <w:vAlign w:val="top"/>
            <w:textDirection w:val="lrTb"/>
            <w:noWrap w:val="false"/>
          </w:tcPr>
          <w:p>
            <w:pPr>
              <w:ind w:left="46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6"/>
              </w:rPr>
              <w:t xml:space="preserve">Глава Благовещенского муниципального округа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Calibri" w:hAnsi="Calibri" w:eastAsia="Calibri" w:cs="Calibri"/>
                <w:b w:val="0"/>
                <w:bCs w:val="0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6"/>
                <w:szCs w:val="16"/>
                <w:highlight w:val="none"/>
              </w:rPr>
              <w:t xml:space="preserve">Куратор проекта</w:t>
            </w: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16"/>
                <w:szCs w:val="16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top"/>
            <w:textDirection w:val="lrTb"/>
            <w:noWrap w:val="false"/>
          </w:tcPr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4" w:type="dxa"/>
            <w:vAlign w:val="top"/>
            <w:vMerge w:val="restart"/>
            <w:textDirection w:val="lrTb"/>
            <w:noWrap w:val="false"/>
          </w:tcPr>
          <w:p>
            <w:pPr>
              <w:ind w:left="-106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szCs w:val="16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  <w:szCs w:val="16"/>
              </w:rPr>
              <w:t xml:space="preserve">(Ф.И.О.,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961" w:type="dxa"/>
            <w:vAlign w:val="top"/>
            <w:vMerge w:val="restart"/>
            <w:textDirection w:val="lrTb"/>
            <w:noWrap w:val="false"/>
          </w:tcPr>
          <w:p>
            <w:pPr>
              <w:ind w:left="460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u w:val="none"/>
                <w:szCs w:val="16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16"/>
                <w:u w:val="none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  <w:szCs w:val="16"/>
              </w:rPr>
              <w:t xml:space="preserve">(Ф.И.О.,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26" w:type="dxa"/>
            <w:vAlign w:val="top"/>
            <w:vMerge w:val="restart"/>
            <w:textDirection w:val="lrTb"/>
            <w:noWrap w:val="false"/>
          </w:tcPr>
          <w:p>
            <w:pPr>
              <w:ind w:left="458" w:right="0" w:firstLine="0"/>
              <w:jc w:val="center"/>
              <w:rPr>
                <w:rFonts w:ascii="Calibri" w:hAnsi="Calibri" w:eastAsia="Calibri" w:cs="Calibri"/>
                <w:b/>
                <w:color w:val="000000"/>
                <w:sz w:val="24"/>
                <w:highlight w:val="none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Calibri" w:hAnsi="Calibri" w:eastAsia="Calibri" w:cs="Calibri"/>
                <w:b/>
                <w:color w:val="000000"/>
                <w:sz w:val="16"/>
                <w:highlight w:val="none"/>
                <w:u w:val="none"/>
                <w:szCs w:val="16"/>
              </w:rPr>
            </w:r>
            <w:r>
              <w:rPr>
                <w:rFonts w:ascii="Calibri" w:hAnsi="Calibri" w:eastAsia="Calibri" w:cs="Calibri"/>
                <w:b/>
                <w:color w:val="000000"/>
                <w:sz w:val="16"/>
                <w:highlight w:val="none"/>
                <w:u w:val="none"/>
                <w:szCs w:val="16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u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before="0" w:after="0" w:line="20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6"/>
                <w:u w:val="none"/>
                <w:szCs w:val="16"/>
              </w:rPr>
              <w:t xml:space="preserve">   (Ф.И.О., должность, подпись)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u w:val="none"/>
                <w:szCs w:val="16"/>
              </w:rPr>
            </w:r>
          </w:p>
        </w:tc>
      </w:tr>
    </w:tbl>
    <w:p>
      <w:r/>
      <w:r/>
    </w:p>
    <w:sectPr>
      <w:footnotePr/>
      <w:endnotePr/>
      <w:type w:val="nextPage"/>
      <w:pgSz w:w="16838" w:h="11904" w:orient="landscape"/>
      <w:pgMar w:top="567" w:right="567" w:bottom="340" w:left="567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430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79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51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323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95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67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539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611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835"/>
      </w:pPr>
      <w:rPr>
        <w:rFonts w:ascii="Calibri" w:hAnsi="Calibri" w:eastAsia="Calibri" w:cs="Calibri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1"/>
    <w:next w:val="831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basedOn w:val="832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1"/>
    <w:next w:val="831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2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2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2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2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2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2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2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1"/>
    <w:next w:val="831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2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List Paragraph"/>
    <w:basedOn w:val="831"/>
    <w:uiPriority w:val="34"/>
    <w:qFormat/>
    <w:pPr>
      <w:contextualSpacing/>
      <w:ind w:left="720"/>
    </w:pPr>
  </w:style>
  <w:style w:type="paragraph" w:styleId="675">
    <w:name w:val="No Spacing"/>
    <w:uiPriority w:val="1"/>
    <w:qFormat/>
    <w:pPr>
      <w:spacing w:before="0" w:after="0" w:line="240" w:lineRule="auto"/>
    </w:pPr>
  </w:style>
  <w:style w:type="paragraph" w:styleId="676">
    <w:name w:val="Title"/>
    <w:basedOn w:val="831"/>
    <w:next w:val="831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basedOn w:val="832"/>
    <w:link w:val="676"/>
    <w:uiPriority w:val="10"/>
    <w:rPr>
      <w:sz w:val="48"/>
      <w:szCs w:val="48"/>
    </w:rPr>
  </w:style>
  <w:style w:type="paragraph" w:styleId="678">
    <w:name w:val="Subtitle"/>
    <w:basedOn w:val="831"/>
    <w:next w:val="831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basedOn w:val="832"/>
    <w:link w:val="678"/>
    <w:uiPriority w:val="11"/>
    <w:rPr>
      <w:sz w:val="24"/>
      <w:szCs w:val="24"/>
    </w:rPr>
  </w:style>
  <w:style w:type="paragraph" w:styleId="680">
    <w:name w:val="Quote"/>
    <w:basedOn w:val="831"/>
    <w:next w:val="831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1"/>
    <w:next w:val="831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character" w:styleId="684">
    <w:name w:val="Header Char"/>
    <w:basedOn w:val="832"/>
    <w:link w:val="841"/>
    <w:uiPriority w:val="99"/>
  </w:style>
  <w:style w:type="character" w:styleId="685">
    <w:name w:val="Footer Char"/>
    <w:basedOn w:val="832"/>
    <w:link w:val="843"/>
    <w:uiPriority w:val="99"/>
  </w:style>
  <w:style w:type="paragraph" w:styleId="686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843"/>
    <w:uiPriority w:val="99"/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  <w:rPr>
      <w:rFonts w:ascii="Calibri" w:hAnsi="Calibri" w:eastAsia="Calibri" w:cs="Calibri"/>
      <w:color w:val="000000"/>
    </w:rPr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table" w:styleId="835" w:customStyle="1">
    <w:name w:val="Table Grid"/>
    <w:pPr>
      <w:spacing w:after="0" w:line="240" w:lineRule="auto"/>
    </w:pPr>
    <w:tblPr>
      <w:tblCellMar>
        <w:left w:w="0" w:type="dxa"/>
        <w:top w:w="0" w:type="dxa"/>
        <w:right w:w="0" w:type="dxa"/>
        <w:bottom w:w="0" w:type="dxa"/>
      </w:tblCellMar>
    </w:tblPr>
  </w:style>
  <w:style w:type="character" w:styleId="836">
    <w:name w:val="annotation reference"/>
    <w:basedOn w:val="832"/>
    <w:uiPriority w:val="99"/>
    <w:semiHidden/>
    <w:unhideWhenUsed/>
    <w:rPr>
      <w:sz w:val="16"/>
      <w:szCs w:val="16"/>
    </w:rPr>
  </w:style>
  <w:style w:type="paragraph" w:styleId="837">
    <w:name w:val="annotation text"/>
    <w:basedOn w:val="831"/>
    <w:link w:val="838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838" w:customStyle="1">
    <w:name w:val="Текст примечания Знак"/>
    <w:basedOn w:val="832"/>
    <w:link w:val="837"/>
    <w:uiPriority w:val="99"/>
    <w:semiHidden/>
    <w:rPr>
      <w:rFonts w:ascii="Calibri" w:hAnsi="Calibri" w:eastAsia="Calibri" w:cs="Calibri"/>
      <w:color w:val="000000"/>
      <w:sz w:val="20"/>
      <w:szCs w:val="20"/>
    </w:rPr>
  </w:style>
  <w:style w:type="paragraph" w:styleId="839">
    <w:name w:val="annotation subject"/>
    <w:basedOn w:val="837"/>
    <w:next w:val="837"/>
    <w:link w:val="840"/>
    <w:uiPriority w:val="99"/>
    <w:semiHidden/>
    <w:unhideWhenUsed/>
    <w:rPr>
      <w:b/>
      <w:bCs/>
    </w:rPr>
  </w:style>
  <w:style w:type="character" w:styleId="840" w:customStyle="1">
    <w:name w:val="Тема примечания Знак"/>
    <w:basedOn w:val="838"/>
    <w:link w:val="839"/>
    <w:uiPriority w:val="99"/>
    <w:semiHidden/>
    <w:rPr>
      <w:rFonts w:ascii="Calibri" w:hAnsi="Calibri" w:eastAsia="Calibri" w:cs="Calibri"/>
      <w:b/>
      <w:bCs/>
      <w:color w:val="000000"/>
      <w:sz w:val="20"/>
      <w:szCs w:val="20"/>
    </w:rPr>
  </w:style>
  <w:style w:type="paragraph" w:styleId="841">
    <w:name w:val="Header"/>
    <w:basedOn w:val="831"/>
    <w:link w:val="84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2" w:customStyle="1">
    <w:name w:val="Верхний колонтитул Знак"/>
    <w:basedOn w:val="832"/>
    <w:link w:val="841"/>
    <w:uiPriority w:val="99"/>
    <w:rPr>
      <w:rFonts w:ascii="Calibri" w:hAnsi="Calibri" w:eastAsia="Calibri" w:cs="Calibri"/>
      <w:color w:val="000000"/>
    </w:rPr>
  </w:style>
  <w:style w:type="paragraph" w:styleId="843">
    <w:name w:val="Footer"/>
    <w:basedOn w:val="831"/>
    <w:link w:val="84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844" w:customStyle="1">
    <w:name w:val="Нижний колонтитул Знак"/>
    <w:basedOn w:val="832"/>
    <w:link w:val="843"/>
    <w:uiPriority w:val="99"/>
    <w:rPr>
      <w:rFonts w:ascii="Calibri" w:hAnsi="Calibri" w:eastAsia="Calibri" w:cs="Calibri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Presentation</dc:title>
  <dc:subject/>
  <dc:creator>Unknown Creator</dc:creator>
  <cp:keywords/>
  <cp:lastModifiedBy>Отдел ПУ и ОР МПК АО</cp:lastModifiedBy>
  <cp:revision>4</cp:revision>
  <dcterms:created xsi:type="dcterms:W3CDTF">2023-08-03T03:05:00Z</dcterms:created>
  <dcterms:modified xsi:type="dcterms:W3CDTF">2026-06-24T06:52:04Z</dcterms:modified>
</cp:coreProperties>
</file>