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поступления сообщения гражданина о проблеме благоустройства или жизнеобеспечения на территории округа — до подтверждения гражданином устранения проблемы и выставления оценки.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Камчадалова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Сообщения граждан о проблемах благоустройства и жизнеобеспечения поступают по разрозненным каналам (телефон приёмной, личный приём, письменные заявления, социальные сети). Регистрация, определение адреса, поиск ответственного и передача поручения выполняются вручную; единый учёт сроков не ведётся, результат гражданину не сообщается, сводная отчётность собирается вручную. Следствие — повторные обращения об одной и той же проблеме, «зависание» части сообщений, снижение доверия жителей.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показатели работы с обращениями граждан, удовлетворённость жителей, клиентоцентричность.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нет учёта сроков и контроля исполнителей, нет обратной связи гражданину, дублирование работ по повторным обращениям.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потеря и «зависание» сообщений граждан вследствие отсутствия сквозного учёта и контроля сроков: нарушение сроков устранения проблем благоустройства и жизнеобеспечения, рост числа повторных и вышестоящих обращений, снижение доверия жителей к органам местного самоуправления.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сообщения гражданина до подтверждённого устранения проблемы, раб.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гражданином результата отработки обращения,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повторных обращений об одной и той же проблеме,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50 %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