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Цель проекта — снижение количества обращений граждан по вопросам благоустройства и содержания территории округа.</w:t>
            </w:r>
          </w:p>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инициативных групп граждан в администрацию не предусмотрено. Сообщения поступают по четырём каналам: личный приём, письменные заявления, социальные сети, платформа обратной связи. Весь объём поступающих обращений вручную распределяет Глава округа: ответственного заместителя по каждому обращению определяет лично он. Срок рассмотрения — 30 календарных дней, единый для обращений любой сложности (Федеральный закон № 59-ФЗ). Распределение проблем по объектам возникновения не ведётся: сколько обращений приходится на один адрес или участок, из учёта не видно. Связь с заявителем ограничена письменным ответом по итогам рассмотрения; о ходе работы он не информируется. Повторные обращения об одном объекте не выявляются. Базовые значения процесса, подтверждённые заказчиком. Количество обращений граждан по вопросам благоустройства и жилищно-коммунального хозяйства — 40 в месяц. Трудозатраты сотрудника на приём, регистрацию одного сообщения и передачу его исполнителю — 15 минут. Доля заявок, исполненных в установленный срок, — 60 %. Время протекания процесса от возникновения проблемы до подтверждённого устранения — от 10 до 44 календарных дней; из них до 14 дней проблема не выявлена.</w:t>
            </w:r>
          </w:p>
          <w:p w14:paraId="40A5ECCC" w14:textId="77777777" w:rsidR="003100F5" w:rsidRDefault="00000000">
            <w:pPr>
              <w:jc w:val="both"/>
              <w:rPr>
                <w:sz w:val="24"/>
                <w:szCs w:val="24"/>
              </w:rPr>
            </w:pPr>
            <w:r>
              <w:rPr>
                <w:sz w:val="24"/>
                <w:szCs w:val="24"/>
              </w:rPr>
              <w:t xml:space="preserve">Показатели. Снизить количество обращений граждан по вопросам благоустройства и ЖКХ не менее чем на 30 %; сократить время протекания процесса не менее чем на 50 % к базовому значению; довести долю проблем, выявленных до обращения жителя, не менее чем до 50 %; довести долю заявок с фотофиксацией устранения до 100 %; довести долю заявок с установленным сроком исполнения до 100 %; довести долю заявок, исполненных в установленный срок, до 90 %;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14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фотофиксация устранения не предусмотрена; при закрытии без неё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инициативных групп граждан в процесс не поступают; весь объём обращений распределяет вручную Глава округа,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десять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w:t>
            </w:r>
            <w:r>
              <w:rPr>
                <w:color w:val="C00000"/>
                <w:b/>
                <w:sz w:val="24"/>
                <w:szCs w:val="24"/>
              </w:rPr>
              <w:t xml:space="preserve">Хронометраж: замер длительности этапов — запланирован, значения пока экспертные</w:t>
            </w:r>
            <w:r>
              <w:rPr>
                <w:sz w:val="24"/>
                <w:szCs w:val="24"/>
              </w:rPr>
              <w:t xml:space="preserve">.</w:t>
            </w:r>
          </w:p>
          <w:p w14:paraId="3FD19BAC" w14:textId="77777777" w:rsidR="003100F5" w:rsidRDefault="00000000">
            <w:pPr>
              <w:jc w:val="both"/>
              <w:rPr>
                <w:sz w:val="24"/>
                <w:szCs w:val="24"/>
              </w:rPr>
            </w:pPr>
            <w:r>
              <w:rPr>
                <w:sz w:val="24"/>
                <w:szCs w:val="24"/>
              </w:rPr>
              <w:t xml:space="preserve">3. </w:t>
            </w:r>
            <w:r>
              <w:rPr>
                <w:color w:val="C00000"/>
                <w:b/>
                <w:sz w:val="24"/>
                <w:szCs w:val="24"/>
              </w:rPr>
              <w:t xml:space="preserve">Гемба: наблюдение процесса на месте — запланирована</w:t>
            </w:r>
            <w:r>
              <w:rPr>
                <w:sz w:val="24"/>
                <w:szCs w:val="24"/>
              </w:rPr>
              <w:t xml:space="preserve">.</w:t>
            </w:r>
          </w:p>
          <w:p w14:paraId="3FD19BAC" w14:textId="77777777" w:rsidR="003100F5" w:rsidRDefault="00000000">
            <w:pPr>
              <w:jc w:val="both"/>
              <w:rPr>
                <w:sz w:val="24"/>
                <w:szCs w:val="24"/>
              </w:rPr>
            </w:pPr>
            <w:r>
              <w:rPr>
                <w:sz w:val="24"/>
                <w:szCs w:val="24"/>
              </w:rPr>
              <w:t xml:space="preserve">4.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5.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6.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7.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8.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9. Стандартизация: памятки по ролям применяются; </w:t>
            </w:r>
            <w:r>
              <w:rPr>
                <w:color w:val="C00000"/>
                <w:b/>
                <w:sz w:val="24"/>
                <w:szCs w:val="24"/>
              </w:rPr>
              <w:t xml:space="preserve">регламент процесса разрабатывается, утверждается приказом до 29.09.2026</w:t>
            </w:r>
            <w:r>
              <w:rPr>
                <w:sz w:val="24"/>
                <w:szCs w:val="24"/>
              </w:rPr>
              <w:t xml:space="preserve">.</w:t>
            </w:r>
          </w:p>
          <w:p w14:paraId="3FD19BAC" w14:textId="77777777" w:rsidR="003100F5" w:rsidRDefault="00000000">
            <w:pPr>
              <w:jc w:val="both"/>
              <w:rPr>
                <w:sz w:val="24"/>
                <w:szCs w:val="24"/>
              </w:rPr>
            </w:pPr>
            <w:r>
              <w:rPr>
                <w:sz w:val="24"/>
                <w:szCs w:val="24"/>
              </w:rPr>
              <w:t xml:space="preserve">10.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color w:val="C00000"/>
                <w:b/>
                <w:sz w:val="24"/>
                <w:szCs w:val="24"/>
              </w:rPr>
              <w:t xml:space="preserve">Количественные результаты уточняются по итогам мониторинга достигнутых результатов 24–25.09.2026.</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 основной показатель проекта: было 40 в месяц,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44 календарных дней,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заявок с фотофиксацией устранения: было 0 %, стало 100 % — закрыть заявку без фотографии или отчёта нельзя.</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было 60 %,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инициативные группы граждан подают заявки по итогам обхода территории,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 ручное распределение всего объёма обращений первым лицом из процесса исключено.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каждом изменении статуса и выставляет оценку — связь с заявителем ведётся на всём протяжении работы, а не только письменным ответом по её итогам. Заявки об одном объекте объединяются автоматически, и число обращений по объекту сохраняется: появилось распределение проблем по объектам возникновения — по адресам, участкам и населённым пунктам.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регистрация сообщения, определение ответственного, передача поручения и сбор сводной отчётности выполняются программой. Сторонний подрядчик не привлекался — цифровое решение разработано силами администрации округа, затраты на разработку внешним исполнителем не понесены.</w:t>
            </w:r>
          </w:p>
          <w:p w14:paraId="5493DA34" w14:textId="77777777" w:rsidR="003100F5" w:rsidRDefault="00000000">
            <w:pPr>
              <w:jc w:val="both"/>
              <w:rPr>
                <w:sz w:val="24"/>
                <w:szCs w:val="24"/>
              </w:rPr>
            </w:pPr>
            <w:r>
              <w:rPr>
                <w:sz w:val="24"/>
                <w:szCs w:val="24"/>
              </w:rPr>
              <w:t xml:space="preserve">Развитие проекта. Данные о числе обращений по каждому объекту накапливаются в системе с первого дня работы: повторные заявки не удаляются, а связываются с исходной, поэтому по каждому адресу и участку виден счётчик. Это основа для следующего шага — приоритизации расходов на благоустройство по фактической частоте проблем на объекте. Для этого требуется расширение круга лиц, подающих заявки, за пределы инициативных групп: чем шире круг, тем точнее картина частоты. Расширение состава участников планируется после завершения настоящего проекта.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