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300bceafaaab5ae82ac9fa3e59d885ad4f2591c"/>
    <w:p>
      <w:pPr>
        <w:pStyle w:val="Heading1"/>
      </w:pPr>
      <w:r>
        <w:t xml:space="preserve">Investigation Report: Blockchain Events Visibility</w:t>
      </w:r>
    </w:p>
    <w:p>
      <w:pPr>
        <w:pStyle w:val="FirstParagraph"/>
      </w:pPr>
      <w:r>
        <w:rPr>
          <w:b/>
          <w:bCs/>
        </w:rPr>
        <w:t xml:space="preserve">Ticket:</w:t>
      </w:r>
      <w:r>
        <w:t xml:space="preserve"> </w:t>
      </w:r>
      <w:r>
        <w:t xml:space="preserve">11889462</w:t>
      </w:r>
      <w:r>
        <w:t xml:space="preserve"> </w:t>
      </w:r>
      <w:r>
        <w:rPr>
          <w:b/>
          <w:bCs/>
        </w:rPr>
        <w:t xml:space="preserve">Title:</w:t>
      </w:r>
      <w:r>
        <w:t xml:space="preserve"> </w:t>
      </w:r>
      <w:r>
        <w:t xml:space="preserve">Investigation: blockchain events Visibility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2025-01-26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Investigation into inconsistency between blockchain transactions and their visibility in Kaleido platform. Events that exist on-chain were not consistently appearing in Kaleido Asset Manager UI.</w:t>
      </w:r>
    </w:p>
    <w:p>
      <w:r>
        <w:pict>
          <v:rect style="width:0;height:1.5pt" o:hralign="center" o:hrstd="t" o:hr="t"/>
        </w:pict>
      </w:r>
    </w:p>
    <w:bookmarkEnd w:id="9"/>
    <w:bookmarkStart w:id="10" w:name="problem-statement"/>
    <w:p>
      <w:pPr>
        <w:pStyle w:val="Heading2"/>
      </w:pPr>
      <w:r>
        <w:t xml:space="preserve">Problem Statement</w:t>
      </w:r>
    </w:p>
    <w:p>
      <w:pPr>
        <w:pStyle w:val="FirstParagraph"/>
      </w:pPr>
      <w:r>
        <w:t xml:space="preserve">As a Kaleido developer, blockchain events (transfers, mints, burns) executed on-chain were not consistently visible in the Kaleido platform, causing misalignment between actual blockchain state and what Kaleido displays.</w:t>
      </w:r>
    </w:p>
    <w:p>
      <w:r>
        <w:pict>
          <v:rect style="width:0;height:1.5pt" o:hralign="center" o:hrstd="t" o:hr="t"/>
        </w:pict>
      </w:r>
    </w:p>
    <w:bookmarkEnd w:id="10"/>
    <w:bookmarkStart w:id="17" w:name="investigation-findings"/>
    <w:p>
      <w:pPr>
        <w:pStyle w:val="Heading2"/>
      </w:pPr>
      <w:r>
        <w:t xml:space="preserve">Investigation Findings</w:t>
      </w:r>
    </w:p>
    <w:bookmarkStart w:id="11" w:name="event-flow-architecture"/>
    <w:p>
      <w:pPr>
        <w:pStyle w:val="Heading3"/>
      </w:pPr>
      <w:r>
        <w:t xml:space="preserve">1. Event Flow Architecture</w:t>
      </w:r>
    </w:p>
    <w:p>
      <w:pPr>
        <w:pStyle w:val="FirstParagraph"/>
      </w:pPr>
      <w:r>
        <w:t xml:space="preserve">The blockchain events flow through multiple components:</w:t>
      </w:r>
    </w:p>
    <w:p>
      <w:pPr>
        <w:pStyle w:val="SourceCode"/>
      </w:pPr>
      <w:r>
        <w:rPr>
          <w:rStyle w:val="VerbatimChar"/>
        </w:rPr>
        <w:t xml:space="preserve">Blockchain (Besu EVM)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EVMConnect (event listener)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FireFly Core (event processing)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FFListener (indexing service)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Asset Manager (UI/API visibility)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Wallet Manager (balance display)</w:t>
      </w:r>
    </w:p>
    <w:bookmarkEnd w:id="11"/>
    <w:bookmarkStart w:id="15" w:name="root-causes-identified"/>
    <w:p>
      <w:pPr>
        <w:pStyle w:val="Heading3"/>
      </w:pPr>
      <w:r>
        <w:t xml:space="preserve">2. Root Causes Identified</w:t>
      </w:r>
    </w:p>
    <w:bookmarkStart w:id="12" w:name="fflistener-configuration"/>
    <w:p>
      <w:pPr>
        <w:pStyle w:val="Heading4"/>
      </w:pPr>
      <w:r>
        <w:t xml:space="preserve">2.1 FFListener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Issue:</w:t>
      </w:r>
      <w:r>
        <w:t xml:space="preserve"> </w:t>
      </w:r>
      <w:r>
        <w:t xml:space="preserve">FFListener must be properly configured to listen to specific contract events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New contracts require explicit FFI (FireFly Interface) registration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Events from unregistered contracts are not indexed</w:t>
      </w:r>
    </w:p>
    <w:bookmarkEnd w:id="12"/>
    <w:bookmarkStart w:id="13" w:name="Xba4097bc6f3902706e9a60da592b3a36138a76f"/>
    <w:p>
      <w:pPr>
        <w:pStyle w:val="Heading4"/>
      </w:pPr>
      <w:r>
        <w:t xml:space="preserve">2.2 Asset Manager vs Wallet Manager Separation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Issue:</w:t>
      </w:r>
      <w:r>
        <w:t xml:space="preserve"> </w:t>
      </w:r>
      <w:r>
        <w:t xml:space="preserve">Asset Manager indexes events but Wallet Manager displays balances separately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These are two independent systems that require separate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Events visible in Asset Manager may not reflect in Wallet Manager balances</w:t>
      </w:r>
    </w:p>
    <w:bookmarkEnd w:id="13"/>
    <w:bookmarkStart w:id="14" w:name="event-visibility-endpoints"/>
    <w:p>
      <w:pPr>
        <w:pStyle w:val="Heading4"/>
      </w:pPr>
      <w:r>
        <w:t xml:space="preserve">2.3 Event Visibility Endpoints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Multiple endpoints exist for viewing events: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GET /blockchainevents</w:t>
      </w:r>
      <w:r>
        <w:t xml:space="preserve"> </w:t>
      </w:r>
      <w:r>
        <w:t xml:space="preserve">- raw blockchain events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GET /transfers</w:t>
      </w:r>
      <w:r>
        <w:t xml:space="preserve"> </w:t>
      </w:r>
      <w:r>
        <w:t xml:space="preserve">- processed transfer events with type classification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GET /balances</w:t>
      </w:r>
      <w:r>
        <w:t xml:space="preserve"> </w:t>
      </w:r>
      <w:r>
        <w:t xml:space="preserve">- aggregated balance view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Users may check wrong endpoint and assume events are missing</w:t>
      </w:r>
    </w:p>
    <w:bookmarkEnd w:id="14"/>
    <w:bookmarkEnd w:id="15"/>
    <w:bookmarkStart w:id="16" w:name="verified-working-endpoints"/>
    <w:p>
      <w:pPr>
        <w:pStyle w:val="Heading3"/>
      </w:pPr>
      <w:r>
        <w:t xml:space="preserve">3. Verified Working Endpoints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640"/>
        <w:gridCol w:w="23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/blockchainevents</w:t>
            </w:r>
          </w:p>
        </w:tc>
        <w:tc>
          <w:tcPr/>
          <w:p>
            <w:pPr>
              <w:pStyle w:val="Compact"/>
            </w:pPr>
            <w:r>
              <w:t xml:space="preserve">Raw events from chain</w:t>
            </w:r>
          </w:p>
        </w:tc>
        <w:tc>
          <w:tcPr/>
          <w:p>
            <w:pPr>
              <w:pStyle w:val="Compact"/>
            </w:pPr>
            <w:r>
              <w:t xml:space="preserve">Working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/transfers</w:t>
            </w:r>
          </w:p>
        </w:tc>
        <w:tc>
          <w:tcPr/>
          <w:p>
            <w:pPr>
              <w:pStyle w:val="Compact"/>
            </w:pPr>
            <w:r>
              <w:t xml:space="preserve">Indexed transfers with mint/burn/transfer types</w:t>
            </w:r>
          </w:p>
        </w:tc>
        <w:tc>
          <w:tcPr/>
          <w:p>
            <w:pPr>
              <w:pStyle w:val="Compact"/>
            </w:pPr>
            <w:r>
              <w:t xml:space="preserve">Working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/balances</w:t>
            </w:r>
          </w:p>
        </w:tc>
        <w:tc>
          <w:tcPr/>
          <w:p>
            <w:pPr>
              <w:pStyle w:val="Compact"/>
            </w:pPr>
            <w:r>
              <w:t xml:space="preserve">Current token balances</w:t>
            </w:r>
          </w:p>
        </w:tc>
        <w:tc>
          <w:tcPr/>
          <w:p>
            <w:pPr>
              <w:pStyle w:val="Compact"/>
            </w:pPr>
            <w:r>
              <w:t xml:space="preserve">Working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/listeners</w:t>
            </w:r>
          </w:p>
        </w:tc>
        <w:tc>
          <w:tcPr/>
          <w:p>
            <w:pPr>
              <w:pStyle w:val="Compact"/>
            </w:pPr>
            <w:r>
              <w:t xml:space="preserve">Active event listeners</w:t>
            </w:r>
          </w:p>
        </w:tc>
        <w:tc>
          <w:tcPr/>
          <w:p>
            <w:pPr>
              <w:pStyle w:val="Compact"/>
            </w:pPr>
            <w:r>
              <w:t xml:space="preserve">Working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Confirmed event visibility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GET /blockchainevents</w:t>
      </w:r>
      <w:r>
        <w:t xml:space="preserve"> </w:t>
      </w:r>
      <w:r>
        <w:t xml:space="preserve">endpoint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Verified FFListener</w:t>
      </w:r>
      <w:r>
        <w:t xml:space="preserve"> </w:t>
      </w:r>
      <w:r>
        <w:t xml:space="preserve">is actively indexing Transfer events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Documented correct endpoints</w:t>
      </w:r>
      <w:r>
        <w:t xml:space="preserve"> </w:t>
      </w:r>
      <w:r>
        <w:t xml:space="preserve">for different visibility needs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Tested end-to-end flow</w:t>
      </w:r>
      <w:r>
        <w:t xml:space="preserve">: MINT → TRANSFER → BURN all visible in Asset Manager</w:t>
      </w:r>
    </w:p>
    <w:p>
      <w:r>
        <w:pict>
          <v:rect style="width:0;height:1.5pt" o:hralign="center" o:hrstd="t" o:hr="t"/>
        </w:pict>
      </w:r>
    </w:p>
    <w:bookmarkEnd w:id="18"/>
    <w:bookmarkStart w:id="19" w:name="recommendations"/>
    <w:p>
      <w:pPr>
        <w:pStyle w:val="Heading2"/>
      </w:pPr>
      <w:r>
        <w:t xml:space="preserve">Recommendations</w:t>
      </w:r>
    </w:p>
    <w:p>
      <w:pPr>
        <w:pStyle w:val="Compact"/>
        <w:numPr>
          <w:ilvl w:val="0"/>
          <w:numId w:val="1006"/>
        </w:numPr>
      </w:pPr>
      <w:r>
        <w:t xml:space="preserve">Always verify FFListener configuration when deploying new contracts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GET /transfers</w:t>
      </w:r>
      <w:r>
        <w:t xml:space="preserve"> </w:t>
      </w:r>
      <w:r>
        <w:t xml:space="preserve">for human-readable event history (includes type classification)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GET /blockchainevents</w:t>
      </w:r>
      <w:r>
        <w:t xml:space="preserve"> </w:t>
      </w:r>
      <w:r>
        <w:t xml:space="preserve">for raw event debugging</w:t>
      </w:r>
    </w:p>
    <w:p>
      <w:pPr>
        <w:pStyle w:val="Compact"/>
        <w:numPr>
          <w:ilvl w:val="0"/>
          <w:numId w:val="1006"/>
        </w:numPr>
      </w:pPr>
      <w:r>
        <w:t xml:space="preserve">Document event flow architecture for team reference</w:t>
      </w:r>
    </w:p>
    <w:p>
      <w:r>
        <w:pict>
          <v:rect style="width:0;height:1.5pt" o:hralign="center" o:hrstd="t" o:hr="t"/>
        </w:pict>
      </w:r>
    </w:p>
    <w:bookmarkEnd w:id="19"/>
    <w:bookmarkStart w:id="20" w:name="test-evidence"/>
    <w:p>
      <w:pPr>
        <w:pStyle w:val="Heading2"/>
      </w:pPr>
      <w:r>
        <w:t xml:space="preserve">Test Evidence</w:t>
      </w:r>
    </w:p>
    <w:p>
      <w:pPr>
        <w:pStyle w:val="FirstParagraph"/>
      </w:pPr>
      <w:r>
        <w:t xml:space="preserve">Transactions verified visible in Kaleido:</w:t>
      </w:r>
      <w:r>
        <w:t xml:space="preserve"> </w:t>
      </w:r>
      <w:r>
        <w:t xml:space="preserve">- MINT:</w:t>
      </w:r>
      <w:r>
        <w:t xml:space="preserve"> </w:t>
      </w:r>
      <w:r>
        <w:rPr>
          <w:rStyle w:val="VerbatimChar"/>
        </w:rPr>
        <w:t xml:space="preserve">0xc5c39f60d963d0c882c188a4faee3c64ed2e845cecd89d9271044285ad3a022f</w:t>
      </w:r>
      <w:r>
        <w:t xml:space="preserve"> </w:t>
      </w:r>
      <w:r>
        <w:t xml:space="preserve">- TRANSFER:</w:t>
      </w:r>
      <w:r>
        <w:t xml:space="preserve"> </w:t>
      </w:r>
      <w:r>
        <w:rPr>
          <w:rStyle w:val="VerbatimChar"/>
        </w:rPr>
        <w:t xml:space="preserve">0xc7b30ef0da1e2c90e8eb93125c42790300ec58765555cab5fcdd182cb3d0bffe</w:t>
      </w:r>
      <w:r>
        <w:t xml:space="preserve"> </w:t>
      </w:r>
      <w:r>
        <w:t xml:space="preserve">- BURN:</w:t>
      </w:r>
      <w:r>
        <w:t xml:space="preserve"> </w:t>
      </w:r>
      <w:r>
        <w:rPr>
          <w:rStyle w:val="VerbatimChar"/>
        </w:rPr>
        <w:t xml:space="preserve">0x72b0a1e7651feaca5d99c5dc33c05afecfc22280fd8ae9ae8be7cc0d7762ba2b</w:t>
      </w:r>
    </w:p>
    <w:p>
      <w:pPr>
        <w:pStyle w:val="BodyText"/>
      </w:pPr>
      <w:r>
        <w:t xml:space="preserve">All events correctly classified by type (mint/transfer/burn) in Asset Manager.</w:t>
      </w:r>
    </w:p>
    <w:p>
      <w:r>
        <w:pict>
          <v:rect style="width:0;height:1.5pt" o:hralign="center" o:hrstd="t" o:hr="t"/>
        </w:pic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Blockchain events ARE visible in Kaleido when:</w:t>
      </w:r>
      <w:r>
        <w:t xml:space="preserve"> </w:t>
      </w:r>
      <w:r>
        <w:t xml:space="preserve">1. FFListener is properly configured for the contract</w:t>
      </w:r>
      <w:r>
        <w:t xml:space="preserve"> </w:t>
      </w:r>
      <w:r>
        <w:t xml:space="preserve">2. Correct endpoint is used for the desired view</w:t>
      </w:r>
      <w:r>
        <w:t xml:space="preserve"> </w:t>
      </w:r>
      <w:r>
        <w:t xml:space="preserve">3. Contract has registered FFI (FireFly Interface)</w:t>
      </w:r>
    </w:p>
    <w:p>
      <w:pPr>
        <w:pStyle w:val="BodyText"/>
      </w:pPr>
      <w:r>
        <w:t xml:space="preserve">The perceived</w:t>
      </w:r>
      <w:r>
        <w:t xml:space="preserve"> </w:t>
      </w:r>
      <w:r>
        <w:t xml:space="preserve">“invisibility”</w:t>
      </w:r>
      <w:r>
        <w:t xml:space="preserve"> </w:t>
      </w:r>
      <w:r>
        <w:t xml:space="preserve">was due to checking wrong endpoints or missing configuration steps, not a platform defect.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2026-01-26T20:31:55Z</dcterms:created>
  <dcterms:modified xsi:type="dcterms:W3CDTF">2026-01-26T20:31:55Z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