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vestigation-report"/>
    <w:p>
      <w:pPr>
        <w:pStyle w:val="Heading1"/>
      </w:pPr>
      <w:r>
        <w:t xml:space="preserve">Investigation Report</w:t>
      </w:r>
    </w:p>
    <w:bookmarkStart w:id="9" w:name="blockchain-events-visibility"/>
    <w:p>
      <w:pPr>
        <w:pStyle w:val="Heading2"/>
      </w:pPr>
      <w:r>
        <w:t xml:space="preserve">Blockchain Events Visibility</w:t>
      </w:r>
    </w:p>
    <w:p>
      <w:pPr>
        <w:pStyle w:val="FirstParagraph"/>
      </w:pPr>
      <w:r>
        <w:rPr>
          <w:b/>
          <w:bCs/>
        </w:rPr>
        <w:t xml:space="preserve">Ticket:</w:t>
      </w:r>
      <w:r>
        <w:t xml:space="preserve"> </w:t>
      </w:r>
      <w:r>
        <w:t xml:space="preserve">11889462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2025-01-26</w:t>
      </w:r>
    </w:p>
    <w:p>
      <w:r>
        <w:pict>
          <v:rect style="width:0;height:1.5pt" o:hralign="center" o:hrstd="t" o:hr="t"/>
        </w:pict>
      </w:r>
    </w:p>
    <w:bookmarkEnd w:id="9"/>
    <w:bookmarkStart w:id="1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Investigation into inconsistency between blockchain transactions and their visibility in Kaleido platform. Events that exist on-chain were not consistently appearing in Kaleido Asset Manager UI.</w:t>
      </w:r>
    </w:p>
    <w:p>
      <w:r>
        <w:pict>
          <v:rect style="width:0;height:1.5pt" o:hralign="center" o:hrstd="t" o:hr="t"/>
        </w:pict>
      </w:r>
    </w:p>
    <w:bookmarkEnd w:id="10"/>
    <w:bookmarkStart w:id="1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As a Kaleido developer, blockchain events (transfers, mints, burns) executed on-chain were not consistently visible in the Kaleido platform, causing misalignment between actual blockchain state and what Kaleido displays.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-findings"/>
    <w:p>
      <w:pPr>
        <w:pStyle w:val="Heading2"/>
      </w:pPr>
      <w:r>
        <w:t xml:space="preserve">3. Investigation Findings</w:t>
      </w:r>
    </w:p>
    <w:bookmarkStart w:id="12" w:name="event-flow-architecture"/>
    <w:p>
      <w:pPr>
        <w:pStyle w:val="Heading3"/>
      </w:pPr>
      <w:r>
        <w:t xml:space="preserve">3.1 Event Flow Architecture</w:t>
      </w:r>
    </w:p>
    <w:p>
      <w:pPr>
        <w:pStyle w:val="FirstParagraph"/>
      </w:pPr>
      <w:r>
        <w:t xml:space="preserve">The blockchain events flow through multiple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Blockchain (Besu EVM)</w:t>
            </w:r>
          </w:p>
        </w:tc>
        <w:tc>
          <w:tcPr/>
          <w:p>
            <w:pPr>
              <w:pStyle w:val="Compact"/>
            </w:pPr>
            <w:r>
              <w:t xml:space="preserve">Source of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EVMConnect</w:t>
            </w:r>
          </w:p>
        </w:tc>
        <w:tc>
          <w:tcPr/>
          <w:p>
            <w:pPr>
              <w:pStyle w:val="Compact"/>
            </w:pPr>
            <w:r>
              <w:t xml:space="preserve">Event listener - captures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FireFly Core</w:t>
            </w:r>
          </w:p>
        </w:tc>
        <w:tc>
          <w:tcPr/>
          <w:p>
            <w:pPr>
              <w:pStyle w:val="Compact"/>
            </w:pPr>
            <w:r>
              <w:t xml:space="preserve">Event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FFListener</w:t>
            </w:r>
          </w:p>
        </w:tc>
        <w:tc>
          <w:tcPr/>
          <w:p>
            <w:pPr>
              <w:pStyle w:val="Compact"/>
            </w:pPr>
            <w:r>
              <w:t xml:space="preserve">Indexing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Asset Manager</w:t>
            </w:r>
          </w:p>
        </w:tc>
        <w:tc>
          <w:tcPr/>
          <w:p>
            <w:pPr>
              <w:pStyle w:val="Compact"/>
            </w:pPr>
            <w:r>
              <w:t xml:space="preserve">UI/API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Wallet Manager</w:t>
            </w:r>
          </w:p>
        </w:tc>
        <w:tc>
          <w:tcPr/>
          <w:p>
            <w:pPr>
              <w:pStyle w:val="Compact"/>
            </w:pPr>
            <w:r>
              <w:t xml:space="preserve">Balance display</w:t>
            </w:r>
          </w:p>
        </w:tc>
      </w:tr>
    </w:tbl>
    <w:bookmarkEnd w:id="12"/>
    <w:bookmarkStart w:id="16" w:name="root-causes-identified"/>
    <w:p>
      <w:pPr>
        <w:pStyle w:val="Heading3"/>
      </w:pPr>
      <w:r>
        <w:t xml:space="preserve">3.2 Root Causes Identified</w:t>
      </w:r>
    </w:p>
    <w:bookmarkStart w:id="13" w:name="issue-1-fflistener-configuration"/>
    <w:p>
      <w:pPr>
        <w:pStyle w:val="Heading4"/>
      </w:pPr>
      <w:r>
        <w:t xml:space="preserve">Issue 1: FFListener Configuration</w:t>
      </w:r>
    </w:p>
    <w:p>
      <w:pPr>
        <w:pStyle w:val="Compact"/>
        <w:numPr>
          <w:ilvl w:val="0"/>
          <w:numId w:val="1001"/>
        </w:numPr>
      </w:pPr>
      <w:r>
        <w:t xml:space="preserve">FFListener must be properly configured to listen to specific contract events</w:t>
      </w:r>
    </w:p>
    <w:p>
      <w:pPr>
        <w:pStyle w:val="Compact"/>
        <w:numPr>
          <w:ilvl w:val="0"/>
          <w:numId w:val="1001"/>
        </w:numPr>
      </w:pPr>
      <w:r>
        <w:t xml:space="preserve">New contracts require explicit FFI (FireFly Interface) registration</w:t>
      </w:r>
    </w:p>
    <w:p>
      <w:pPr>
        <w:pStyle w:val="Compact"/>
        <w:numPr>
          <w:ilvl w:val="0"/>
          <w:numId w:val="1001"/>
        </w:numPr>
      </w:pPr>
      <w:r>
        <w:t xml:space="preserve">Impact: Events from unregistered contracts are not indexed</w:t>
      </w:r>
    </w:p>
    <w:bookmarkEnd w:id="13"/>
    <w:bookmarkStart w:id="14" w:name="X524a945933a761b571f5cadf1135c7ff9a45f96"/>
    <w:p>
      <w:pPr>
        <w:pStyle w:val="Heading4"/>
      </w:pPr>
      <w:r>
        <w:t xml:space="preserve">Issue 2: Asset Manager vs Wallet Manager Separation</w:t>
      </w:r>
    </w:p>
    <w:p>
      <w:pPr>
        <w:pStyle w:val="Compact"/>
        <w:numPr>
          <w:ilvl w:val="0"/>
          <w:numId w:val="1002"/>
        </w:numPr>
      </w:pPr>
      <w:r>
        <w:t xml:space="preserve">Asset Manager indexes events but Wallet Manager displays balances separately</w:t>
      </w:r>
    </w:p>
    <w:p>
      <w:pPr>
        <w:pStyle w:val="Compact"/>
        <w:numPr>
          <w:ilvl w:val="0"/>
          <w:numId w:val="1002"/>
        </w:numPr>
      </w:pPr>
      <w:r>
        <w:t xml:space="preserve">These are two independent systems that require separate configuration</w:t>
      </w:r>
    </w:p>
    <w:p>
      <w:pPr>
        <w:pStyle w:val="Compact"/>
        <w:numPr>
          <w:ilvl w:val="0"/>
          <w:numId w:val="1002"/>
        </w:numPr>
      </w:pPr>
      <w:r>
        <w:t xml:space="preserve">Impact: Events visible in Asset Manager may not reflect in Wallet Manager balances</w:t>
      </w:r>
    </w:p>
    <w:bookmarkEnd w:id="14"/>
    <w:bookmarkStart w:id="15" w:name="issue-3-event-visibility-endpoints"/>
    <w:p>
      <w:pPr>
        <w:pStyle w:val="Heading4"/>
      </w:pPr>
      <w:r>
        <w:t xml:space="preserve">Issue 3: Event Visibility Endpoints</w:t>
      </w:r>
    </w:p>
    <w:p>
      <w:pPr>
        <w:pStyle w:val="FirstParagraph"/>
      </w:pPr>
      <w:r>
        <w:t xml:space="preserve">Multiple endpoints exist for viewing events: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/blockchainevents</w:t>
            </w:r>
          </w:p>
        </w:tc>
        <w:tc>
          <w:tcPr/>
          <w:p>
            <w:pPr>
              <w:pStyle w:val="Compact"/>
            </w:pPr>
            <w:r>
              <w:t xml:space="preserve">Raw blockchain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/transfers</w:t>
            </w:r>
          </w:p>
        </w:tc>
        <w:tc>
          <w:tcPr/>
          <w:p>
            <w:pPr>
              <w:pStyle w:val="Compact"/>
            </w:pPr>
            <w:r>
              <w:t xml:space="preserve">Processed transfer events with type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/balances</w:t>
            </w:r>
          </w:p>
        </w:tc>
        <w:tc>
          <w:tcPr/>
          <w:p>
            <w:pPr>
              <w:pStyle w:val="Compact"/>
            </w:pPr>
            <w:r>
              <w:t xml:space="preserve">Aggregated balance view</w:t>
            </w:r>
          </w:p>
        </w:tc>
      </w:tr>
    </w:tbl>
    <w:p>
      <w:pPr>
        <w:pStyle w:val="BodyText"/>
      </w:pPr>
      <w:r>
        <w:t xml:space="preserve">Impact: Users may check wrong endpoint and assume events are missing.</w:t>
      </w:r>
    </w:p>
    <w:bookmarkEnd w:id="15"/>
    <w:bookmarkEnd w:id="16"/>
    <w:bookmarkStart w:id="17" w:name="verified-working-endpoints"/>
    <w:p>
      <w:pPr>
        <w:pStyle w:val="Heading3"/>
      </w:pPr>
      <w:r>
        <w:t xml:space="preserve">3.3 Verified Working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/blockchainevents</w:t>
            </w:r>
          </w:p>
        </w:tc>
        <w:tc>
          <w:tcPr/>
          <w:p>
            <w:pPr>
              <w:pStyle w:val="Compact"/>
            </w:pPr>
            <w:r>
              <w:t xml:space="preserve">Raw events from chain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/transfers</w:t>
            </w:r>
          </w:p>
        </w:tc>
        <w:tc>
          <w:tcPr/>
          <w:p>
            <w:pPr>
              <w:pStyle w:val="Compact"/>
            </w:pPr>
            <w:r>
              <w:t xml:space="preserve">Indexed transfers with mint/burn/transfer types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/balances</w:t>
            </w:r>
          </w:p>
        </w:tc>
        <w:tc>
          <w:tcPr/>
          <w:p>
            <w:pPr>
              <w:pStyle w:val="Compact"/>
            </w:pPr>
            <w:r>
              <w:t xml:space="preserve">Current token balances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/listeners</w:t>
            </w:r>
          </w:p>
        </w:tc>
        <w:tc>
          <w:tcPr/>
          <w:p>
            <w:pPr>
              <w:pStyle w:val="Compact"/>
            </w:pPr>
            <w:r>
              <w:t xml:space="preserve">Active event listeners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resolution"/>
    <w:p>
      <w:pPr>
        <w:pStyle w:val="Heading2"/>
      </w:pPr>
      <w:r>
        <w:t xml:space="preserve">4. Resolution</w:t>
      </w:r>
    </w:p>
    <w:p>
      <w:pPr>
        <w:pStyle w:val="Compact"/>
        <w:numPr>
          <w:ilvl w:val="0"/>
          <w:numId w:val="1003"/>
        </w:numPr>
      </w:pPr>
      <w:r>
        <w:t xml:space="preserve">Confirmed event visibility through GET /blockchainevents endpoint</w:t>
      </w:r>
    </w:p>
    <w:p>
      <w:pPr>
        <w:pStyle w:val="Compact"/>
        <w:numPr>
          <w:ilvl w:val="0"/>
          <w:numId w:val="1003"/>
        </w:numPr>
      </w:pPr>
      <w:r>
        <w:t xml:space="preserve">Verified FFListener is actively indexing Transfer events</w:t>
      </w:r>
    </w:p>
    <w:p>
      <w:pPr>
        <w:pStyle w:val="Compact"/>
        <w:numPr>
          <w:ilvl w:val="0"/>
          <w:numId w:val="1003"/>
        </w:numPr>
      </w:pPr>
      <w:r>
        <w:t xml:space="preserve">Documented correct endpoints for different visibility needs</w:t>
      </w:r>
    </w:p>
    <w:p>
      <w:pPr>
        <w:pStyle w:val="Compact"/>
        <w:numPr>
          <w:ilvl w:val="0"/>
          <w:numId w:val="1003"/>
        </w:numPr>
      </w:pPr>
      <w:r>
        <w:t xml:space="preserve">Tested end-to-end flow: MINT, TRANSFER, BURN all visible in Asset Manager</w:t>
      </w:r>
    </w:p>
    <w:p>
      <w:r>
        <w:pict>
          <v:rect style="width:0;height:1.5pt" o:hralign="center" o:hrstd="t" o:hr="t"/>
        </w:pict>
      </w:r>
    </w:p>
    <w:bookmarkEnd w:id="19"/>
    <w:bookmarkStart w:id="20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4"/>
        </w:numPr>
      </w:pPr>
      <w:r>
        <w:t xml:space="preserve">Always verify FFListener configuration when deploying new contracts</w:t>
      </w:r>
    </w:p>
    <w:p>
      <w:pPr>
        <w:pStyle w:val="Compact"/>
        <w:numPr>
          <w:ilvl w:val="0"/>
          <w:numId w:val="1004"/>
        </w:numPr>
      </w:pPr>
      <w:r>
        <w:t xml:space="preserve">Use GET /transfers for human-readable event history (includes type classification)</w:t>
      </w:r>
    </w:p>
    <w:p>
      <w:pPr>
        <w:pStyle w:val="Compact"/>
        <w:numPr>
          <w:ilvl w:val="0"/>
          <w:numId w:val="1004"/>
        </w:numPr>
      </w:pPr>
      <w:r>
        <w:t xml:space="preserve">Use GET /blockchainevents for raw event debugging</w:t>
      </w:r>
    </w:p>
    <w:p>
      <w:pPr>
        <w:pStyle w:val="Compact"/>
        <w:numPr>
          <w:ilvl w:val="0"/>
          <w:numId w:val="1004"/>
        </w:numPr>
      </w:pPr>
      <w:r>
        <w:t xml:space="preserve">Document event flow architecture for team reference</w:t>
      </w:r>
    </w:p>
    <w:p>
      <w:r>
        <w:pict>
          <v:rect style="width:0;height:1.5pt" o:hralign="center" o:hrstd="t" o:hr="t"/>
        </w:pict>
      </w:r>
    </w:p>
    <w:bookmarkEnd w:id="20"/>
    <w:bookmarkStart w:id="21" w:name="test-evidence"/>
    <w:p>
      <w:pPr>
        <w:pStyle w:val="Heading2"/>
      </w:pPr>
      <w:r>
        <w:t xml:space="preserve">6. Test Evidence</w:t>
      </w:r>
    </w:p>
    <w:p>
      <w:pPr>
        <w:pStyle w:val="FirstParagraph"/>
      </w:pPr>
      <w:r>
        <w:t xml:space="preserve">Transactions verified visible in Kaleido: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3852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Transaction Hash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</w:t>
            </w:r>
          </w:p>
        </w:tc>
        <w:tc>
          <w:tcPr/>
          <w:p>
            <w:pPr>
              <w:pStyle w:val="Compact"/>
            </w:pPr>
            <w:r>
              <w:t xml:space="preserve">0xc5c39f60d963d0c882c188a4faee3c64ed2e845cecd89d9271044285ad3a022f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0xc7b30ef0da1e2c90e8eb93125c42790300ec58765555cab5fcdd182cb3d0bffe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</w:t>
            </w:r>
          </w:p>
        </w:tc>
        <w:tc>
          <w:tcPr/>
          <w:p>
            <w:pPr>
              <w:pStyle w:val="Compact"/>
            </w:pPr>
            <w:r>
              <w:t xml:space="preserve">0x72b0a1e7651feaca5d99c5dc33c05afecfc22280fd8ae9ae8be7cc0d7762ba2b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pPr>
        <w:pStyle w:val="BodyText"/>
      </w:pPr>
      <w:r>
        <w:t xml:space="preserve">All events correctly classified by type (mint/transfer/burn) in Asset Manager.</w:t>
      </w:r>
    </w:p>
    <w:p>
      <w:r>
        <w:pict>
          <v:rect style="width:0;height:1.5pt" o:hralign="center" o:hrstd="t" o:hr="t"/>
        </w:pict>
      </w:r>
    </w:p>
    <w:bookmarkEnd w:id="21"/>
    <w:bookmarkStart w:id="22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Blockchain events ARE visible in Kaleido when:</w:t>
      </w:r>
    </w:p>
    <w:p>
      <w:pPr>
        <w:pStyle w:val="Compact"/>
        <w:numPr>
          <w:ilvl w:val="0"/>
          <w:numId w:val="1005"/>
        </w:numPr>
      </w:pPr>
      <w:r>
        <w:t xml:space="preserve">FFListener is properly configured for the contract</w:t>
      </w:r>
    </w:p>
    <w:p>
      <w:pPr>
        <w:pStyle w:val="Compact"/>
        <w:numPr>
          <w:ilvl w:val="0"/>
          <w:numId w:val="1005"/>
        </w:numPr>
      </w:pPr>
      <w:r>
        <w:t xml:space="preserve">Correct endpoint is used for the desired view</w:t>
      </w:r>
    </w:p>
    <w:p>
      <w:pPr>
        <w:pStyle w:val="Compact"/>
        <w:numPr>
          <w:ilvl w:val="0"/>
          <w:numId w:val="1005"/>
        </w:numPr>
      </w:pPr>
      <w:r>
        <w:t xml:space="preserve">Contract has registered FFI (FireFly Interface)</w:t>
      </w:r>
    </w:p>
    <w:p>
      <w:pPr>
        <w:pStyle w:val="FirstParagraph"/>
      </w:pPr>
      <w:r>
        <w:t xml:space="preserve">The perceived</w:t>
      </w:r>
      <w:r>
        <w:t xml:space="preserve"> </w:t>
      </w:r>
      <w:r>
        <w:t xml:space="preserve">“invisibility”</w:t>
      </w:r>
      <w:r>
        <w:t xml:space="preserve"> </w:t>
      </w:r>
      <w:r>
        <w:t xml:space="preserve">was due to checking wrong endpoints or missing configuration steps, not a platform defect.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2026-01-26T21:22:48Z</dcterms:created>
  <dcterms:modified xsi:type="dcterms:W3CDTF">2026-01-26T21:22:48Z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