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investigation-report"/>
    <w:p>
      <w:pPr>
        <w:pStyle w:val="Heading1"/>
      </w:pPr>
      <w:r>
        <w:t xml:space="preserve">Investigation Report</w:t>
      </w:r>
    </w:p>
    <w:bookmarkStart w:id="9" w:name="automated-asset-manager-indexing"/>
    <w:p>
      <w:pPr>
        <w:pStyle w:val="Heading2"/>
      </w:pPr>
      <w:r>
        <w:t xml:space="preserve">Automated Asset Manager Indexing</w:t>
      </w:r>
    </w:p>
    <w:p>
      <w:pPr>
        <w:pStyle w:val="FirstParagraph"/>
      </w:pPr>
      <w:r>
        <w:rPr>
          <w:b/>
          <w:bCs/>
        </w:rPr>
        <w:t xml:space="preserve">Ticket:</w:t>
      </w:r>
      <w:r>
        <w:t xml:space="preserve"> </w:t>
      </w:r>
      <w:r>
        <w:t xml:space="preserve">11890800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2025-01-26</w:t>
      </w:r>
    </w:p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Investigation into why Asset Manager indexing is not fully automated and requires manual configuration steps. Discovered that multiple manual steps are needed to achieve full visibility of tokens and balances.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2"/>
      </w:pPr>
      <w:r>
        <w:t xml:space="preserve">2. Problem Statement</w:t>
      </w:r>
    </w:p>
    <w:p>
      <w:pPr>
        <w:pStyle w:val="FirstParagraph"/>
      </w:pPr>
      <w:r>
        <w:t xml:space="preserve">As a Kaleido developer, I expected Asset Manager to automatically index all blockchain events and display them without manual intervention. However, there is inconsistency between what exists on-chain and what is visible in Kaleido.</w:t>
      </w:r>
    </w:p>
    <w:p>
      <w:r>
        <w:pict>
          <v:rect style="width:0;height:1.5pt" o:hralign="center" o:hrstd="t" o:hr="t"/>
        </w:pict>
      </w:r>
    </w:p>
    <w:bookmarkEnd w:id="11"/>
    <w:bookmarkStart w:id="20" w:name="investigation-findings"/>
    <w:p>
      <w:pPr>
        <w:pStyle w:val="Heading2"/>
      </w:pPr>
      <w:r>
        <w:t xml:space="preserve">3. Investigation Findings</w:t>
      </w:r>
    </w:p>
    <w:bookmarkStart w:id="12" w:name="asset-manager-indexing-components"/>
    <w:p>
      <w:pPr>
        <w:pStyle w:val="Heading3"/>
      </w:pPr>
      <w:r>
        <w:t xml:space="preserve">3.1 Asset Manager Indexing Components</w:t>
      </w:r>
    </w:p>
    <w:p>
      <w:pPr>
        <w:pStyle w:val="FirstParagraph"/>
      </w:pPr>
      <w:r>
        <w:t xml:space="preserve">Asset Manager relies on multiple components for indexing: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Auto-configured?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FFI (FireFly Interface)</w:t>
            </w:r>
          </w:p>
        </w:tc>
        <w:tc>
          <w:tcPr/>
          <w:p>
            <w:pPr>
              <w:pStyle w:val="Compact"/>
            </w:pPr>
            <w:r>
              <w:t xml:space="preserve">Contract ABI registration</w:t>
            </w:r>
          </w:p>
        </w:tc>
        <w:tc>
          <w:tcPr/>
          <w:p>
            <w:pPr>
              <w:pStyle w:val="Compact"/>
            </w:pPr>
            <w:r>
              <w:t xml:space="preserve">NO -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API</w:t>
            </w:r>
          </w:p>
        </w:tc>
        <w:tc>
          <w:tcPr/>
          <w:p>
            <w:pPr>
              <w:pStyle w:val="Compact"/>
            </w:pPr>
            <w:r>
              <w:t xml:space="preserve">REST API for contract</w:t>
            </w:r>
          </w:p>
        </w:tc>
        <w:tc>
          <w:tcPr/>
          <w:p>
            <w:pPr>
              <w:pStyle w:val="Compact"/>
            </w:pPr>
            <w:r>
              <w:t xml:space="preserve">NO -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FFListener</w:t>
            </w:r>
          </w:p>
        </w:tc>
        <w:tc>
          <w:tcPr/>
          <w:p>
            <w:pPr>
              <w:pStyle w:val="Compact"/>
            </w:pPr>
            <w:r>
              <w:t xml:space="preserve">Event subscription</w:t>
            </w:r>
          </w:p>
        </w:tc>
        <w:tc>
          <w:tcPr/>
          <w:p>
            <w:pPr>
              <w:pStyle w:val="Compact"/>
            </w:pPr>
            <w:r>
              <w:t xml:space="preserve">Partially - requires 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Tracking</w:t>
            </w:r>
          </w:p>
        </w:tc>
        <w:tc>
          <w:tcPr/>
          <w:p>
            <w:pPr>
              <w:pStyle w:val="Compact"/>
            </w:pPr>
            <w:r>
              <w:t xml:space="preserve">Track specific addresses</w:t>
            </w:r>
          </w:p>
        </w:tc>
        <w:tc>
          <w:tcPr/>
          <w:p>
            <w:pPr>
              <w:pStyle w:val="Compact"/>
            </w:pPr>
            <w:r>
              <w:t xml:space="preserve">NO - manual</w:t>
            </w:r>
          </w:p>
        </w:tc>
      </w:tr>
    </w:tbl>
    <w:bookmarkEnd w:id="12"/>
    <w:bookmarkStart w:id="17" w:name="root-causes-of-incomplete-indexing"/>
    <w:p>
      <w:pPr>
        <w:pStyle w:val="Heading3"/>
      </w:pPr>
      <w:r>
        <w:t xml:space="preserve">3.2 Root Causes of Incomplete Indexing</w:t>
      </w:r>
    </w:p>
    <w:bookmarkStart w:id="13" w:name="cause-1-ffi-registration-required"/>
    <w:p>
      <w:pPr>
        <w:pStyle w:val="Heading4"/>
      </w:pPr>
      <w:r>
        <w:t xml:space="preserve">Cause 1: FFI Registration Required</w:t>
      </w:r>
    </w:p>
    <w:p>
      <w:pPr>
        <w:pStyle w:val="Compact"/>
        <w:numPr>
          <w:ilvl w:val="0"/>
          <w:numId w:val="1001"/>
        </w:numPr>
      </w:pPr>
      <w:r>
        <w:t xml:space="preserve">New smart contracts require FireFly Interface (FFI) registration</w:t>
      </w:r>
    </w:p>
    <w:p>
      <w:pPr>
        <w:pStyle w:val="Compact"/>
        <w:numPr>
          <w:ilvl w:val="0"/>
          <w:numId w:val="1001"/>
        </w:numPr>
      </w:pPr>
      <w:r>
        <w:t xml:space="preserve">Without FFI, Asset Manager cannot decode contract events</w:t>
      </w:r>
    </w:p>
    <w:p>
      <w:pPr>
        <w:pStyle w:val="Compact"/>
        <w:numPr>
          <w:ilvl w:val="0"/>
          <w:numId w:val="1001"/>
        </w:numPr>
      </w:pPr>
      <w:r>
        <w:t xml:space="preserve">Manual step: POST /contracts/interfaces with contract ABI</w:t>
      </w:r>
    </w:p>
    <w:bookmarkEnd w:id="13"/>
    <w:bookmarkStart w:id="14" w:name="cause-2-contract-api-creation"/>
    <w:p>
      <w:pPr>
        <w:pStyle w:val="Heading4"/>
      </w:pPr>
      <w:r>
        <w:t xml:space="preserve">Cause 2: Contract API Creation</w:t>
      </w:r>
    </w:p>
    <w:p>
      <w:pPr>
        <w:pStyle w:val="Compact"/>
        <w:numPr>
          <w:ilvl w:val="0"/>
          <w:numId w:val="1002"/>
        </w:numPr>
      </w:pPr>
      <w:r>
        <w:t xml:space="preserve">Contract API must be explicitly created for each contract</w:t>
      </w:r>
    </w:p>
    <w:p>
      <w:pPr>
        <w:pStyle w:val="Compact"/>
        <w:numPr>
          <w:ilvl w:val="0"/>
          <w:numId w:val="1002"/>
        </w:numPr>
      </w:pPr>
      <w:r>
        <w:t xml:space="preserve">This maps FFI to deployed contract address</w:t>
      </w:r>
    </w:p>
    <w:p>
      <w:pPr>
        <w:pStyle w:val="Compact"/>
        <w:numPr>
          <w:ilvl w:val="0"/>
          <w:numId w:val="1002"/>
        </w:numPr>
      </w:pPr>
      <w:r>
        <w:t xml:space="preserve">Manual step: POST /apis with contract address and FFI reference</w:t>
      </w:r>
    </w:p>
    <w:bookmarkEnd w:id="14"/>
    <w:bookmarkStart w:id="15" w:name="cause-3-address-tracking"/>
    <w:p>
      <w:pPr>
        <w:pStyle w:val="Heading4"/>
      </w:pPr>
      <w:r>
        <w:t xml:space="preserve">Cause 3: Address Tracking</w:t>
      </w:r>
    </w:p>
    <w:p>
      <w:pPr>
        <w:pStyle w:val="Compact"/>
        <w:numPr>
          <w:ilvl w:val="0"/>
          <w:numId w:val="1003"/>
        </w:numPr>
      </w:pPr>
      <w:r>
        <w:t xml:space="preserve">Asset Manager only tracks explicitly registered addresses</w:t>
      </w:r>
    </w:p>
    <w:p>
      <w:pPr>
        <w:pStyle w:val="Compact"/>
        <w:numPr>
          <w:ilvl w:val="0"/>
          <w:numId w:val="1003"/>
        </w:numPr>
      </w:pPr>
      <w:r>
        <w:t xml:space="preserve">Treasury wallets and user wallets must be added to tracking</w:t>
      </w:r>
    </w:p>
    <w:p>
      <w:pPr>
        <w:pStyle w:val="Compact"/>
        <w:numPr>
          <w:ilvl w:val="0"/>
          <w:numId w:val="1003"/>
        </w:numPr>
      </w:pPr>
      <w:r>
        <w:t xml:space="preserve">Manual steps:</w:t>
      </w:r>
    </w:p>
    <w:p>
      <w:pPr>
        <w:pStyle w:val="Compact"/>
        <w:numPr>
          <w:ilvl w:val="1"/>
          <w:numId w:val="1004"/>
        </w:numPr>
      </w:pPr>
      <w:r>
        <w:t xml:space="preserve">PATCH /addresses/{address} for contract</w:t>
      </w:r>
    </w:p>
    <w:p>
      <w:pPr>
        <w:pStyle w:val="Compact"/>
        <w:numPr>
          <w:ilvl w:val="1"/>
          <w:numId w:val="1004"/>
        </w:numPr>
      </w:pPr>
      <w:r>
        <w:t xml:space="preserve">PATCH /addresses/{address} for each wallet</w:t>
      </w:r>
    </w:p>
    <w:bookmarkEnd w:id="15"/>
    <w:bookmarkStart w:id="16" w:name="cause-4-display-names-not-auto-populated"/>
    <w:p>
      <w:pPr>
        <w:pStyle w:val="Heading4"/>
      </w:pPr>
      <w:r>
        <w:t xml:space="preserve">Cause 4: Display Names Not Auto-populated</w:t>
      </w:r>
    </w:p>
    <w:p>
      <w:pPr>
        <w:pStyle w:val="Compact"/>
        <w:numPr>
          <w:ilvl w:val="0"/>
          <w:numId w:val="1005"/>
        </w:numPr>
      </w:pPr>
      <w:r>
        <w:t xml:space="preserve">Assets appear with technical IDs, not human-readable names</w:t>
      </w:r>
    </w:p>
    <w:p>
      <w:pPr>
        <w:pStyle w:val="Compact"/>
        <w:numPr>
          <w:ilvl w:val="0"/>
          <w:numId w:val="1005"/>
        </w:numPr>
      </w:pPr>
      <w:r>
        <w:t xml:space="preserve">displayName and description fields require manual PATCH</w:t>
      </w:r>
    </w:p>
    <w:p>
      <w:pPr>
        <w:pStyle w:val="Compact"/>
        <w:numPr>
          <w:ilvl w:val="0"/>
          <w:numId w:val="1005"/>
        </w:numPr>
      </w:pPr>
      <w:r>
        <w:t xml:space="preserve">API quirk: Cannot change</w:t>
      </w:r>
      <w:r>
        <w:t xml:space="preserve"> </w:t>
      </w:r>
      <w:r>
        <w:t xml:space="preserve">“name”</w:t>
      </w:r>
      <w:r>
        <w:t xml:space="preserve"> </w:t>
      </w:r>
      <w:r>
        <w:t xml:space="preserve">field after creation (causes 404 error)</w:t>
      </w:r>
    </w:p>
    <w:bookmarkEnd w:id="16"/>
    <w:bookmarkEnd w:id="17"/>
    <w:bookmarkStart w:id="18" w:name="wallet-manager-separation"/>
    <w:p>
      <w:pPr>
        <w:pStyle w:val="Heading3"/>
      </w:pPr>
      <w:r>
        <w:t xml:space="preserve">3.3 Wallet Manager Separation</w:t>
      </w:r>
    </w:p>
    <w:p>
      <w:pPr>
        <w:pStyle w:val="FirstParagraph"/>
      </w:pPr>
      <w:r>
        <w:t xml:space="preserve">Critical finding: Asset Manager and Wallet Manager are separate systems.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Auto-sync?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Manager</w:t>
            </w:r>
          </w:p>
        </w:tc>
        <w:tc>
          <w:tcPr/>
          <w:p>
            <w:pPr>
              <w:pStyle w:val="Compact"/>
            </w:pPr>
            <w:r>
              <w:t xml:space="preserve">Event indexing, transfer history</w:t>
            </w:r>
          </w:p>
        </w:tc>
        <w:tc>
          <w:tcPr/>
          <w:p>
            <w:pPr>
              <w:pStyle w:val="Compact"/>
            </w:pPr>
            <w:r>
              <w:t xml:space="preserve">Indexes from FFListener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Wallet Manager</w:t>
            </w:r>
          </w:p>
        </w:tc>
        <w:tc>
          <w:tcPr/>
          <w:p>
            <w:pPr>
              <w:pStyle w:val="Compact"/>
            </w:pPr>
            <w:r>
              <w:t xml:space="preserve">Balance display, custody UI</w:t>
            </w:r>
          </w:p>
        </w:tc>
        <w:tc>
          <w:tcPr/>
          <w:p>
            <w:pPr>
              <w:pStyle w:val="Compact"/>
            </w:pPr>
            <w:r>
              <w:t xml:space="preserve">NO - requires manual asset connection</w:t>
            </w:r>
          </w:p>
        </w:tc>
      </w:tr>
    </w:tbl>
    <w:p>
      <w:pPr>
        <w:pStyle w:val="BodyText"/>
      </w:pPr>
      <w:r>
        <w:t xml:space="preserve">To display tokens in Wallet Manager:</w:t>
      </w:r>
    </w:p>
    <w:p>
      <w:pPr>
        <w:pStyle w:val="Compact"/>
        <w:numPr>
          <w:ilvl w:val="0"/>
          <w:numId w:val="1006"/>
        </w:numPr>
      </w:pPr>
      <w:r>
        <w:t xml:space="preserve">POST /assets - Create asset definition</w:t>
      </w:r>
    </w:p>
    <w:p>
      <w:pPr>
        <w:pStyle w:val="Compact"/>
        <w:numPr>
          <w:ilvl w:val="0"/>
          <w:numId w:val="1006"/>
        </w:numPr>
      </w:pPr>
      <w:r>
        <w:t xml:space="preserve">POST /wallets/{wallet}/connect/{asset} - Connect each wallet</w:t>
      </w:r>
    </w:p>
    <w:bookmarkEnd w:id="18"/>
    <w:bookmarkStart w:id="19" w:name="api-issues-encountered"/>
    <w:p>
      <w:pPr>
        <w:pStyle w:val="Heading3"/>
      </w:pPr>
      <w:r>
        <w:t xml:space="preserve">3.4 API Issues Encountered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0"/>
        <w:gridCol w:w="336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Error Message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with spaces</w:t>
            </w:r>
          </w:p>
        </w:tc>
        <w:tc>
          <w:tcPr/>
          <w:p>
            <w:pPr>
              <w:pStyle w:val="Compact"/>
            </w:pPr>
            <w:r>
              <w:t xml:space="preserve">“must include only alphanumerics, dot, dash, underscore”</w:t>
            </w:r>
          </w:p>
        </w:tc>
        <w:tc>
          <w:tcPr/>
          <w:p>
            <w:pPr>
              <w:pStyle w:val="Compact"/>
            </w:pPr>
            <w:r>
              <w:t xml:space="preserve">Use kebab-case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Changing name field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  <w:r>
              <w:t xml:space="preserve"> </w:t>
            </w:r>
            <w:r>
              <w:t xml:space="preserve">“Object does not exist”</w:t>
            </w:r>
          </w:p>
        </w:tc>
        <w:tc>
          <w:tcPr/>
          <w:p>
            <w:pPr>
              <w:pStyle w:val="Compact"/>
            </w:pPr>
            <w:r>
              <w:t xml:space="preserve">Only update displayName, not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wallet connection</w:t>
            </w:r>
          </w:p>
        </w:tc>
        <w:tc>
          <w:tcPr/>
          <w:p>
            <w:pPr>
              <w:pStyle w:val="Compact"/>
            </w:pPr>
            <w:r>
              <w:t xml:space="preserve">Token not visible in Custody</w:t>
            </w:r>
          </w:p>
        </w:tc>
        <w:tc>
          <w:tcPr/>
          <w:p>
            <w:pPr>
              <w:pStyle w:val="Compact"/>
            </w:pPr>
            <w:r>
              <w:t xml:space="preserve">Manually connect wallet to asset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steps-required-for-full-indexing"/>
    <w:p>
      <w:pPr>
        <w:pStyle w:val="Heading2"/>
      </w:pPr>
      <w:r>
        <w:t xml:space="preserve">4. Steps Required for Full Indexing</w:t>
      </w:r>
    </w:p>
    <w:bookmarkStart w:id="21" w:name="asset-manager-setup-for-event-visibility"/>
    <w:p>
      <w:pPr>
        <w:pStyle w:val="Heading3"/>
      </w:pPr>
      <w:r>
        <w:t xml:space="preserve">Asset Manager Setup (for event visibility)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POST /contracts/interfaces</w:t>
            </w:r>
          </w:p>
        </w:tc>
        <w:tc>
          <w:tcPr/>
          <w:p>
            <w:pPr>
              <w:pStyle w:val="Compact"/>
            </w:pPr>
            <w:r>
              <w:t xml:space="preserve">Register 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POST /apis</w:t>
            </w:r>
          </w:p>
        </w:tc>
        <w:tc>
          <w:tcPr/>
          <w:p>
            <w:pPr>
              <w:pStyle w:val="Compact"/>
            </w:pPr>
            <w:r>
              <w:t xml:space="preserve">Create Contract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PATCH /assets/{id}</w:t>
            </w:r>
          </w:p>
        </w:tc>
        <w:tc>
          <w:tcPr/>
          <w:p>
            <w:pPr>
              <w:pStyle w:val="Compact"/>
            </w:pPr>
            <w:r>
              <w:t xml:space="preserve">Set displayName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PATCH /addresses/{contract}</w:t>
            </w:r>
          </w:p>
        </w:tc>
        <w:tc>
          <w:tcPr/>
          <w:p>
            <w:pPr>
              <w:pStyle w:val="Compact"/>
            </w:pPr>
            <w:r>
              <w:t xml:space="preserve">Track contract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PATCH /addresses/{wallet}</w:t>
            </w:r>
          </w:p>
        </w:tc>
        <w:tc>
          <w:tcPr/>
          <w:p>
            <w:pPr>
              <w:pStyle w:val="Compact"/>
            </w:pPr>
            <w:r>
              <w:t xml:space="preserve">Track wallet addresses</w:t>
            </w:r>
          </w:p>
        </w:tc>
      </w:tr>
    </w:tbl>
    <w:bookmarkEnd w:id="21"/>
    <w:bookmarkStart w:id="22" w:name="Xa9b415e23a0c882ae6e38c4e79b217a6cc151dc"/>
    <w:p>
      <w:pPr>
        <w:pStyle w:val="Heading3"/>
      </w:pPr>
      <w:r>
        <w:t xml:space="preserve">Wallet Manager Setup (for balance visibility)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POST /assets</w:t>
            </w:r>
          </w:p>
        </w:tc>
        <w:tc>
          <w:tcPr/>
          <w:p>
            <w:pPr>
              <w:pStyle w:val="Compact"/>
            </w:pPr>
            <w:r>
              <w:t xml:space="preserve">Create asset in Wallet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POST /wallets/{id}/connect/{asset}</w:t>
            </w:r>
          </w:p>
        </w:tc>
        <w:tc>
          <w:tcPr/>
          <w:p>
            <w:pPr>
              <w:pStyle w:val="Compact"/>
            </w:pPr>
            <w:r>
              <w:t xml:space="preserve">Connect each wallet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solution"/>
    <w:p>
      <w:pPr>
        <w:pStyle w:val="Heading2"/>
      </w:pPr>
      <w:r>
        <w:t xml:space="preserve">5. Resolution</w:t>
      </w:r>
    </w:p>
    <w:p>
      <w:pPr>
        <w:pStyle w:val="Compact"/>
        <w:numPr>
          <w:ilvl w:val="0"/>
          <w:numId w:val="1007"/>
        </w:numPr>
      </w:pPr>
      <w:r>
        <w:t xml:space="preserve">Documented all manual steps required for complete indexing</w:t>
      </w:r>
    </w:p>
    <w:p>
      <w:pPr>
        <w:pStyle w:val="Compact"/>
        <w:numPr>
          <w:ilvl w:val="0"/>
          <w:numId w:val="1007"/>
        </w:numPr>
      </w:pPr>
      <w:r>
        <w:t xml:space="preserve">Identified API limitations (name field immutability)</w:t>
      </w:r>
    </w:p>
    <w:p>
      <w:pPr>
        <w:pStyle w:val="Compact"/>
        <w:numPr>
          <w:ilvl w:val="0"/>
          <w:numId w:val="1007"/>
        </w:numPr>
      </w:pPr>
      <w:r>
        <w:t xml:space="preserve">Created working configuration for test token (STTN)</w:t>
      </w:r>
    </w:p>
    <w:p>
      <w:pPr>
        <w:pStyle w:val="Compact"/>
        <w:numPr>
          <w:ilvl w:val="0"/>
          <w:numId w:val="1007"/>
        </w:numPr>
      </w:pPr>
      <w:r>
        <w:t xml:space="preserve">Verified indexing working after manual configuration</w:t>
      </w:r>
    </w:p>
    <w:p>
      <w:r>
        <w:pict>
          <v:rect style="width:0;height:1.5pt" o:hralign="center" o:hrstd="t" o:hr="t"/>
        </w:pict>
      </w:r>
    </w:p>
    <w:bookmarkEnd w:id="24"/>
    <w:bookmarkStart w:id="27" w:name="recommendations"/>
    <w:p>
      <w:pPr>
        <w:pStyle w:val="Heading2"/>
      </w:pPr>
      <w:r>
        <w:t xml:space="preserve">6. Recommendations</w:t>
      </w:r>
    </w:p>
    <w:bookmarkStart w:id="25" w:name="short-term"/>
    <w:p>
      <w:pPr>
        <w:pStyle w:val="Heading3"/>
      </w:pPr>
      <w:r>
        <w:t xml:space="preserve">Short-term</w:t>
      </w:r>
    </w:p>
    <w:p>
      <w:pPr>
        <w:pStyle w:val="Compact"/>
        <w:numPr>
          <w:ilvl w:val="0"/>
          <w:numId w:val="1008"/>
        </w:numPr>
      </w:pPr>
      <w:r>
        <w:t xml:space="preserve">Create runbook documenting all required configuration steps</w:t>
      </w:r>
    </w:p>
    <w:p>
      <w:pPr>
        <w:pStyle w:val="Compact"/>
        <w:numPr>
          <w:ilvl w:val="0"/>
          <w:numId w:val="1008"/>
        </w:numPr>
      </w:pPr>
      <w:r>
        <w:t xml:space="preserve">Use consistent naming convention (kebab-case) for assets</w:t>
      </w:r>
    </w:p>
    <w:bookmarkEnd w:id="25"/>
    <w:bookmarkStart w:id="26" w:name="long-term"/>
    <w:p>
      <w:pPr>
        <w:pStyle w:val="Heading3"/>
      </w:pPr>
      <w:r>
        <w:t xml:space="preserve">Long-term</w:t>
      </w:r>
    </w:p>
    <w:p>
      <w:pPr>
        <w:pStyle w:val="Compact"/>
        <w:numPr>
          <w:ilvl w:val="0"/>
          <w:numId w:val="1009"/>
        </w:numPr>
      </w:pPr>
      <w:r>
        <w:t xml:space="preserve">Request Kaleido feature: Auto-detect new contracts from known factories</w:t>
      </w:r>
    </w:p>
    <w:p>
      <w:pPr>
        <w:pStyle w:val="Compact"/>
        <w:numPr>
          <w:ilvl w:val="0"/>
          <w:numId w:val="1009"/>
        </w:numPr>
      </w:pPr>
      <w:r>
        <w:t xml:space="preserve">Request Kaleido feature: Auto-connect wallets to new assets</w:t>
      </w:r>
    </w:p>
    <w:p>
      <w:pPr>
        <w:pStyle w:val="Compact"/>
        <w:numPr>
          <w:ilvl w:val="0"/>
          <w:numId w:val="1009"/>
        </w:numPr>
      </w:pPr>
      <w:r>
        <w:t xml:space="preserve">Consider Terraform automation for repeatable setup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st-evidence"/>
    <w:p>
      <w:pPr>
        <w:pStyle w:val="Heading2"/>
      </w:pPr>
      <w:r>
        <w:t xml:space="preserve">7. Test Evidence</w:t>
      </w:r>
    </w:p>
    <w:p>
      <w:pPr>
        <w:pStyle w:val="FirstParagraph"/>
      </w:pPr>
      <w:r>
        <w:t xml:space="preserve">After manual configuration, indexing works correctly.</w:t>
      </w:r>
    </w:p>
    <w:p>
      <w:pPr>
        <w:pStyle w:val="BodyText"/>
      </w:pPr>
      <w:r>
        <w:rPr>
          <w:b/>
          <w:bCs/>
        </w:rPr>
        <w:t xml:space="preserve">Asset Manager (GET /transfers):</w:t>
      </w:r>
    </w:p>
    <w:p>
      <w:pPr>
        <w:pStyle w:val="Compact"/>
        <w:numPr>
          <w:ilvl w:val="0"/>
          <w:numId w:val="1010"/>
        </w:numPr>
      </w:pPr>
      <w:r>
        <w:t xml:space="preserve">Shows all MINT/TRANSFER/BURN events</w:t>
      </w:r>
    </w:p>
    <w:p>
      <w:pPr>
        <w:pStyle w:val="Compact"/>
        <w:numPr>
          <w:ilvl w:val="0"/>
          <w:numId w:val="1010"/>
        </w:numPr>
      </w:pPr>
      <w:r>
        <w:t xml:space="preserve">Correctly classifies transaction types</w:t>
      </w:r>
    </w:p>
    <w:p>
      <w:pPr>
        <w:pStyle w:val="Compact"/>
        <w:numPr>
          <w:ilvl w:val="0"/>
          <w:numId w:val="1010"/>
        </w:numPr>
      </w:pPr>
      <w:r>
        <w:t xml:space="preserve">Links to correct addresses</w:t>
      </w:r>
    </w:p>
    <w:p>
      <w:pPr>
        <w:pStyle w:val="FirstParagraph"/>
      </w:pPr>
      <w:r>
        <w:rPr>
          <w:b/>
          <w:bCs/>
        </w:rPr>
        <w:t xml:space="preserve">Wallet Manager: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Wallet</w:t>
            </w:r>
          </w:p>
        </w:tc>
        <w:tc>
          <w:tcPr/>
          <w:p>
            <w:pPr>
              <w:pStyle w:val="Compact"/>
            </w:pPr>
            <w:r>
              <w:t xml:space="preserve">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test-wallet-1</w:t>
            </w:r>
          </w:p>
        </w:tc>
        <w:tc>
          <w:tcPr/>
          <w:p>
            <w:pPr>
              <w:pStyle w:val="Compact"/>
            </w:pPr>
            <w:r>
              <w:t xml:space="preserve">6.70 STTN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test-wallet-2</w:t>
            </w:r>
          </w:p>
        </w:tc>
        <w:tc>
          <w:tcPr/>
          <w:p>
            <w:pPr>
              <w:pStyle w:val="Compact"/>
            </w:pPr>
            <w:r>
              <w:t xml:space="preserve">0.10 STTN</w:t>
            </w:r>
          </w:p>
        </w:tc>
      </w:tr>
    </w:tbl>
    <w:p>
      <w:pPr>
        <w:pStyle w:val="BodyText"/>
      </w:pPr>
      <w:r>
        <w:t xml:space="preserve">Balances update after each transaction.</w:t>
      </w:r>
    </w:p>
    <w:p>
      <w:r>
        <w:pict>
          <v:rect style="width:0;height:1.5pt" o:hralign="center" o:hrstd="t" o:hr="t"/>
        </w:pict>
      </w:r>
    </w:p>
    <w:bookmarkEnd w:id="28"/>
    <w:bookmarkStart w:id="29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Asset Manager indexing is NOT fully automated. Significant manual configuration is required:</w:t>
      </w:r>
    </w:p>
    <w:p>
      <w:pPr>
        <w:pStyle w:val="Compact"/>
        <w:numPr>
          <w:ilvl w:val="0"/>
          <w:numId w:val="1011"/>
        </w:numPr>
      </w:pPr>
      <w:r>
        <w:t xml:space="preserve">5 steps for Asset Manager</w:t>
      </w:r>
    </w:p>
    <w:p>
      <w:pPr>
        <w:pStyle w:val="Compact"/>
        <w:numPr>
          <w:ilvl w:val="0"/>
          <w:numId w:val="1011"/>
        </w:numPr>
      </w:pPr>
      <w:r>
        <w:t xml:space="preserve">2 steps per wallet for Wallet Manager</w:t>
      </w:r>
    </w:p>
    <w:p>
      <w:pPr>
        <w:pStyle w:val="FirstParagraph"/>
      </w:pPr>
      <w:r>
        <w:t xml:space="preserve">This explains why initial token deployment did not result in immediate visibility. The platform requires explicit configuration at multiple layers.</w:t>
      </w:r>
    </w:p>
    <w:p>
      <w:pPr>
        <w:pStyle w:val="BodyText"/>
      </w:pPr>
      <w:r>
        <w:rPr>
          <w:b/>
          <w:bCs/>
        </w:rPr>
        <w:t xml:space="preserve">Estimated setup time per new token:</w:t>
      </w:r>
      <w:r>
        <w:t xml:space="preserve"> </w:t>
      </w:r>
      <w:r>
        <w:t xml:space="preserve">30-60 minutes (manual) or approximately 5 minutes (with Terraform automation)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2026-01-26T21:22:48Z</dcterms:created>
  <dcterms:modified xsi:type="dcterms:W3CDTF">2026-01-26T21:22:48Z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