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B6469"/>
          <w:sz w:val="52"/>
          <w:szCs w:val="52"/>
        </w:rPr>
        <w:t xml:space="preserve">DataSousChef</w:t>
      </w:r>
    </w:p>
    <w:p>
      <w:pPr>
        <w:spacing w:after="80"/>
      </w:pPr>
      <w:r>
        <w:rPr>
          <w:rFonts w:ascii="Arial" w:cs="Arial" w:eastAsia="Arial" w:hAnsi="Arial"/>
          <w:color w:val="444444"/>
          <w:sz w:val="32"/>
          <w:szCs w:val="32"/>
        </w:rPr>
        <w:t xml:space="preserve">QA Testing Report — Bug Log for Antigravity</w:t>
      </w:r>
    </w:p>
    <w:p>
      <w:pPr>
        <w:spacing w:after="80"/>
      </w:pPr>
      <w:r>
        <w:rPr>
          <w:rFonts w:ascii="Arial" w:cs="Arial" w:eastAsia="Arial" w:hAnsi="Arial"/>
          <w:color w:val="666666"/>
          <w:sz w:val="20"/>
          <w:szCs w:val="20"/>
        </w:rPr>
        <w:t xml:space="preserve">Prepared by: Researcher / QA Tester  |  Date: 22 June 2026</w:t>
      </w:r>
    </w:p>
    <w:p>
      <w:pPr>
        <w:spacing w:after="80"/>
      </w:pPr>
      <w:r>
        <w:rPr>
          <w:rFonts w:ascii="Arial" w:cs="Arial" w:eastAsia="Arial" w:hAnsi="Arial"/>
          <w:i/>
          <w:iCs/>
          <w:color w:val="666666"/>
          <w:sz w:val="20"/>
          <w:szCs w:val="20"/>
        </w:rPr>
        <w:t xml:space="preserve">URL under test: https://niceroxy.github.io/datasouschef/frontend/index.html</w:t>
      </w:r>
    </w:p>
    <w:p>
      <w:pPr>
        <w:spacing w:after="24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color w:val="1A5276"/>
                <w:sz w:val="20"/>
                <w:szCs w:val="20"/>
              </w:rPr>
              <w:t xml:space="preserve">Scope of testing</w:t>
            </w:r>
          </w:p>
          <w:p>
            <w:r>
              <w:rPr>
                <w:rFonts w:ascii="Arial" w:cs="Arial" w:eastAsia="Arial" w:hAnsi="Arial"/>
                <w:sz w:val="19"/>
                <w:szCs w:val="19"/>
              </w:rPr>
              <w:t xml:space="preserve">This report records all broken links, missing functionality, logic errors, and data-cleaning rule gaps identified during a structured QA session against the DataSousChef landing page and embedded app modal (https://niceroxy.github.io/datasouschef/frontend/index.html). Testing used two purpose-built messy dummy datasets — a student register and a student module results file — which contain 20+ deliberate data quality problems including date format inconsistencies, categorical value variants, logical conflicts between columns, and cross-dataset linkage issues.</w:t>
            </w:r>
          </w:p>
        </w:tc>
      </w:tr>
    </w:tbl>
    <w:p>
      <w:pPr>
        <w:spacing w:after="80"/>
      </w:pPr>
      <w:r>
        <w:t xml:space="preserve"/>
      </w:r>
    </w:p>
    <w:p>
      <w:pPr>
        <w:spacing w:after="120"/>
      </w:pPr>
      <w:r>
        <w:rPr>
          <w:rFonts w:ascii="Arial" w:cs="Arial" w:eastAsia="Arial" w:hAnsi="Arial"/>
          <w:sz w:val="20"/>
          <w:szCs w:val="20"/>
        </w:rPr>
        <w:t xml:space="preserve">A total of 21 issues were identified across four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12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312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Broken / dead links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 blocks navigation</w:t>
            </w:r>
          </w:p>
        </w:tc>
      </w:tr>
      <w:tr>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UI / modal malfunctions</w:t>
            </w:r>
          </w:p>
        </w:tc>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High — blocks onboarding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 workflow gaps (no app beyond landing)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Critical — core function unavailable</w:t>
            </w:r>
          </w:p>
        </w:tc>
      </w:tr>
      <w:tr>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Data cleaning rule omissions</w:t>
            </w:r>
          </w:p>
        </w:tc>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Medium — affects output quality</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2. Test Datasets Created</w:t>
      </w:r>
    </w:p>
    <w:p>
      <w:pPr>
        <w:pStyle w:val="Heading2"/>
        <w:spacing w:after="120" w:before="240"/>
      </w:pPr>
      <w:r>
        <w:rPr>
          <w:rFonts w:ascii="Arial" w:cs="Arial" w:eastAsia="Arial" w:hAnsi="Arial"/>
          <w:b/>
          <w:bCs/>
          <w:color w:val="333333"/>
          <w:sz w:val="24"/>
          <w:szCs w:val="24"/>
        </w:rPr>
        <w:t xml:space="preserve">2.1 Dataset A — Student Register</w:t>
      </w:r>
    </w:p>
    <w:p>
      <w:pPr>
        <w:spacing w:after="120"/>
      </w:pPr>
      <w:r>
        <w:rPr>
          <w:rFonts w:ascii="Arial" w:cs="Arial" w:eastAsia="Arial" w:hAnsi="Arial"/>
          <w:sz w:val="20"/>
          <w:szCs w:val="20"/>
        </w:rPr>
        <w:t xml:space="preserve">File: student_register.csv  |  Rows: 20 students  |  Columns: 14</w:t>
      </w:r>
    </w:p>
    <w:p>
      <w:pPr>
        <w:spacing w:after="80"/>
      </w:pPr>
      <w:r>
        <w:t xml:space="preserve"/>
      </w:r>
    </w:p>
    <w:p>
      <w:pPr>
        <w:spacing w:after="120"/>
      </w:pPr>
      <w:r>
        <w:rPr>
          <w:rFonts w:ascii="Arial" w:cs="Arial" w:eastAsia="Arial" w:hAnsi="Arial"/>
          <w:sz w:val="20"/>
          <w:szCs w:val="20"/>
        </w:rPr>
        <w:t xml:space="preserve">Deliberate data quality problems embedded:</w:t>
      </w:r>
    </w:p>
    <w:p>
      <w:pPr>
        <w:pStyle w:val="ListParagraph"/>
        <w:numPr>
          <w:ilvl w:val="0"/>
          <w:numId w:val="2"/>
        </w:numPr>
        <w:spacing w:after="80"/>
      </w:pPr>
      <w:r>
        <w:rPr>
          <w:rFonts w:ascii="Arial" w:cs="Arial" w:eastAsia="Arial" w:hAnsi="Arial"/>
          <w:sz w:val="20"/>
          <w:szCs w:val="20"/>
        </w:rPr>
        <w:t xml:space="preserve">Date of Birth: three mixed formats — DD/MM/YYYY (10 records), YYYY-MM-DD (7), DD-MM-YYYY (2), plus one missing value (STU006)</w:t>
      </w:r>
    </w:p>
    <w:p>
      <w:pPr>
        <w:pStyle w:val="ListParagraph"/>
        <w:numPr>
          <w:ilvl w:val="0"/>
          <w:numId w:val="2"/>
        </w:numPr>
        <w:spacing w:after="80"/>
      </w:pPr>
      <w:r>
        <w:rPr>
          <w:rFonts w:ascii="Arial" w:cs="Arial" w:eastAsia="Arial" w:hAnsi="Arial"/>
          <w:sz w:val="20"/>
          <w:szCs w:val="20"/>
        </w:rPr>
        <w:t xml:space="preserve">Register Date: three mixed formats — DD-Mon-YYYY (e.g. "01-Sep-2023"), DD/MM/YYYY, and YYYY-MM-DD</w:t>
      </w:r>
    </w:p>
    <w:p>
      <w:pPr>
        <w:pStyle w:val="ListParagraph"/>
        <w:numPr>
          <w:ilvl w:val="0"/>
          <w:numId w:val="2"/>
        </w:numPr>
        <w:spacing w:after="80"/>
      </w:pPr>
      <w:r>
        <w:rPr>
          <w:rFonts w:ascii="Arial" w:cs="Arial" w:eastAsia="Arial" w:hAnsi="Arial"/>
          <w:sz w:val="20"/>
          <w:szCs w:val="20"/>
        </w:rPr>
        <w:t xml:space="preserve">Register Status: 9 variant spellings of 5 canonical values — "active", "Active", "ACTIVE"; "Withdrwal" (typo for Withdrawn); "WITHDRAWN"; "suspended"; "Suspend"; "Interrupted"; "Defer"</w:t>
      </w:r>
    </w:p>
    <w:p>
      <w:pPr>
        <w:pStyle w:val="ListParagraph"/>
        <w:numPr>
          <w:ilvl w:val="0"/>
          <w:numId w:val="2"/>
        </w:numPr>
        <w:spacing w:after="80"/>
      </w:pPr>
      <w:r>
        <w:rPr>
          <w:rFonts w:ascii="Arial" w:cs="Arial" w:eastAsia="Arial" w:hAnsi="Arial"/>
          <w:sz w:val="20"/>
          <w:szCs w:val="20"/>
        </w:rPr>
        <w:t xml:space="preserve">Gender: five variants — "Male", "Female", "M", "F", "female"</w:t>
      </w:r>
    </w:p>
    <w:p>
      <w:pPr>
        <w:pStyle w:val="ListParagraph"/>
        <w:numPr>
          <w:ilvl w:val="0"/>
          <w:numId w:val="2"/>
        </w:numPr>
        <w:spacing w:after="80"/>
      </w:pPr>
      <w:r>
        <w:rPr>
          <w:rFonts w:ascii="Arial" w:cs="Arial" w:eastAsia="Arial" w:hAnsi="Arial"/>
          <w:sz w:val="20"/>
          <w:szCs w:val="20"/>
        </w:rPr>
        <w:t xml:space="preserve">Mode of Study: six variants — "Full Time", "full-time", "Full-time", "full time", "Part Time", "Part time"</w:t>
      </w:r>
    </w:p>
    <w:p>
      <w:pPr>
        <w:pStyle w:val="ListParagraph"/>
        <w:numPr>
          <w:ilvl w:val="0"/>
          <w:numId w:val="2"/>
        </w:numPr>
        <w:spacing w:after="80"/>
      </w:pPr>
      <w:r>
        <w:rPr>
          <w:rFonts w:ascii="Arial" w:cs="Arial" w:eastAsia="Arial" w:hAnsi="Arial"/>
          <w:sz w:val="20"/>
          <w:szCs w:val="20"/>
        </w:rPr>
        <w:t xml:space="preserve">Student ID case: STU015 stored as "stu015" (lowercase)</w:t>
      </w:r>
    </w:p>
    <w:p>
      <w:pPr>
        <w:spacing w:after="80"/>
      </w:pPr>
      <w:r>
        <w:t xml:space="preserve"/>
      </w:r>
    </w:p>
    <w:p>
      <w:pPr>
        <w:pStyle w:val="Heading2"/>
        <w:spacing w:after="120" w:before="240"/>
      </w:pPr>
      <w:r>
        <w:rPr>
          <w:rFonts w:ascii="Arial" w:cs="Arial" w:eastAsia="Arial" w:hAnsi="Arial"/>
          <w:b/>
          <w:bCs/>
          <w:color w:val="333333"/>
          <w:sz w:val="24"/>
          <w:szCs w:val="24"/>
        </w:rPr>
        <w:t xml:space="preserve">2.2 Dataset B — Student Module Results</w:t>
      </w:r>
    </w:p>
    <w:p>
      <w:pPr>
        <w:spacing w:after="120"/>
      </w:pPr>
      <w:r>
        <w:rPr>
          <w:rFonts w:ascii="Arial" w:cs="Arial" w:eastAsia="Arial" w:hAnsi="Arial"/>
          <w:sz w:val="20"/>
          <w:szCs w:val="20"/>
        </w:rPr>
        <w:t xml:space="preserve">File: student_module_results.csv  |  Rows: 33 result records  |  Columns: 13</w:t>
      </w:r>
    </w:p>
    <w:p>
      <w:pPr>
        <w:spacing w:after="80"/>
      </w:pPr>
      <w:r>
        <w:t xml:space="preserve"/>
      </w:r>
    </w:p>
    <w:p>
      <w:pPr>
        <w:spacing w:after="120"/>
      </w:pPr>
      <w:r>
        <w:rPr>
          <w:rFonts w:ascii="Arial" w:cs="Arial" w:eastAsia="Arial" w:hAnsi="Arial"/>
          <w:sz w:val="20"/>
          <w:szCs w:val="20"/>
        </w:rPr>
        <w:t xml:space="preserve">Deliberate data quality problems embedded:</w:t>
      </w:r>
    </w:p>
    <w:p>
      <w:pPr>
        <w:pStyle w:val="ListParagraph"/>
        <w:numPr>
          <w:ilvl w:val="0"/>
          <w:numId w:val="2"/>
        </w:numPr>
        <w:spacing w:after="80"/>
      </w:pPr>
      <w:r>
        <w:rPr>
          <w:rFonts w:ascii="Arial" w:cs="Arial" w:eastAsia="Arial" w:hAnsi="Arial"/>
          <w:sz w:val="20"/>
          <w:szCs w:val="20"/>
        </w:rPr>
        <w:t xml:space="preserve">Assessment Deadline: mixed formats — DD/MM/YYYY (25 records) and YYYY-MM-DD (8 records)</w:t>
      </w:r>
    </w:p>
    <w:p>
      <w:pPr>
        <w:pStyle w:val="ListParagraph"/>
        <w:numPr>
          <w:ilvl w:val="0"/>
          <w:numId w:val="2"/>
        </w:numPr>
        <w:spacing w:after="80"/>
      </w:pPr>
      <w:r>
        <w:rPr>
          <w:rFonts w:ascii="Arial" w:cs="Arial" w:eastAsia="Arial" w:hAnsi="Arial"/>
          <w:sz w:val="20"/>
          <w:szCs w:val="20"/>
        </w:rPr>
        <w:t xml:space="preserve">Assessment Complete Date: mixed formats matching Deadline column</w:t>
      </w:r>
    </w:p>
    <w:p>
      <w:pPr>
        <w:pStyle w:val="ListParagraph"/>
        <w:numPr>
          <w:ilvl w:val="0"/>
          <w:numId w:val="2"/>
        </w:numPr>
        <w:spacing w:after="80"/>
      </w:pPr>
      <w:r>
        <w:rPr>
          <w:rFonts w:ascii="Arial" w:cs="Arial" w:eastAsia="Arial" w:hAnsi="Arial"/>
          <w:sz w:val="20"/>
          <w:szCs w:val="20"/>
        </w:rPr>
        <w:t xml:space="preserve">Extension Permission: six variants of Yes/No — "Yes", "YES", "yes", "No", "no", "N"</w:t>
      </w:r>
    </w:p>
    <w:p>
      <w:pPr>
        <w:pStyle w:val="ListParagraph"/>
        <w:numPr>
          <w:ilvl w:val="0"/>
          <w:numId w:val="2"/>
        </w:numPr>
        <w:spacing w:after="80"/>
      </w:pPr>
      <w:r>
        <w:rPr>
          <w:rFonts w:ascii="Arial" w:cs="Arial" w:eastAsia="Arial" w:hAnsi="Arial"/>
          <w:sz w:val="20"/>
          <w:szCs w:val="20"/>
        </w:rPr>
        <w:t xml:space="preserve">Result Status: five variants — "Pass", "pass", "FAIL", "Fail", "Withdrawn"</w:t>
      </w:r>
    </w:p>
    <w:p>
      <w:pPr>
        <w:pStyle w:val="ListParagraph"/>
        <w:numPr>
          <w:ilvl w:val="0"/>
          <w:numId w:val="2"/>
        </w:numPr>
        <w:spacing w:after="80"/>
      </w:pPr>
      <w:r>
        <w:rPr>
          <w:rFonts w:ascii="Arial" w:cs="Arial" w:eastAsia="Arial" w:hAnsi="Arial"/>
          <w:sz w:val="20"/>
          <w:szCs w:val="20"/>
        </w:rPr>
        <w:t xml:space="preserve">Grade inconsistency: "pass"/"fail" (lowercase) in Pass/Fail format rows; "N/A" in a 0-100 row for a Withdrawn student</w:t>
      </w:r>
    </w:p>
    <w:p>
      <w:pPr>
        <w:pStyle w:val="ListParagraph"/>
        <w:numPr>
          <w:ilvl w:val="0"/>
          <w:numId w:val="2"/>
        </w:numPr>
        <w:spacing w:after="80"/>
      </w:pPr>
      <w:r>
        <w:rPr>
          <w:rFonts w:ascii="Arial" w:cs="Arial" w:eastAsia="Arial" w:hAnsi="Arial"/>
          <w:sz w:val="20"/>
          <w:szCs w:val="20"/>
        </w:rPr>
        <w:t xml:space="preserve">Logic conflict — late submission without extension: 7 records where Assessment Complete Date &gt; Assessment Deadline but Extension Permission = No/no/N (STU002-DS702, STU003-SO402, STU008-PS503, STU009-DS703, STU010-CS501, STU014-CS601, STU017-SO401)</w:t>
      </w:r>
    </w:p>
    <w:p>
      <w:pPr>
        <w:pStyle w:val="ListParagraph"/>
        <w:numPr>
          <w:ilvl w:val="0"/>
          <w:numId w:val="2"/>
        </w:numPr>
        <w:spacing w:after="80"/>
      </w:pPr>
      <w:r>
        <w:rPr>
          <w:rFonts w:ascii="Arial" w:cs="Arial" w:eastAsia="Arial" w:hAnsi="Arial"/>
          <w:sz w:val="20"/>
          <w:szCs w:val="20"/>
        </w:rPr>
        <w:t xml:space="preserve">Logic conflict — valid late submission with extension: 4 records correctly marked with Yes/YES/yes where late date is legitimately permitted</w:t>
      </w:r>
    </w:p>
    <w:p>
      <w:pPr>
        <w:pStyle w:val="ListParagraph"/>
        <w:numPr>
          <w:ilvl w:val="0"/>
          <w:numId w:val="2"/>
        </w:numPr>
        <w:spacing w:after="80"/>
      </w:pPr>
      <w:r>
        <w:rPr>
          <w:rFonts w:ascii="Arial" w:cs="Arial" w:eastAsia="Arial" w:hAnsi="Arial"/>
          <w:sz w:val="20"/>
          <w:szCs w:val="20"/>
        </w:rPr>
        <w:t xml:space="preserve">Cross-dataset orphan: STU021 appears in Results with no corresponding record in the Register</w:t>
      </w:r>
    </w:p>
    <w:p>
      <w:pPr>
        <w:pStyle w:val="ListParagraph"/>
        <w:numPr>
          <w:ilvl w:val="0"/>
          <w:numId w:val="2"/>
        </w:numPr>
        <w:spacing w:after="80"/>
      </w:pPr>
      <w:r>
        <w:rPr>
          <w:rFonts w:ascii="Arial" w:cs="Arial" w:eastAsia="Arial" w:hAnsi="Arial"/>
          <w:sz w:val="20"/>
          <w:szCs w:val="20"/>
        </w:rPr>
        <w:t xml:space="preserve">Cross-dataset conflict: STU012 has Register Status = "WITHDRAWN" but has a module result record with ResultStatus = "Withdrawn" and no grade — this is technically consistent but highlights that withdrawn students should be excluded from active analysis</w:t>
      </w:r>
    </w:p>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3. Broken and Dead Links</w:t>
      </w:r>
    </w:p>
    <w:p>
      <w:pPr>
        <w:spacing w:after="120"/>
      </w:pPr>
      <w:r>
        <w:rPr>
          <w:rFonts w:ascii="Arial" w:cs="Arial" w:eastAsia="Arial" w:hAnsi="Arial"/>
          <w:sz w:val="20"/>
          <w:szCs w:val="20"/>
        </w:rPr>
        <w:t xml:space="preserve">All links were inspected by reading the rendered HTML and following href targets. Six links are broken or functionally inert.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Expected /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Nav: "Log in"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href="#" — no login route; clicking does nothing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Route to /login or open login modal correctly</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BL-02</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Nav: "Get Started"</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href="#" — no route; clicking scrolls to top rather than triggering sign-up</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Should open sign-up modal (modal code exists but link does not trigger 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Footer: "Contact"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href="#" — placeholder; no contact page or email link present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Provide real mailto: link or /contact route</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BL-04</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Footer: "Terms of Service"</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href="#" inside sign-up modal — placeholder only; no ToS document exists</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Link to an actual /terms page; required for legal compliance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Footer: "Privacy Notice"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href="#" inside sign-up modal — placeholder 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 to an actual /privacy page; required for GDPR compliance messaging</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BL-06</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Hero: "See how it works"</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href="#how-it-works" — anchor is present in DOM but scroll behaviour skips past it on some viewport sizes</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Verify anchor ID is correctly placed and offset accounts for sticky nav height</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4. UI and Modal Malfunctions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Expected /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UI-01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Sign-up modal — "already have an account? Log in instead"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 href="#" — does not switch to login modal panel; renders as dead link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Should toggle between sign-up and login panels within the modal</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UI-02</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Login modal — "don't have an account? Create your account"</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Same issue as UI-01 in reverse — href="#" does not switch panel</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Toggle to sign-up panel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UI-03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Login modal — "Forgot password?"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href="#" — no password reset flow or route exists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Implement /reset-password route or modal step</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UI-04</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Sign-up form — no client-side validation feedback</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Submitting with empty fields or mismatched passwords shows no error state; the "Start my free trial" button fires but there is no visible feedback whether submission succeeded or failed (no spinner, no error message, no redirect)</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Add inline validation: required field errors, password match check, and a loading state on submit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UI-05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Success modal ("You're in!") — "Got it, thanks!" button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Button closes modal but there is no redirect to an app dashboard or onboarding page; user is left on the landing page with no next step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Redirect to /app or /onboarding after dismissal; alternatively display a clear "check your email" instruction with next steps</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5. Application Workflow Gaps</w:t>
      </w:r>
    </w:p>
    <w:p>
      <w:pPr>
        <w:spacing w:after="120"/>
      </w:pPr>
      <w:r>
        <w:rPr>
          <w:rFonts w:ascii="Arial" w:cs="Arial" w:eastAsia="Arial" w:hAnsi="Arial"/>
          <w:sz w:val="20"/>
          <w:szCs w:val="20"/>
        </w:rPr>
        <w:t xml:space="preserve">The landing page describes three core procedures (Diagnose &amp; Standardise, Cross-Column Checks, Link Datasets). None of these are accessible from the current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Expected /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WF-01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Post-authentication app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/app or equivalent route exists behind the login flow. After "signing up" the user has no destination. The entire data-description wizard, script generation, and download flow is absent from the deployed site.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Deploy the app interface so authenticated users can reach Procedure 1 (Diagnose &amp; Standardise) as the first vertical slice</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WF-02</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Procedure selection screen</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There is no procedure-selection UI. The landing page describes three procedures but clicking "Get Started" leads only to the sign-up modal, not to any procedure picker.</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Build and route to a procedure selection screen post-login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WF-03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Script download mechanism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script generation or download endpoint is reachable. The privacy promise ("you download a Python script") cannot be tested because the workflow does not exist in the deployed frontend.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Implement Procedure 1 end-to-end so script generation can be QA-tested</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WF-04</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Dataset description input forms</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The column-description forms (the core input mechanism) are not deployed. It is not possible to describe either test dataset or submit cleaning rules.</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Deploy the description wizard as part of the Procedure 1 vertical slice</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6. Data Cleaning Rule Gaps and Requirements</w:t>
      </w:r>
    </w:p>
    <w:p>
      <w:pPr>
        <w:spacing w:after="120"/>
      </w:pPr>
      <w:r>
        <w:rPr>
          <w:rFonts w:ascii="Arial" w:cs="Arial" w:eastAsia="Arial" w:hAnsi="Arial"/>
          <w:sz w:val="20"/>
          <w:szCs w:val="20"/>
        </w:rPr>
        <w:t xml:space="preserve">The following rules were tested conceptually against the two datasets. Because the app wizard is not yet deployed (see Section 5), these are recorded as requirements the cleaning script generator must handle when the workflow becomes available.</w:t>
      </w:r>
    </w:p>
    <w:p>
      <w:pPr>
        <w:spacing w:after="80"/>
      </w:pPr>
      <w:r>
        <w:t xml:space="preserve"/>
      </w:r>
    </w:p>
    <w:p>
      <w:pPr>
        <w:pStyle w:val="Heading2"/>
        <w:spacing w:after="120" w:before="240"/>
      </w:pPr>
      <w:r>
        <w:rPr>
          <w:rFonts w:ascii="Arial" w:cs="Arial" w:eastAsia="Arial" w:hAnsi="Arial"/>
          <w:b/>
          <w:bCs/>
          <w:color w:val="333333"/>
          <w:sz w:val="24"/>
          <w:szCs w:val="24"/>
        </w:rPr>
        <w:t xml:space="preserve">6.1 Critical Rule — Extension Permission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60"/>
            </w:pPr>
            <w:r>
              <w:rPr>
                <w:rFonts w:ascii="Arial" w:cs="Arial" w:eastAsia="Arial" w:hAnsi="Arial"/>
                <w:b/>
                <w:bCs/>
                <w:color w:val="C0392B"/>
                <w:sz w:val="20"/>
                <w:szCs w:val="20"/>
              </w:rPr>
              <w:t xml:space="preserve">Rule: If Extension Permission = "Yes", Assessment Complete Date may legally be later than Assessment Deadline</w:t>
            </w:r>
          </w:p>
          <w:p>
            <w:r>
              <w:rPr>
                <w:rFonts w:ascii="Arial" w:cs="Arial" w:eastAsia="Arial" w:hAnsi="Arial"/>
                <w:sz w:val="19"/>
                <w:szCs w:val="19"/>
              </w:rPr>
              <w:t xml:space="preserve">This is the primary business rule specified for testing. The cleaning script must NOT flag a late submission as a logic error when Extension Permission is any case-variant of "Yes" (Yes / YES / yes). Conversely, it MUST flag records where Complete Date &gt; Deadline AND Extension Permission is any variant of No/no/N/empty.</w:t>
            </w:r>
          </w:p>
        </w:tc>
      </w:tr>
    </w:tbl>
    <w:p>
      <w:pPr>
        <w:spacing w:after="80"/>
      </w:pPr>
      <w:r>
        <w:t xml:space="preserve"/>
      </w:r>
    </w:p>
    <w:p>
      <w:pPr>
        <w:spacing w:after="120"/>
      </w:pPr>
      <w:r>
        <w:rPr>
          <w:rFonts w:ascii="Arial" w:cs="Arial" w:eastAsia="Arial" w:hAnsi="Arial"/>
          <w:sz w:val="20"/>
          <w:szCs w:val="20"/>
        </w:rPr>
        <w:t xml:space="preserve">Test cases in the dummy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000"/>
        <w:gridCol w:w="1400"/>
        <w:gridCol w:w="1360"/>
      </w:tblGrid>
      <w:tr>
        <w:trPr>
          <w:tblHeader/>
        </w:trPr>
        <w:tc>
          <w:tcPr>
            <w:tcW w:type="dxa" w:w="12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Student</w:t>
            </w:r>
          </w:p>
        </w:tc>
        <w:tc>
          <w:tcPr>
            <w:tcW w:type="dxa" w:w="14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Module</w:t>
            </w:r>
          </w:p>
        </w:tc>
        <w:tc>
          <w:tcPr>
            <w:tcW w:type="dxa" w:w="20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Deadline</w:t>
            </w:r>
          </w:p>
        </w:tc>
        <w:tc>
          <w:tcPr>
            <w:tcW w:type="dxa" w:w="20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Complete Date</w:t>
            </w:r>
          </w:p>
        </w:tc>
        <w:tc>
          <w:tcPr>
            <w:tcW w:type="dxa" w:w="14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Extension</w:t>
            </w:r>
          </w:p>
        </w:tc>
        <w:tc>
          <w:tcPr>
            <w:tcW w:type="dxa" w:w="136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7"/>
                <w:szCs w:val="17"/>
              </w:rPr>
              <w:t xml:space="preserve">Expected Flag?</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STU002</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DS701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20/02/2024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25/02/2024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Yes</w:t>
            </w:r>
          </w:p>
        </w:tc>
        <w:tc>
          <w:tcPr>
            <w:tcW w:type="dxa" w:w="1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7"/>
                <w:szCs w:val="17"/>
              </w:rPr>
              <w:t xml:space="preserve">NO FLAG — valid extension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STU005</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IB701</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30/01/2024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14/02/2024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Yes</w:t>
            </w:r>
          </w:p>
        </w:tc>
        <w:tc>
          <w:tcPr>
            <w:tcW w:type="dxa" w:w="1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7"/>
                <w:szCs w:val="17"/>
              </w:rPr>
              <w:t xml:space="preserve">NO FLAG — valid extension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STU007</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SO601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15/03/2024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18/03/2024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YES</w:t>
            </w:r>
          </w:p>
        </w:tc>
        <w:tc>
          <w:tcPr>
            <w:tcW w:type="dxa" w:w="1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7"/>
                <w:szCs w:val="17"/>
              </w:rPr>
              <w:t xml:space="preserve">NO FLAG — valid extension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STU011</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PS402</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15/02/2024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22/02/2024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yes</w:t>
            </w:r>
          </w:p>
        </w:tc>
        <w:tc>
          <w:tcPr>
            <w:tcW w:type="dxa" w:w="1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7"/>
                <w:szCs w:val="17"/>
              </w:rPr>
              <w:t xml:space="preserve">NO FLAG — valid extension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STU019</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DS701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20/02/2024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05/03/2024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yes</w:t>
            </w:r>
          </w:p>
        </w:tc>
        <w:tc>
          <w:tcPr>
            <w:tcW w:type="dxa" w:w="1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sz w:val="17"/>
                <w:szCs w:val="17"/>
              </w:rPr>
              <w:t xml:space="preserve">NO FLAG — valid extension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STU002</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DS702</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15/01/2024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18/01/2024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late, no extension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STU003</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SO402</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20/02/2024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05/03/2024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late, no extension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STU008</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PS503</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05/02/2024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20/02/2024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late, no extension</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STU009</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DS703</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25/01/2024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30/01/2024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late, no extension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STU010</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CS501</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15/01/2024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16/01/2024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1 day late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STU014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CS601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25/02/2024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10/03/2024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sz w:val="17"/>
                <w:szCs w:val="17"/>
              </w:rPr>
              <w:t xml:space="preserve">N</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ambiguous "N"</w:t>
            </w:r>
          </w:p>
        </w:tc>
      </w:tr>
      <w:tr>
        <w:tc>
          <w:tcPr>
            <w:tcW w:type="dxa" w:w="12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STU017</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SO401</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12/01/2024</w:t>
            </w:r>
          </w:p>
        </w:tc>
        <w:tc>
          <w:tcPr>
            <w:tcW w:type="dxa" w:w="20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25/01/2024</w:t>
            </w:r>
          </w:p>
        </w:tc>
        <w:tc>
          <w:tcPr>
            <w:tcW w:type="dxa" w:w="1400"/>
            <w:tcBorders>
              <w:top w:val="single" w:color="CCCCCC" w:sz="1"/>
              <w:left w:val="single" w:color="CCCCCC" w:sz="1"/>
              <w:bottom w:val="single" w:color="CCCCCC" w:sz="1"/>
              <w:right w:val="single" w:color="CCCCCC" w:sz="1"/>
            </w:tcBorders>
            <w:shd w:fill="F9F9F9" w:val="clear"/>
            <w:tcMar>
              <w:top w:type="dxa" w:w="50"/>
              <w:left w:type="dxa" w:w="100"/>
              <w:bottom w:type="dxa" w:w="50"/>
              <w:right w:type="dxa" w:w="100"/>
            </w:tcMar>
          </w:tcPr>
          <w:p>
            <w:r>
              <w:rPr>
                <w:rFonts w:ascii="Arial" w:cs="Arial" w:eastAsia="Arial" w:hAnsi="Arial"/>
                <w:sz w:val="17"/>
                <w:szCs w:val="17"/>
              </w:rPr>
              <w:t xml:space="preserve">no</w:t>
            </w:r>
          </w:p>
        </w:tc>
        <w:tc>
          <w:tcPr>
            <w:tcW w:type="dxa" w:w="1360"/>
            <w:tcBorders>
              <w:top w:val="single" w:color="CCCCCC" w:sz="1"/>
              <w:left w:val="single" w:color="CCCCCC" w:sz="1"/>
              <w:bottom w:val="single" w:color="CCCCCC" w:sz="1"/>
              <w:right w:val="single" w:color="CCCCCC" w:sz="1"/>
            </w:tcBorders>
            <w:shd w:fill="FDECEA" w:val="clear"/>
            <w:tcMar>
              <w:top w:type="dxa" w:w="50"/>
              <w:left w:type="dxa" w:w="100"/>
              <w:bottom w:type="dxa" w:w="50"/>
              <w:right w:type="dxa" w:w="100"/>
            </w:tcMar>
          </w:tcPr>
          <w:p>
            <w:r>
              <w:rPr>
                <w:rFonts w:ascii="Arial" w:cs="Arial" w:eastAsia="Arial" w:hAnsi="Arial"/>
                <w:sz w:val="17"/>
                <w:szCs w:val="17"/>
              </w:rPr>
              <w:t xml:space="preserve">FLAG — late, no extension</w:t>
            </w:r>
          </w:p>
        </w:tc>
      </w:tr>
    </w:tbl>
    <w:p>
      <w:pPr>
        <w:spacing w:after="80"/>
      </w:pPr>
      <w:r>
        <w:t xml:space="preserve"/>
      </w:r>
    </w:p>
    <w:p>
      <w:pPr>
        <w:spacing w:after="120"/>
      </w:pPr>
      <w:r>
        <w:rPr>
          <w:rFonts w:ascii="Arial" w:cs="Arial" w:eastAsia="Arial" w:hAnsi="Arial"/>
          <w:sz w:val="20"/>
          <w:szCs w:val="20"/>
        </w:rPr>
        <w:t xml:space="preserve">Note on "N" as Extension Permission value (STU014): the system must define and document whether "N" is treated as a synonym for "No" or flagged as an unrecognised value. The current dummy data treats it as No for testing purposes.</w:t>
      </w:r>
    </w:p>
    <w:p>
      <w:pPr>
        <w:spacing w:after="80"/>
      </w:pPr>
      <w:r>
        <w:t xml:space="preserve"/>
      </w:r>
    </w:p>
    <w:p>
      <w:pPr>
        <w:pStyle w:val="Heading2"/>
        <w:spacing w:after="120" w:before="240"/>
      </w:pPr>
      <w:r>
        <w:rPr>
          <w:rFonts w:ascii="Arial" w:cs="Arial" w:eastAsia="Arial" w:hAnsi="Arial"/>
          <w:b/>
          <w:bCs/>
          <w:color w:val="333333"/>
          <w:sz w:val="24"/>
          <w:szCs w:val="24"/>
        </w:rPr>
        <w:t xml:space="preserve">6.2 Additional Cleaning Rules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CCCCCC" w:sz="1"/>
              <w:left w:val="single" w:color="CCCCCC" w:sz="1"/>
              <w:bottom w:val="single" w:color="CCCCCC" w:sz="1"/>
              <w:right w:val="single" w:color="CCCCCC" w:sz="1"/>
            </w:tcBorders>
            <w:shd w:fill="2B6469" w:val="clear"/>
            <w:tcMar>
              <w:top w:type="dxa" w:w="80"/>
              <w:left w:type="dxa" w:w="120"/>
              <w:bottom w:type="dxa" w:w="80"/>
              <w:right w:type="dxa" w:w="120"/>
            </w:tcMar>
          </w:tcPr>
          <w:p>
            <w:r>
              <w:rPr>
                <w:rFonts w:ascii="Arial" w:cs="Arial" w:eastAsia="Arial" w:hAnsi="Arial"/>
                <w:b/>
                <w:bCs/>
                <w:color w:val="FFFFFF"/>
                <w:sz w:val="18"/>
                <w:szCs w:val="18"/>
              </w:rPr>
              <w:t xml:space="preserve">Expected / Fix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Extension Permission normalisation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"Yes", "yes" → "Yes"; "No", "no", "N" → "No". Any other value should be flagged as unrecognised. Required before the late-submission logic can be applied reliably.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Standardise to Yes/No before date comparison logic runs</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CR-02</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Date format standardisation</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Both datasets contain DD/MM/YYYY, YYYY-MM-DD, and DD-Mon-YYYY formats mixed within the same column. Script must detect all formats and convert to a single ISO standard (YYYY-MM-DD) before any date comparison.</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Auto-detect and convert all date columns to YYYY-MM-DD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Register Status normalisation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"active", "Active", "ACTIVE" → "Active"; "Withdrwal" → "Withdrawn"; "WITHDRAWN" → "Withdrawn"; "suspended", "Suspend" → "Suspended"; "Defer" → "Deferred"; "Interrupted" → "Interrupted". Typo "Withdrwal" must be caught.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Canonical map + fuzzy-match for typo detection</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CR-04</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Student ID standardisation</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"stu015" must be uppercased to "STU015" before any join. All IDs should be trimmed and uppercased.</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Apply str.strip().upper() to all ID columns before merge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Cross-dataset orphan detection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STU021 appears in Results but not in Register. The linking script must surface unmatched records from both sides (left-only and right-only) rather than silently dropping them.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Output three sets: matched, register-only, results-only</w:t>
            </w:r>
          </w:p>
        </w:tc>
      </w:tr>
      <w:tr>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CR-06</w:t>
            </w:r>
          </w:p>
        </w:tc>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Withdrawn student handling</w:t>
            </w:r>
          </w:p>
        </w:tc>
        <w:tc>
          <w:tcPr>
            <w:tcW w:type="dxa" w:w="27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STU012 is Withdrawn in Register but has a result record. The script should flag result records for students with a Withdrawn/Suspended register status as requiring manual review, rather than treating them as clean active records.</w:t>
            </w:r>
          </w:p>
        </w:tc>
        <w:tc>
          <w:tcPr>
            <w:tcW w:type="dxa" w:w="28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sz w:val="18"/>
                <w:szCs w:val="18"/>
              </w:rPr>
              <w:t xml:space="preserve">Cross-reference register status before cleaning results</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7. Prioritised Action List for Antigravity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660"/>
        <w:gridCol w:w="2400"/>
      </w:tblGrid>
      <w:tr>
        <w:trPr>
          <w:tblHeader/>
        </w:trPr>
        <w:tc>
          <w:tcPr>
            <w:tcW w:type="dxa" w:w="9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466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2B6469"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WF-01–04</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Deploy the Procedure 1 app workflow so the data description wizard, script generator, and download are accessible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Core product value is currently invisible; all data cleaning rules cannot be tested end-to-end until this exists</w:t>
            </w:r>
          </w:p>
        </w:tc>
      </w:tr>
      <w:tr>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sz w:val="18"/>
                <w:szCs w:val="18"/>
              </w:rPr>
              <w:t xml:space="preserve">P1</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UI-04</w:t>
            </w:r>
          </w:p>
        </w:tc>
        <w:tc>
          <w:tcPr>
            <w:tcW w:type="dxa" w:w="4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Add client-side form validation with visible error states and loading feedback on sign-up submit</w:t>
            </w:r>
          </w:p>
        </w:tc>
        <w:tc>
          <w:tcPr>
            <w:tcW w:type="dxa" w:w="2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Without feedback, users cannot tell if sign-up succeeded or failed; high abandonment risk</w:t>
            </w:r>
          </w:p>
        </w:tc>
      </w:tr>
      <w:tr>
        <w:tc>
          <w:tcPr>
            <w:tcW w:type="dxa" w:w="9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BL-04, BL-05</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Create real Terms of Service and Privacy Notice pages and link them from the sign-up modal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Legal requirement; GDPR compliance is central to the product's value proposition</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BL-01, BL-02</w:t>
            </w:r>
          </w:p>
        </w:tc>
        <w:tc>
          <w:tcPr>
            <w:tcW w:type="dxa" w:w="4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Wire the "Log in" and "Get Started" nav links to the correct modals</w:t>
            </w:r>
          </w:p>
        </w:tc>
        <w:tc>
          <w:tcPr>
            <w:tcW w:type="dxa" w:w="2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Primary CTAs on the landing page do not function as expected</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UI-01, UI-02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Implement panel toggle between sign-up and login inside the modal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Users cannot switch flows without closing and reopening; friction</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18"/>
                <w:szCs w:val="18"/>
              </w:rPr>
              <w:t xml:space="preserve">P2</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UI-05</w:t>
            </w:r>
          </w:p>
        </w:tc>
        <w:tc>
          <w:tcPr>
            <w:tcW w:type="dxa" w:w="4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Redirect post-sign-up to an onboarding or app page rather than closing modal on landing page</w:t>
            </w:r>
          </w:p>
        </w:tc>
        <w:tc>
          <w:tcPr>
            <w:tcW w:type="dxa" w:w="2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Current flow leaves the user with no next step</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UI-03, BL-03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Implement forgot password flow and Contact page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Expected standard web app functionality</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P3</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CR-01</w:t>
            </w:r>
          </w:p>
        </w:tc>
        <w:tc>
          <w:tcPr>
            <w:tcW w:type="dxa" w:w="4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Implement Extension Permission normalisation before any date logic</w:t>
            </w:r>
          </w:p>
        </w:tc>
        <w:tc>
          <w:tcPr>
            <w:tcW w:type="dxa" w:w="2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Prerequisite for the primary cleaning rule tested in this QA session</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CR-02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Implement multi-format date parser and standardiser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Both datasets demonstrate this is a common real-world problem that must be handled</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P3</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CR-03–CR-06</w:t>
            </w:r>
          </w:p>
        </w:tc>
        <w:tc>
          <w:tcPr>
            <w:tcW w:type="dxa" w:w="46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Implement remaining cleaning rules (status normalisation, ID casing, orphan detection, withdrawn-student flagging)</w:t>
            </w:r>
          </w:p>
        </w:tc>
        <w:tc>
          <w:tcPr>
            <w:tcW w:type="dxa" w:w="2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sz w:val="18"/>
                <w:szCs w:val="18"/>
              </w:rPr>
              <w:t xml:space="preserve">Required for datasets of the type described in the product use cases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8"/>
                <w:szCs w:val="18"/>
              </w:rPr>
              <w:t xml:space="preserve">P4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BL-06</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Fix scroll offset for "See how it works" anchor to account for sticky nav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Minor UX issue; low impact</w:t>
            </w:r>
          </w:p>
        </w:tc>
      </w:tr>
    </w:tbl>
    <w:p>
      <w:pPr>
        <w:spacing w:after="160"/>
      </w:pPr>
      <w:r>
        <w:t xml:space="preserve"/>
      </w:r>
    </w:p>
    <w:p>
      <w:pPr>
        <w:pStyle w:val="Heading1"/>
        <w:pBdr>
          <w:bottom w:val="single" w:color="2B6469" w:sz="6" w:space="4"/>
        </w:pBdr>
        <w:spacing w:after="160" w:before="320"/>
      </w:pPr>
      <w:r>
        <w:rPr>
          <w:rFonts w:ascii="Arial" w:cs="Arial" w:eastAsia="Arial" w:hAnsi="Arial"/>
          <w:b/>
          <w:bCs/>
          <w:color w:val="2B6469"/>
          <w:sz w:val="28"/>
          <w:szCs w:val="28"/>
        </w:rPr>
        <w:t xml:space="preserve">Appendix — Dummy Dataset Column Reference</w:t>
      </w:r>
    </w:p>
    <w:p>
      <w:pPr>
        <w:pStyle w:val="Heading2"/>
        <w:spacing w:after="120" w:before="240"/>
      </w:pPr>
      <w:r>
        <w:rPr>
          <w:rFonts w:ascii="Arial" w:cs="Arial" w:eastAsia="Arial" w:hAnsi="Arial"/>
          <w:b/>
          <w:bCs/>
          <w:color w:val="333333"/>
          <w:sz w:val="24"/>
          <w:szCs w:val="24"/>
        </w:rPr>
        <w:t xml:space="preserve">Student Register — Columns</w:t>
      </w:r>
    </w:p>
    <w:p>
      <w:pPr>
        <w:spacing w:after="120"/>
      </w:pPr>
      <w:r>
        <w:rPr>
          <w:rFonts w:ascii="Arial" w:cs="Arial" w:eastAsia="Arial" w:hAnsi="Arial"/>
          <w:sz w:val="20"/>
          <w:szCs w:val="20"/>
        </w:rPr>
        <w:t xml:space="preserve">Student ID, First Name, Last Name, Date of Birth, Gender, Ethnicity, Programme, Level, Register Date, Register Status, Fee Status, Mode of Study, Personal Tutor, Email</w:t>
      </w:r>
    </w:p>
    <w:p>
      <w:pPr>
        <w:spacing w:after="80"/>
      </w:pPr>
      <w:r>
        <w:t xml:space="preserve"/>
      </w:r>
    </w:p>
    <w:p>
      <w:pPr>
        <w:pStyle w:val="Heading2"/>
        <w:spacing w:after="120" w:before="240"/>
      </w:pPr>
      <w:r>
        <w:rPr>
          <w:rFonts w:ascii="Arial" w:cs="Arial" w:eastAsia="Arial" w:hAnsi="Arial"/>
          <w:b/>
          <w:bCs/>
          <w:color w:val="333333"/>
          <w:sz w:val="24"/>
          <w:szCs w:val="24"/>
        </w:rPr>
        <w:t xml:space="preserve">Student Module Results — Columns</w:t>
      </w:r>
    </w:p>
    <w:p>
      <w:pPr>
        <w:spacing w:after="120"/>
      </w:pPr>
      <w:r>
        <w:rPr>
          <w:rFonts w:ascii="Arial" w:cs="Arial" w:eastAsia="Arial" w:hAnsi="Arial"/>
          <w:sz w:val="20"/>
          <w:szCs w:val="20"/>
        </w:rPr>
        <w:t xml:space="preserve">Student ID, Module Code, Module Name, Academic Year, Assessment Type, Assessment Deadline, Assessment Complete Date, Extension Permission, Grade, Grade Format, Credit Value, Result Status, Submission Method</w:t>
      </w:r>
    </w:p>
    <w:p>
      <w:pPr>
        <w:spacing w:after="80"/>
      </w:pPr>
      <w:r>
        <w:t xml:space="preserve"/>
      </w:r>
    </w:p>
    <w:p>
      <w:pPr>
        <w:spacing w:after="120"/>
      </w:pPr>
      <w:r>
        <w:rPr>
          <w:rFonts w:ascii="Arial" w:cs="Arial" w:eastAsia="Arial" w:hAnsi="Arial"/>
          <w:sz w:val="20"/>
          <w:szCs w:val="20"/>
        </w:rPr>
        <w:t xml:space="preserve">Both CSV files are attached to this report package for use in regression testing once the app workflow is deployed.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469" w:sz="4" w:space="4"/>
      </w:pBdr>
    </w:pPr>
    <w:r>
      <w:rPr>
        <w:rFonts w:ascii="Arial" w:cs="Arial" w:eastAsia="Arial" w:hAnsi="Arial"/>
        <w:color w:val="999999"/>
        <w:sz w:val="16"/>
        <w:szCs w:val="16"/>
      </w:rPr>
      <w:t xml:space="preserve">CONFIDENTIAL — Internal QA Use Only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469" w:sz="4" w:space="4"/>
      </w:pBdr>
    </w:pPr>
    <w:r>
      <w:rPr>
        <w:rFonts w:ascii="Arial" w:cs="Arial" w:eastAsia="Arial" w:hAnsi="Arial"/>
        <w:color w:val="666666"/>
        <w:sz w:val="18"/>
        <w:szCs w:val="18"/>
      </w:rPr>
      <w:t xml:space="preserve">DataSousChef — QA Bug Report for Antigravity  </w:t>
    </w:r>
    <w:r>
      <w:rPr>
        <w:rFonts w:ascii="Arial" w:cs="Arial" w:eastAsia="Arial" w:hAnsi="Arial"/>
        <w:b/>
        <w:bCs/>
        <w:color w:val="666666"/>
        <w:sz w:val="18"/>
        <w:szCs w:val="18"/>
      </w:rPr>
      <w:t xml:space="preserve">22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6469"/>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2026-06-22T19:37:20.640Z</dcterms:created>
  <dcterms:modified xsi:type="dcterms:W3CDTF">2026-06-22T19:37:20.640Z</dcterms:modified>
</cp:coreProperties>
</file>

<file path=docProps/custom.xml><?xml version="1.0" encoding="utf-8"?>
<Properties xmlns="http://schemas.openxmlformats.org/officeDocument/2006/custom-properties" xmlns:vt="http://schemas.openxmlformats.org/officeDocument/2006/docPropsVTypes"/>
</file>