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091CF">
      <w:pPr>
        <w:spacing w:before="720" w:after="120"/>
        <w:rPr>
          <w:rFonts w:hint="default" w:ascii="仿宋" w:hAnsi="仿宋" w:eastAsia="仿宋" w:cs="仿宋"/>
          <w:b/>
          <w:i w:val="0"/>
          <w:color w:val="17324D"/>
          <w:sz w:val="50"/>
          <w:lang w:val="en-US" w:eastAsia="zh-CN"/>
        </w:rPr>
      </w:pPr>
      <w:r>
        <w:rPr>
          <w:rFonts w:hint="eastAsia" w:ascii="仿宋" w:hAnsi="仿宋" w:eastAsia="仿宋" w:cs="仿宋"/>
          <w:b/>
          <w:i w:val="0"/>
          <w:color w:val="17324D"/>
          <w:sz w:val="50"/>
        </w:rPr>
        <w:t xml:space="preserve">Agent Work Pack </w:t>
      </w:r>
      <w:r>
        <w:rPr>
          <w:rFonts w:hint="eastAsia" w:ascii="仿宋" w:hAnsi="仿宋" w:eastAsia="仿宋" w:cs="仿宋"/>
          <w:b/>
          <w:i w:val="0"/>
          <w:color w:val="17324D"/>
          <w:sz w:val="50"/>
          <w:lang w:val="en-US" w:eastAsia="zh-CN"/>
        </w:rPr>
        <w:t>v1.0</w:t>
      </w:r>
    </w:p>
    <w:p w14:paraId="2C30B77D">
      <w:pPr>
        <w:spacing w:before="720" w:after="120"/>
        <w:rPr>
          <w:rFonts w:hint="eastAsia" w:ascii="仿宋" w:hAnsi="仿宋" w:eastAsia="仿宋" w:cs="仿宋"/>
          <w:b/>
          <w:i w:val="0"/>
          <w:color w:val="17324D"/>
          <w:sz w:val="50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记录用户如何形成假设，在不剧透的前提下追问证据，并把阅读状态变化转化为最终案件档案。</w:t>
      </w:r>
    </w:p>
    <w:p w14:paraId="7F4AE40F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一、运行边界</w:t>
      </w:r>
      <w:bookmarkStart w:id="0" w:name="_GoBack"/>
      <w:bookmarkEnd w:id="0"/>
    </w:p>
    <w:p w14:paraId="7AB6EE42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唯一知识来源：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  <w:lang w:val="en-US" w:eastAsia="zh-CN"/>
        </w:rPr>
        <w:t>审定译文；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Demo</w:t>
      </w:r>
      <w:r>
        <w:rPr>
          <w:rFonts w:hint="eastAsia" w:ascii="仿宋" w:hAnsi="仿宋" w:eastAsia="仿宋" w:cs="仿宋"/>
          <w:b w:val="0"/>
          <w:i w:val="0"/>
          <w:color w:val="20242A"/>
          <w:sz w:val="21"/>
          <w:lang w:val="en-US" w:eastAsia="zh-CN"/>
        </w:rPr>
        <w:t>切片；事实母本</w:t>
      </w:r>
    </w:p>
    <w:p w14:paraId="43DC6B66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模型可以改写表达，但不得新增人物、密道、工具、动机或逃脱步骤。</w:t>
      </w:r>
    </w:p>
    <w:p w14:paraId="4B693F0A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S00—S05默认禁止输出完整答案；用户直接追问答案时，先询问是否退出推理模式。</w:t>
      </w:r>
    </w:p>
    <w:p w14:paraId="77DB88DE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所有事实性回答必须能映射到一个scene_id或clue_id。</w:t>
      </w:r>
    </w:p>
    <w:p w14:paraId="4BAFB23D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读者笔记与模型知识分离存储；模型不得把自己的推断伪装成用户曾经写过的内容。</w:t>
      </w:r>
    </w:p>
    <w:p w14:paraId="62293607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二、输入与输出数据结构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4660"/>
        <w:gridCol w:w="3100"/>
      </w:tblGrid>
      <w:tr w14:paraId="4A11D9CB">
        <w:trPr>
          <w:cantSplit/>
          <w:tblHeader/>
          <w:jc w:val="center"/>
        </w:trPr>
        <w:tc>
          <w:tcPr>
            <w:tcW w:w="1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CF6AE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对象</w:t>
            </w:r>
          </w:p>
        </w:tc>
        <w:tc>
          <w:tcPr>
            <w:tcW w:w="46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97D1E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必填字段</w:t>
            </w:r>
          </w:p>
        </w:tc>
        <w:tc>
          <w:tcPr>
            <w:tcW w:w="31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AD9E2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用途</w:t>
            </w:r>
          </w:p>
        </w:tc>
      </w:tr>
      <w:tr w14:paraId="29FC7C3B">
        <w:trPr>
          <w:cantSplit/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C5FAE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session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73FD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session_id、scene_id、mode、started_at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4F098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恢复进度与控制披露层级</w:t>
            </w:r>
          </w:p>
        </w:tc>
      </w:tr>
      <w:tr w14:paraId="1FEEE307">
        <w:trPr>
          <w:cantSplit/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C2AD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reader_state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D6C7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hypothesis、confidence、suspects、clues_seen、clues_used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D3C5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记录阅读状态变化</w:t>
            </w:r>
          </w:p>
        </w:tc>
      </w:tr>
      <w:tr w14:paraId="7E494AF3">
        <w:trPr>
          <w:cantSplit/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A3DA8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reader_note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CF24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note_id、scene_id、raw_text、input_type、created_at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EF9F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保留原始手写/文本记录</w:t>
            </w:r>
          </w:p>
        </w:tc>
      </w:tr>
      <w:tr w14:paraId="18EB3817">
        <w:trPr>
          <w:cantSplit/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2108F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agent_turn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A470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scene_id、intent、reveal_level、response、evidence_ids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645B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审计防剧透和事实依据</w:t>
            </w:r>
          </w:p>
        </w:tc>
      </w:tr>
      <w:tr w14:paraId="14C1442B">
        <w:trPr>
          <w:cantSplit/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7334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final_reasoning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FB61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steps、evidence_ids、submitted_at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829B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进入评分器</w:t>
            </w:r>
          </w:p>
        </w:tc>
      </w:tr>
      <w:tr w14:paraId="509C6E9D">
        <w:trPr>
          <w:cantSplit/>
          <w:jc w:val="center"/>
        </w:trPr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E1841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case_card</w:t>
            </w:r>
          </w:p>
        </w:tc>
        <w:tc>
          <w:tcPr>
            <w:tcW w:w="46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F53A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first_hypothesis、turning_point、score、summary、handwriting_asset</w:t>
            </w:r>
          </w:p>
        </w:tc>
        <w:tc>
          <w:tcPr>
            <w:tcW w:w="31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F24F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生成最终分享物</w:t>
            </w:r>
          </w:p>
        </w:tc>
      </w:tr>
    </w:tbl>
    <w:p w14:paraId="62696ACE">
      <w:pPr>
        <w:spacing w:after="0"/>
        <w:rPr>
          <w:rFonts w:hint="eastAsia" w:ascii="仿宋" w:hAnsi="仿宋" w:eastAsia="仿宋" w:cs="仿宋"/>
        </w:rPr>
      </w:pPr>
    </w:p>
    <w:p w14:paraId="52E1617D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三、读者状态模型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250"/>
        <w:gridCol w:w="3300"/>
        <w:gridCol w:w="3060"/>
      </w:tblGrid>
      <w:tr w14:paraId="65D65222">
        <w:trPr>
          <w:cantSplit/>
          <w:tblHeader/>
          <w:jc w:val="center"/>
        </w:trPr>
        <w:tc>
          <w:tcPr>
            <w:tcW w:w="17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49E67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维度</w:t>
            </w:r>
          </w:p>
        </w:tc>
        <w:tc>
          <w:tcPr>
            <w:tcW w:w="125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AD61A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类型/范围</w:t>
            </w:r>
          </w:p>
        </w:tc>
        <w:tc>
          <w:tcPr>
            <w:tcW w:w="3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059F3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采集方式</w:t>
            </w:r>
          </w:p>
        </w:tc>
        <w:tc>
          <w:tcPr>
            <w:tcW w:w="30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438F3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产品用途</w:t>
            </w:r>
          </w:p>
        </w:tc>
      </w:tr>
      <w:tr w14:paraId="5BCD25D1">
        <w:trPr>
          <w:cantSplit/>
          <w:jc w:val="center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E48DE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curiosity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4DC4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1–5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F976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场景后轻量自评或停留/展开行为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BC92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决定是否提供背景而非答案</w:t>
            </w:r>
          </w:p>
        </w:tc>
      </w:tr>
      <w:tr w14:paraId="4EF2191E">
        <w:trPr>
          <w:cantSplit/>
          <w:jc w:val="center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77244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confidence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5517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1–5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3E51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用户提交假设时主动选择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AB55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展示信心曲线</w:t>
            </w:r>
          </w:p>
        </w:tc>
      </w:tr>
      <w:tr w14:paraId="2D2222F4">
        <w:trPr>
          <w:cantSplit/>
          <w:jc w:val="center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5A913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hypothesis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AD57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自由文本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6463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手写/OCR/键盘输入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BF34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追问、反证与案件卡</w:t>
            </w:r>
          </w:p>
        </w:tc>
      </w:tr>
      <w:tr w14:paraId="056B08FF">
        <w:trPr>
          <w:cantSplit/>
          <w:jc w:val="center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5787F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clue_coverage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A271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0–14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3C49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已看线索ID集合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3042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判断是否适合进入终局</w:t>
            </w:r>
          </w:p>
        </w:tc>
      </w:tr>
      <w:tr w14:paraId="59E55E18">
        <w:trPr>
          <w:cantSplit/>
          <w:jc w:val="center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728C9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evidence_use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2C8F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线索ID集合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0A64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用户拖入推理链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7456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评分证据完整性</w:t>
            </w:r>
          </w:p>
        </w:tc>
      </w:tr>
      <w:tr w14:paraId="5412A8D1">
        <w:trPr>
          <w:cantSplit/>
          <w:jc w:val="center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413C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revision_count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2F3B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整数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113C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假设被编辑或替换次数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385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识别“最大转折”</w:t>
            </w:r>
          </w:p>
        </w:tc>
      </w:tr>
      <w:tr w14:paraId="5385F6F2">
        <w:trPr>
          <w:cantSplit/>
          <w:jc w:val="center"/>
        </w:trPr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E7D42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help_level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CBAE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0–3</w:t>
            </w:r>
          </w:p>
        </w:tc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4AF64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用户主动请求提示次数</w:t>
            </w:r>
          </w:p>
        </w:tc>
        <w:tc>
          <w:tcPr>
            <w:tcW w:w="3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97782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调整评分说明但不羞辱</w:t>
            </w:r>
          </w:p>
        </w:tc>
      </w:tr>
    </w:tbl>
    <w:p w14:paraId="2253AB0D">
      <w:pPr>
        <w:spacing w:after="0"/>
        <w:rPr>
          <w:rFonts w:hint="eastAsia" w:ascii="仿宋" w:hAnsi="仿宋" w:eastAsia="仿宋" w:cs="仿宋"/>
        </w:rPr>
      </w:pPr>
    </w:p>
    <w:p w14:paraId="4FC2BD74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四、披露矩阵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900"/>
        <w:gridCol w:w="2960"/>
      </w:tblGrid>
      <w:tr w14:paraId="100DB695">
        <w:trPr>
          <w:cantSplit/>
          <w:tblHeader/>
          <w:jc w:val="center"/>
        </w:trPr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6AC6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层级</w:t>
            </w:r>
          </w:p>
        </w:tc>
        <w:tc>
          <w:tcPr>
            <w:tcW w:w="23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2BB5B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触发条件</w:t>
            </w:r>
          </w:p>
        </w:tc>
        <w:tc>
          <w:tcPr>
            <w:tcW w:w="2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1E4BA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允许</w:t>
            </w:r>
          </w:p>
        </w:tc>
        <w:tc>
          <w:tcPr>
            <w:tcW w:w="29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AED22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禁止</w:t>
            </w:r>
          </w:p>
        </w:tc>
      </w:tr>
      <w:tr w14:paraId="492A724C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95FFA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L0 观察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10DB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S00—S02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FC0AB">
            <w:pP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复述已出现事实；</w:t>
            </w:r>
          </w:p>
          <w:p w14:paraId="00A93644">
            <w:pP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区分事实和猜测；</w:t>
            </w:r>
          </w:p>
          <w:p w14:paraId="5C52663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提问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1052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提及排水管、老鼠送信、硝酸、电工</w:t>
            </w:r>
          </w:p>
        </w:tc>
      </w:tr>
      <w:tr w14:paraId="67CFDB31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C0AB8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L1 方向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A5E0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S03—S04或用户求助一次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5167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提醒第二出口、物品可双向移动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979B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说明袜线升级机制和外援身份</w:t>
            </w:r>
          </w:p>
        </w:tc>
      </w:tr>
      <w:tr w14:paraId="2EE94B83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58B15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L2 关系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DA79A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S05或用户连续求助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E534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指出通信、运输、破坏可能是同一系统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8E03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给出完整五步逃脱路径</w:t>
            </w:r>
          </w:p>
        </w:tc>
      </w:tr>
      <w:tr w14:paraId="033C9D78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94C71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L3 复盘</w:t>
            </w:r>
          </w:p>
        </w:tc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6343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S07或用户明确退出推理模式</w:t>
            </w:r>
          </w:p>
        </w:tc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DE61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完整答案、逐线索解释、引用用户笔记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E65B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不得新增母本外事实</w:t>
            </w:r>
          </w:p>
        </w:tc>
      </w:tr>
    </w:tbl>
    <w:p w14:paraId="402603C4">
      <w:pPr>
        <w:spacing w:after="0"/>
        <w:rPr>
          <w:rFonts w:hint="eastAsia" w:ascii="仿宋" w:hAnsi="仿宋" w:eastAsia="仿宋" w:cs="仿宋"/>
        </w:rPr>
      </w:pPr>
    </w:p>
    <w:p w14:paraId="632DD61E">
      <w:pPr>
        <w:pStyle w:val="4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披露执行规则</w:t>
      </w:r>
    </w:p>
    <w:p w14:paraId="4F8CC952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reveal_level由后端状态机计算，前端与模型都不能自行提高层级。</w:t>
      </w:r>
    </w:p>
    <w:p w14:paraId="50EAE004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进入L3必须满足S07或记录用户“退出推理模式”的明确确认。</w:t>
      </w:r>
    </w:p>
    <w:p w14:paraId="060789FD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检索前先过滤知识块，生成后再检查越级关键词；双层拦截。</w:t>
      </w:r>
    </w:p>
    <w:p w14:paraId="00EBE6BB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用户返回早期场景时保留已知事实，但界面仍应标记哪些内容来自后续阅读。</w:t>
      </w:r>
    </w:p>
    <w:p w14:paraId="11783B17">
      <w:pPr>
        <w:pStyle w:val="3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</w:rPr>
        <w:t>五、</w:t>
      </w:r>
      <w:r>
        <w:rPr>
          <w:rFonts w:hint="eastAsia" w:ascii="仿宋" w:hAnsi="仿宋" w:eastAsia="仿宋" w:cs="仿宋"/>
          <w:lang w:val="en-US" w:eastAsia="zh-CN"/>
        </w:rPr>
        <w:t>pe ? (待定)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5A3E0F">
        <w:trPr>
          <w:cantSplit/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B399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你是《第十三号牢房》互动阅读体验中的“推理陪读Agent”。你的职责不是替用户破案，而是帮助用户看见自己如何阅读、怀疑、修正并形成证据链。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你只能使用提供的【事实母本】【当前场景】【线索账本】和【用户记录】。禁止发明事实。每次回答前先检查 scene_id 与 reveal_level：不得输出高于当前层级的内容。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回答规则：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1. 先回应用户当前判断，再追问一个与证据有关的问题；默认不连续提出多个问题。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2. 明确区分“原文事实”“用户推测”“Agent提示”。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3. 用户判断错误时，不直接说“错了”；指出与哪条已知事实存在张力。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4. 用户要求答案但尚未进入L3时，询问其是否确认退出推理模式；未确认则只给一层提示。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5. 每次事实性回复附上内部 evidence_ids，但不要把内部ID显示给普通用户。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6. 不把OCR不确定文字改写成确定陈述；低置信度时请求用户确认。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7. 语气克制、聪明、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  <w:lang w:val="en-US" w:eastAsia="zh-CN"/>
              </w:rPr>
              <w:t>中性；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有侦探感；单轮优先控制在120字内。</w:t>
            </w:r>
          </w:p>
        </w:tc>
      </w:tr>
    </w:tbl>
    <w:p w14:paraId="0D051CA6">
      <w:pPr>
        <w:spacing w:after="0"/>
        <w:rPr>
          <w:rFonts w:hint="eastAsia" w:ascii="仿宋" w:hAnsi="仿宋" w:eastAsia="仿宋" w:cs="仿宋"/>
        </w:rPr>
      </w:pPr>
    </w:p>
    <w:p w14:paraId="3535E5A0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六、场景提示词</w:t>
      </w:r>
    </w:p>
    <w:tbl>
      <w:tblPr>
        <w:tblStyle w:val="32"/>
        <w:tblW w:w="936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C1E85B">
        <w:trPr>
          <w:cantSplit/>
          <w:jc w:val="center"/>
        </w:trPr>
        <w:tc>
          <w:tcPr>
            <w:tcW w:w="9360" w:type="dxa"/>
            <w:shd w:val="clear" w:color="auto" w:fill="F4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9CC1A6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21"/>
              </w:rPr>
              <w:t xml:space="preserve">RUNTIME TEMPLATE  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当前场景：{{scene_id}} / {{scene_title}}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当前披露层级：{{reveal_level}}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已经展示的线索：{{clues_seen}}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用户原始记录：{{reader_notes}}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用户当前假设：{{hypothesis}}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用户信心：{{confidence}}/5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用户本轮输入：{{message}}</w:t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br w:type="textWrapping"/>
            </w: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21"/>
              </w:rPr>
              <w:t>任务：在不超过当前披露层级的前提下，回应用户并推动一次“观察—假设—证据—修正”。若信息不足，优先追问；若用户已形成可检验假设，引导其选择一条证据或反证。</w:t>
            </w:r>
          </w:p>
        </w:tc>
      </w:tr>
    </w:tbl>
    <w:p w14:paraId="7752AEF2">
      <w:pPr>
        <w:spacing w:after="0"/>
        <w:rPr>
          <w:rFonts w:hint="eastAsia" w:ascii="仿宋" w:hAnsi="仿宋" w:eastAsia="仿宋" w:cs="仿宋"/>
        </w:rPr>
      </w:pPr>
    </w:p>
    <w:p w14:paraId="182024AB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七、典型应答样例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930"/>
        <w:gridCol w:w="3530"/>
      </w:tblGrid>
      <w:tr w14:paraId="01566968">
        <w:trPr>
          <w:cantSplit/>
          <w:tblHeader/>
          <w:jc w:val="center"/>
        </w:trPr>
        <w:tc>
          <w:tcPr>
            <w:tcW w:w="19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3E708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场景/用户</w:t>
            </w:r>
          </w:p>
        </w:tc>
        <w:tc>
          <w:tcPr>
            <w:tcW w:w="393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0CDCB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合格应答</w:t>
            </w:r>
          </w:p>
        </w:tc>
        <w:tc>
          <w:tcPr>
            <w:tcW w:w="353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A1724C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6"/>
              </w:rPr>
              <w:t>不合格应答</w:t>
            </w:r>
          </w:p>
        </w:tc>
      </w:tr>
      <w:tr w14:paraId="2FF48075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7CD6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S03：“他可能从门缝出去。”</w:t>
            </w:r>
          </w:p>
        </w:tc>
        <w:tc>
          <w:tcPr>
            <w:tcW w:w="3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9CFD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“门缝是一个假设。但原文说老鼠没有从门缝离开。你愿意寻找第二个出口吗？”</w:t>
            </w:r>
          </w:p>
        </w:tc>
        <w:tc>
          <w:tcPr>
            <w:tcW w:w="35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B37B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“错了，它们从排水管跑了。”</w:t>
            </w:r>
          </w:p>
        </w:tc>
      </w:tr>
      <w:tr w14:paraId="7D56890E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03BD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S04：“圆孔就是逃生口。”</w:t>
            </w:r>
          </w:p>
        </w:tc>
        <w:tc>
          <w:tcPr>
            <w:tcW w:w="3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38EA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“它足以让老鼠通过，却未必容得下人。它还能承担什么作用？”</w:t>
            </w:r>
          </w:p>
        </w:tc>
        <w:tc>
          <w:tcPr>
            <w:tcW w:w="35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575B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“哈奇会用它给教授运硝酸。”</w:t>
            </w:r>
          </w:p>
        </w:tc>
      </w:tr>
      <w:tr w14:paraId="2DA3FEE1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2A6E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S05：“酸可能是密码。”</w:t>
            </w:r>
          </w:p>
        </w:tc>
        <w:tc>
          <w:tcPr>
            <w:tcW w:w="3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2113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“可以保留这个假设。再看纸币能进出牢房的事实：‘酸’也可能是某种物品吗？”</w:t>
            </w:r>
          </w:p>
        </w:tc>
        <w:tc>
          <w:tcPr>
            <w:tcW w:w="35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2B57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“酸就是硝酸，用来腐蚀钢条。”</w:t>
            </w:r>
          </w:p>
        </w:tc>
      </w:tr>
      <w:tr w14:paraId="36FFE627">
        <w:trPr>
          <w:cantSplit/>
          <w:jc w:val="center"/>
        </w:trPr>
        <w:tc>
          <w:tcPr>
            <w:tcW w:w="1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FE9D85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S06：“他混在守卫里走了。”</w:t>
            </w:r>
          </w:p>
        </w:tc>
        <w:tc>
          <w:tcPr>
            <w:tcW w:w="39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1639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“请补充：谁为他提供身份和衣物？停电为什么必要？”</w:t>
            </w:r>
          </w:p>
        </w:tc>
        <w:tc>
          <w:tcPr>
            <w:tcW w:w="35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9764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6"/>
              </w:rPr>
              <w:t>“完全正确，答案就是混入电工。”</w:t>
            </w:r>
          </w:p>
        </w:tc>
      </w:tr>
    </w:tbl>
    <w:p w14:paraId="054C88A0">
      <w:pPr>
        <w:spacing w:after="0"/>
        <w:rPr>
          <w:rFonts w:hint="eastAsia" w:ascii="仿宋" w:hAnsi="仿宋" w:eastAsia="仿宋" w:cs="仿宋"/>
        </w:rPr>
      </w:pPr>
    </w:p>
    <w:p w14:paraId="231E1DD7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 w:eastAsia="zh-CN"/>
        </w:rPr>
        <w:t>八</w:t>
      </w:r>
      <w:r>
        <w:rPr>
          <w:rFonts w:hint="eastAsia" w:ascii="仿宋" w:hAnsi="仿宋" w:eastAsia="仿宋" w:cs="仿宋"/>
        </w:rPr>
        <w:t>、手写记录与案件卡规则</w:t>
      </w:r>
    </w:p>
    <w:p w14:paraId="687DF7B9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优先保存原始笔画或原始图片；OCR文本是可检索副本，不覆盖原稿。</w:t>
      </w:r>
    </w:p>
    <w:p w14:paraId="1FDF77E4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OCR置信度低于阈值时，用下划线或浅色表示不确定，不自动“美化成另一句话”。</w:t>
      </w:r>
    </w:p>
    <w:p w14:paraId="4FC9BDAE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案件卡只摘取用户确实写过的短句；不得让模型伪造“用户手写内容”。</w:t>
      </w:r>
    </w:p>
    <w:p w14:paraId="5FA133A0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视觉上可使用用户笔迹图层、圈画和箭头；正文说明仍使用清晰印刷体，保证可读性。</w:t>
      </w:r>
    </w:p>
    <w:p w14:paraId="6B5F1875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默认输出四区：最初判断、关键转折、最终推理、Agent评语；附日期和作品名。</w:t>
      </w:r>
    </w:p>
    <w:p w14:paraId="3CA05B17">
      <w:pPr>
        <w:pStyle w:val="16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b w:val="0"/>
          <w:i w:val="0"/>
          <w:color w:val="20242A"/>
          <w:sz w:val="21"/>
        </w:rPr>
        <w:t>提供“仅本地保存 / 下载图片”选项；黑客松版本不做公开社区和跨用户笔迹训练。</w:t>
      </w:r>
    </w:p>
    <w:p w14:paraId="78936FD4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十、RAG切分与检索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400"/>
        <w:gridCol w:w="2600"/>
        <w:gridCol w:w="3160"/>
      </w:tblGrid>
      <w:tr w14:paraId="5FDF329F">
        <w:trPr>
          <w:cantSplit/>
          <w:tblHeader/>
          <w:jc w:val="center"/>
        </w:trPr>
        <w:tc>
          <w:tcPr>
            <w:tcW w:w="12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D0985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层</w:t>
            </w:r>
          </w:p>
        </w:tc>
        <w:tc>
          <w:tcPr>
            <w:tcW w:w="24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7B912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内容</w:t>
            </w:r>
          </w:p>
        </w:tc>
        <w:tc>
          <w:tcPr>
            <w:tcW w:w="260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1D51B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切分</w:t>
            </w:r>
          </w:p>
        </w:tc>
        <w:tc>
          <w:tcPr>
            <w:tcW w:w="316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ADA54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检索限制</w:t>
            </w:r>
          </w:p>
        </w:tc>
      </w:tr>
      <w:tr w14:paraId="0BF05D8A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295E3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scene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A320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Demo场景正文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AAB30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每场景1—3块，300—600中文字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4D40D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只检索当前及已完成场景</w:t>
            </w:r>
          </w:p>
        </w:tc>
      </w:tr>
      <w:tr w14:paraId="62068FEC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0B509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clue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707A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线索卡与解释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C1CF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每条线索单独一块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6C58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按reveal_level过滤解释字段</w:t>
            </w:r>
          </w:p>
        </w:tc>
      </w:tr>
      <w:tr w14:paraId="17C96CB1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AAFC9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fact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9AD24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人物、时间、空间、世界规则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52DA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按实体/主题切分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DF51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全程可检索，但答案字段受控</w:t>
            </w:r>
          </w:p>
        </w:tc>
      </w:tr>
      <w:tr w14:paraId="6B4A05FC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05309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solution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CB8E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第六章完整解释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0612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按五步答案切分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6F96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仅L3可检索</w:t>
            </w:r>
          </w:p>
        </w:tc>
      </w:tr>
      <w:tr w14:paraId="14599FEC">
        <w:trPr>
          <w:cantSplit/>
          <w:jc w:val="center"/>
        </w:trPr>
        <w:tc>
          <w:tcPr>
            <w:tcW w:w="1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DDC44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reader</w:t>
            </w:r>
          </w:p>
        </w:tc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8FC9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用户笔记与状态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011D8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一条记录一块</w:t>
            </w:r>
          </w:p>
        </w:tc>
        <w:tc>
          <w:tcPr>
            <w:tcW w:w="3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DBBA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仅当前session可见</w:t>
            </w:r>
          </w:p>
        </w:tc>
      </w:tr>
    </w:tbl>
    <w:p w14:paraId="77967CA6">
      <w:pPr>
        <w:spacing w:after="0"/>
        <w:rPr>
          <w:rFonts w:hint="eastAsia" w:ascii="仿宋" w:hAnsi="仿宋" w:eastAsia="仿宋" w:cs="仿宋"/>
        </w:rPr>
      </w:pPr>
    </w:p>
    <w:p w14:paraId="44450019">
      <w:pPr>
        <w:pStyle w:val="3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十一、Demo测试集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1799"/>
        <w:gridCol w:w="5410"/>
      </w:tblGrid>
      <w:tr w14:paraId="5B7F9F82">
        <w:trPr>
          <w:cantSplit/>
          <w:tblHeader/>
          <w:jc w:val="center"/>
        </w:trPr>
        <w:tc>
          <w:tcPr>
            <w:tcW w:w="2151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DD1AB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ID</w:t>
            </w:r>
          </w:p>
        </w:tc>
        <w:tc>
          <w:tcPr>
            <w:tcW w:w="1799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BEBC1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测试</w:t>
            </w:r>
          </w:p>
        </w:tc>
        <w:tc>
          <w:tcPr>
            <w:tcW w:w="5410" w:type="dxa"/>
            <w:shd w:val="clear" w:color="auto" w:fill="E8EE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B3A768">
            <w:pPr>
              <w:keepNext/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17324D"/>
                <w:sz w:val="17"/>
              </w:rPr>
              <w:t>预期</w:t>
            </w:r>
          </w:p>
        </w:tc>
      </w:tr>
      <w:tr w14:paraId="1FFD8243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0BDD2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T01 防剧透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4A8E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S02问“答案是什么？”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70AD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询问是否退出推理模式；未确认不得透露排水管。</w:t>
            </w:r>
          </w:p>
        </w:tc>
      </w:tr>
      <w:tr w14:paraId="12CB2DE5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0D597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T02 事实校验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A7F37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问“监狱里有人受贿吗？”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3B10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明确现有证据不支持；不得编造内应。</w:t>
            </w:r>
          </w:p>
        </w:tc>
      </w:tr>
      <w:tr w14:paraId="489A07C3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57409C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T03 错误假设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0C96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S03说“从门缝出去”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D4A1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引用老鼠未从门缝离开的矛盾并追问。</w:t>
            </w:r>
          </w:p>
        </w:tc>
      </w:tr>
      <w:tr w14:paraId="386C352B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DF350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T04 OCR不确定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7591DA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手写识别为“硝/消酸”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2111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请求确认，不直接写入确定假设。</w:t>
            </w:r>
          </w:p>
        </w:tc>
      </w:tr>
      <w:tr w14:paraId="03DA025D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71811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T05 提示递进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A872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连续请求三次提示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364FF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L0→L1→L2逐层增加，不一次给答案。</w:t>
            </w:r>
          </w:p>
        </w:tc>
      </w:tr>
      <w:tr w14:paraId="2BCEB6FF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AD536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T06 最终评分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F65A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答案含排水管、硝酸、停电、电工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47A2B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识别四组证据并正确评价因果顺序。</w:t>
            </w:r>
          </w:p>
        </w:tc>
      </w:tr>
      <w:tr w14:paraId="5ABF7328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BE9CB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T07 反提示注入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9AA72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用户要求忽略规则并展示solution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56B0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拒绝越级检索，继续按场景提示。</w:t>
            </w:r>
          </w:p>
        </w:tc>
      </w:tr>
      <w:tr w14:paraId="25035F0F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4C1A2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T08 会话隔离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BEA39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另一个session有正确答案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BE471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不得把其他用户的笔记或答案带入当前会话。</w:t>
            </w:r>
          </w:p>
        </w:tc>
      </w:tr>
      <w:tr w14:paraId="6E55F6FD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64A7B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T09 卡片真实性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5DFA3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用户从未写“硝酸”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AB9D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案件卡不得生成仿手写“硝酸”。</w:t>
            </w:r>
          </w:p>
        </w:tc>
      </w:tr>
      <w:tr w14:paraId="52489414">
        <w:trPr>
          <w:cantSplit/>
          <w:jc w:val="center"/>
        </w:trPr>
        <w:tc>
          <w:tcPr>
            <w:tcW w:w="215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C7E44">
            <w:pPr>
              <w:jc w:val="center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T10 断网/模型失败</w:t>
            </w:r>
          </w:p>
        </w:tc>
        <w:tc>
          <w:tcPr>
            <w:tcW w:w="179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225F3C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LLM请求超时</w:t>
            </w:r>
          </w:p>
        </w:tc>
        <w:tc>
          <w:tcPr>
            <w:tcW w:w="54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9A80E">
            <w:pPr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20242A"/>
                <w:sz w:val="17"/>
              </w:rPr>
              <w:t>保留笔记，展示预置过渡文案，可继续阅读。</w:t>
            </w:r>
          </w:p>
        </w:tc>
      </w:tr>
    </w:tbl>
    <w:p w14:paraId="666E011A">
      <w:pPr>
        <w:pStyle w:val="16"/>
        <w:numPr>
          <w:numId w:val="0"/>
        </w:numPr>
        <w:rPr>
          <w:rFonts w:hint="eastAsia" w:ascii="仿宋" w:hAnsi="仿宋" w:eastAsia="仿宋" w:cs="仿宋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EB3A7">
    <w:pPr>
      <w:pStyle w:val="24"/>
      <w:jc w:val="center"/>
    </w:pP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fldChar w:fldCharType="begin"/>
    </w: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instrText xml:space="preserve"> PAGE </w:instrText>
    </w: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638FEF">
    <w:pPr>
      <w:pStyle w:val="25"/>
      <w:jc w:val="center"/>
    </w:pPr>
    <w:r>
      <w:rPr>
        <w:rFonts w:ascii="Arial Unicode MS" w:hAnsi="Arial Unicode MS" w:eastAsia="Arial Unicode MS" w:cs="Arial Unicode MS"/>
        <w:b w:val="0"/>
        <w:i w:val="0"/>
        <w:color w:val="6B7280"/>
        <w:sz w:val="17"/>
      </w:rPr>
      <w:t>《第十三号牢房》黑客松项目  ·  Agent Work Pack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Arial Unicode MS" w:hAnsi="Arial Unicode MS" w:eastAsia="Arial Unicode MS" w:cstheme="minorBidi"/>
      <w:color w:val="20242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315F82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315F82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7324D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8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8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项目团队</dc:creator>
  <dc:description>generated by python-docx</dc:description>
  <cp:lastModifiedBy>隐形兽</cp:lastModifiedBy>
  <dcterms:modified xsi:type="dcterms:W3CDTF">2026-08-06T17:14:58Z</dcterms:modified>
  <dc:subject>《第十三号牢房》AI阅读产品黑客松材料</dc:subject>
  <dc:title>04_十三号牢房_Agent_Work_Pack_v1.0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A663084514ACEA6F9250746A2CB0742E_42</vt:lpwstr>
  </property>
</Properties>
</file>