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문헌 종합과 방향 합의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2c2c2b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– 오늘 방향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c2c2b"/>
          <w:rtl w:val="0"/>
        </w:rPr>
        <w:t xml:space="preserve">CVE 수집 → 버전 매핑 → 후보 식별 → 우선순위화 흐름으로 CVE 기반 + 정적 분석 중심 도구를 설계한다.</w:t>
      </w:r>
    </w:p>
    <w:p w:rsidR="00000000" w:rsidDel="00000000" w:rsidP="00000000" w:rsidRDefault="00000000" w:rsidRPr="00000000" w14:paraId="00000004">
      <w:pPr>
        <w:rPr>
          <w:color w:val="2c2c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2c2c2b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b"/>
          <w:rtl w:val="0"/>
        </w:rPr>
        <w:t xml:space="preserve">– 파이프라인 그림 1장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2c2c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2c2c2b"/>
        </w:rPr>
      </w:pPr>
      <w:r w:rsidDel="00000000" w:rsidR="00000000" w:rsidRPr="00000000">
        <w:rPr>
          <w:b w:val="1"/>
          <w:bCs w:val="1"/>
          <w:color w:val="2c2c2b"/>
        </w:rPr>
        <w:drawing>
          <wp:inline distB="114300" distT="114300" distL="114300" distR="114300">
            <wp:extent cx="5734050" cy="48930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5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93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