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09" w:type="dxa"/>
        <w:tblInd w:w="55" w:type="dxa"/>
        <w:tblCellMar>
          <w:left w:w="70" w:type="dxa"/>
          <w:right w:w="70" w:type="dxa"/>
        </w:tblCellMar>
        <w:tblLook w:val="04A0" w:firstRow="1" w:lastRow="0" w:firstColumn="1" w:lastColumn="0" w:noHBand="0" w:noVBand="1"/>
      </w:tblPr>
      <w:tblGrid>
        <w:gridCol w:w="53"/>
        <w:gridCol w:w="3662"/>
        <w:gridCol w:w="87"/>
        <w:gridCol w:w="608"/>
        <w:gridCol w:w="992"/>
        <w:gridCol w:w="1276"/>
        <w:gridCol w:w="992"/>
        <w:gridCol w:w="1400"/>
        <w:gridCol w:w="739"/>
      </w:tblGrid>
      <w:tr w:rsidR="00167353" w:rsidRPr="009C3FAD" w:rsidTr="00167353">
        <w:trPr>
          <w:gridAfter w:val="1"/>
          <w:wAfter w:w="739" w:type="dxa"/>
          <w:trHeight w:val="300"/>
        </w:trPr>
        <w:tc>
          <w:tcPr>
            <w:tcW w:w="4410" w:type="dxa"/>
            <w:gridSpan w:val="4"/>
            <w:tcBorders>
              <w:top w:val="nil"/>
              <w:left w:val="nil"/>
              <w:bottom w:val="nil"/>
              <w:right w:val="nil"/>
            </w:tcBorders>
            <w:shd w:val="clear" w:color="auto" w:fill="auto"/>
            <w:noWrap/>
            <w:vAlign w:val="bottom"/>
            <w:hideMark/>
          </w:tcPr>
          <w:p w:rsidR="00167353" w:rsidRPr="009C3FAD" w:rsidRDefault="00167353" w:rsidP="002B2620">
            <w:pPr>
              <w:spacing w:after="0" w:line="240" w:lineRule="auto"/>
              <w:rPr>
                <w:rFonts w:eastAsia="Times New Roman" w:cs="Arial"/>
                <w:color w:val="000000"/>
                <w:sz w:val="18"/>
                <w:szCs w:val="18"/>
                <w:lang w:eastAsia="fr-FR"/>
              </w:rPr>
            </w:pPr>
            <w:bookmarkStart w:id="0" w:name="_GoBack"/>
            <w:bookmarkEnd w:id="0"/>
          </w:p>
        </w:tc>
        <w:tc>
          <w:tcPr>
            <w:tcW w:w="992" w:type="dxa"/>
            <w:tcBorders>
              <w:top w:val="nil"/>
              <w:left w:val="nil"/>
              <w:bottom w:val="nil"/>
              <w:right w:val="nil"/>
            </w:tcBorders>
            <w:shd w:val="clear" w:color="auto" w:fill="auto"/>
            <w:noWrap/>
            <w:vAlign w:val="bottom"/>
            <w:hideMark/>
          </w:tcPr>
          <w:p w:rsidR="00167353" w:rsidRPr="009C3FAD" w:rsidRDefault="00167353" w:rsidP="002B2620">
            <w:pPr>
              <w:spacing w:after="0" w:line="240" w:lineRule="auto"/>
              <w:rPr>
                <w:rFonts w:eastAsia="Times New Roman" w:cs="Arial"/>
                <w:color w:val="000000"/>
                <w:sz w:val="18"/>
                <w:szCs w:val="18"/>
                <w:lang w:eastAsia="fr-FR"/>
              </w:rPr>
            </w:pPr>
          </w:p>
        </w:tc>
        <w:tc>
          <w:tcPr>
            <w:tcW w:w="1276" w:type="dxa"/>
            <w:tcBorders>
              <w:top w:val="nil"/>
              <w:left w:val="nil"/>
              <w:bottom w:val="nil"/>
              <w:right w:val="nil"/>
            </w:tcBorders>
            <w:shd w:val="clear" w:color="auto" w:fill="auto"/>
            <w:noWrap/>
            <w:vAlign w:val="bottom"/>
            <w:hideMark/>
          </w:tcPr>
          <w:p w:rsidR="00167353" w:rsidRPr="009C3FAD" w:rsidRDefault="00167353" w:rsidP="002B2620">
            <w:pPr>
              <w:spacing w:after="0" w:line="240" w:lineRule="auto"/>
              <w:rPr>
                <w:rFonts w:eastAsia="Times New Roman" w:cs="Arial"/>
                <w:color w:val="000000"/>
                <w:sz w:val="18"/>
                <w:szCs w:val="18"/>
                <w:lang w:eastAsia="fr-FR"/>
              </w:rPr>
            </w:pPr>
          </w:p>
        </w:tc>
        <w:tc>
          <w:tcPr>
            <w:tcW w:w="992" w:type="dxa"/>
            <w:tcBorders>
              <w:top w:val="nil"/>
              <w:left w:val="nil"/>
              <w:bottom w:val="nil"/>
              <w:right w:val="nil"/>
            </w:tcBorders>
            <w:shd w:val="clear" w:color="auto" w:fill="auto"/>
            <w:noWrap/>
            <w:vAlign w:val="bottom"/>
            <w:hideMark/>
          </w:tcPr>
          <w:p w:rsidR="00167353" w:rsidRPr="009C3FAD" w:rsidRDefault="00167353" w:rsidP="002B2620">
            <w:pPr>
              <w:spacing w:after="0" w:line="240" w:lineRule="auto"/>
              <w:jc w:val="center"/>
              <w:rPr>
                <w:rFonts w:eastAsia="Times New Roman" w:cs="Arial"/>
                <w:color w:val="000000"/>
                <w:sz w:val="18"/>
                <w:szCs w:val="18"/>
                <w:lang w:eastAsia="fr-FR"/>
              </w:rPr>
            </w:pPr>
          </w:p>
        </w:tc>
        <w:tc>
          <w:tcPr>
            <w:tcW w:w="1400" w:type="dxa"/>
            <w:tcBorders>
              <w:top w:val="nil"/>
              <w:left w:val="nil"/>
              <w:bottom w:val="nil"/>
              <w:right w:val="nil"/>
            </w:tcBorders>
            <w:shd w:val="clear" w:color="auto" w:fill="auto"/>
            <w:noWrap/>
            <w:vAlign w:val="bottom"/>
            <w:hideMark/>
          </w:tcPr>
          <w:p w:rsidR="00167353" w:rsidRPr="009C3FAD" w:rsidRDefault="00167353" w:rsidP="002B2620">
            <w:pPr>
              <w:spacing w:after="0" w:line="240" w:lineRule="auto"/>
              <w:rPr>
                <w:rFonts w:eastAsia="Times New Roman" w:cs="Arial"/>
                <w:color w:val="000000"/>
                <w:sz w:val="18"/>
                <w:szCs w:val="18"/>
                <w:lang w:eastAsia="fr-FR"/>
              </w:rPr>
            </w:pPr>
          </w:p>
        </w:tc>
      </w:tr>
      <w:tr w:rsidR="00167353" w:rsidTr="00167353">
        <w:tblPrEx>
          <w:tblCellMar>
            <w:left w:w="108" w:type="dxa"/>
            <w:right w:w="108" w:type="dxa"/>
          </w:tblCellMar>
        </w:tblPrEx>
        <w:trPr>
          <w:gridAfter w:val="1"/>
          <w:wAfter w:w="739" w:type="dxa"/>
          <w:tblHeader/>
        </w:trPr>
        <w:tc>
          <w:tcPr>
            <w:tcW w:w="3715" w:type="dxa"/>
            <w:gridSpan w:val="2"/>
            <w:shd w:val="clear" w:color="auto" w:fill="39B533"/>
          </w:tcPr>
          <w:p w:rsidR="00167353" w:rsidRPr="00FD40B2" w:rsidRDefault="00167353" w:rsidP="002B2620">
            <w:pPr>
              <w:pStyle w:val="SAGEBodyText"/>
              <w:jc w:val="left"/>
              <w:rPr>
                <w:b/>
                <w:color w:val="FFFFFF" w:themeColor="background1"/>
                <w:sz w:val="24"/>
                <w:szCs w:val="24"/>
              </w:rPr>
            </w:pPr>
            <w:r>
              <w:rPr>
                <w:b/>
                <w:color w:val="FFFFFF" w:themeColor="background1"/>
                <w:sz w:val="24"/>
                <w:szCs w:val="24"/>
              </w:rPr>
              <w:t>Environnement</w:t>
            </w:r>
          </w:p>
        </w:tc>
        <w:tc>
          <w:tcPr>
            <w:tcW w:w="5355" w:type="dxa"/>
            <w:gridSpan w:val="6"/>
            <w:shd w:val="clear" w:color="auto" w:fill="39B533"/>
          </w:tcPr>
          <w:p w:rsidR="00167353" w:rsidRPr="00FD40B2" w:rsidRDefault="00167353" w:rsidP="002B2620">
            <w:pPr>
              <w:pStyle w:val="SAGEBodyText"/>
              <w:jc w:val="left"/>
              <w:rPr>
                <w:b/>
                <w:color w:val="FFFFFF" w:themeColor="background1"/>
                <w:sz w:val="24"/>
                <w:szCs w:val="24"/>
              </w:rPr>
            </w:pPr>
            <w:r>
              <w:rPr>
                <w:b/>
                <w:color w:val="FFFFFF" w:themeColor="background1"/>
                <w:sz w:val="24"/>
                <w:szCs w:val="24"/>
              </w:rPr>
              <w:t>Version</w:t>
            </w:r>
          </w:p>
        </w:tc>
      </w:tr>
      <w:tr w:rsidR="00167353" w:rsidRPr="00934884" w:rsidTr="00167353">
        <w:tblPrEx>
          <w:tblCellMar>
            <w:left w:w="108" w:type="dxa"/>
            <w:right w:w="108" w:type="dxa"/>
          </w:tblCellMar>
        </w:tblPrEx>
        <w:trPr>
          <w:gridAfter w:val="1"/>
          <w:wAfter w:w="739" w:type="dxa"/>
        </w:trPr>
        <w:tc>
          <w:tcPr>
            <w:tcW w:w="3715" w:type="dxa"/>
            <w:gridSpan w:val="2"/>
            <w:shd w:val="clear" w:color="auto" w:fill="F0FFF0"/>
          </w:tcPr>
          <w:p w:rsidR="00167353" w:rsidRDefault="00167353" w:rsidP="002B2620">
            <w:pPr>
              <w:pStyle w:val="SAGEBodyText"/>
              <w:jc w:val="left"/>
            </w:pPr>
            <w:r>
              <w:t>Système d’exploitation Serveur</w:t>
            </w:r>
          </w:p>
        </w:tc>
        <w:tc>
          <w:tcPr>
            <w:tcW w:w="5355" w:type="dxa"/>
            <w:gridSpan w:val="6"/>
            <w:shd w:val="clear" w:color="auto" w:fill="F0FFF0"/>
          </w:tcPr>
          <w:p w:rsidR="00167353" w:rsidRPr="00E77303" w:rsidRDefault="00167353" w:rsidP="00167353">
            <w:pPr>
              <w:pStyle w:val="SAGEBodyText"/>
              <w:numPr>
                <w:ilvl w:val="0"/>
                <w:numId w:val="3"/>
              </w:numPr>
              <w:jc w:val="left"/>
              <w:rPr>
                <w:lang w:val="en-US"/>
              </w:rPr>
            </w:pPr>
            <w:r w:rsidRPr="00E77303">
              <w:rPr>
                <w:lang w:val="en-US"/>
              </w:rPr>
              <w:t>Microsoft Windows Server</w:t>
            </w:r>
            <w:r>
              <w:rPr>
                <w:lang w:val="en-US"/>
              </w:rPr>
              <w:t xml:space="preserve"> </w:t>
            </w:r>
            <w:r w:rsidRPr="00E77303">
              <w:rPr>
                <w:lang w:val="en-US"/>
              </w:rPr>
              <w:t>2008 R2 (FR) SE/EE/Datacenter (x64)</w:t>
            </w:r>
          </w:p>
          <w:p w:rsidR="00167353" w:rsidRDefault="00167353" w:rsidP="00167353">
            <w:pPr>
              <w:pStyle w:val="SAGEBodyText"/>
              <w:numPr>
                <w:ilvl w:val="0"/>
                <w:numId w:val="3"/>
              </w:numPr>
            </w:pPr>
            <w:r>
              <w:t>Windows Server 2012 (x86, x64)</w:t>
            </w:r>
          </w:p>
          <w:p w:rsidR="00167353" w:rsidRDefault="00167353" w:rsidP="00167353">
            <w:pPr>
              <w:pStyle w:val="SAGEBodyText"/>
              <w:numPr>
                <w:ilvl w:val="0"/>
                <w:numId w:val="3"/>
              </w:numPr>
              <w:rPr>
                <w:lang w:val="en-US"/>
              </w:rPr>
            </w:pPr>
            <w:r w:rsidRPr="00E77303">
              <w:rPr>
                <w:lang w:val="en-US"/>
              </w:rPr>
              <w:tab/>
              <w:t>Windows Server 2012 R2 Standard (x86, x64)</w:t>
            </w:r>
          </w:p>
          <w:p w:rsidR="00934884" w:rsidRPr="00E77303" w:rsidRDefault="00934884" w:rsidP="00167353">
            <w:pPr>
              <w:pStyle w:val="SAGEBodyText"/>
              <w:numPr>
                <w:ilvl w:val="0"/>
                <w:numId w:val="3"/>
              </w:numPr>
              <w:rPr>
                <w:lang w:val="en-US"/>
              </w:rPr>
            </w:pPr>
            <w:r>
              <w:rPr>
                <w:lang w:val="en-US"/>
              </w:rPr>
              <w:t>Windows Server 2016</w:t>
            </w:r>
          </w:p>
        </w:tc>
      </w:tr>
      <w:tr w:rsidR="00167353" w:rsidRPr="00A50975" w:rsidTr="00167353">
        <w:tblPrEx>
          <w:tblCellMar>
            <w:left w:w="108" w:type="dxa"/>
            <w:right w:w="108" w:type="dxa"/>
          </w:tblCellMar>
        </w:tblPrEx>
        <w:trPr>
          <w:gridAfter w:val="1"/>
          <w:wAfter w:w="739" w:type="dxa"/>
        </w:trPr>
        <w:tc>
          <w:tcPr>
            <w:tcW w:w="3715" w:type="dxa"/>
            <w:gridSpan w:val="2"/>
            <w:shd w:val="clear" w:color="auto" w:fill="F0FFF0"/>
          </w:tcPr>
          <w:p w:rsidR="00167353" w:rsidRDefault="00167353" w:rsidP="002B2620">
            <w:pPr>
              <w:pStyle w:val="SAGEBodyText"/>
              <w:jc w:val="left"/>
            </w:pPr>
            <w:r>
              <w:t>Moteur de bases de données relationnelles</w:t>
            </w:r>
          </w:p>
          <w:p w:rsidR="00167353" w:rsidRDefault="00167353" w:rsidP="002B2620">
            <w:pPr>
              <w:pStyle w:val="SAGEBodyText"/>
            </w:pPr>
          </w:p>
        </w:tc>
        <w:tc>
          <w:tcPr>
            <w:tcW w:w="5355" w:type="dxa"/>
            <w:gridSpan w:val="6"/>
            <w:shd w:val="clear" w:color="auto" w:fill="F0FFF0"/>
          </w:tcPr>
          <w:p w:rsidR="00167353" w:rsidRDefault="00934884" w:rsidP="00167353">
            <w:pPr>
              <w:pStyle w:val="SAGEBodyText"/>
              <w:numPr>
                <w:ilvl w:val="0"/>
                <w:numId w:val="2"/>
              </w:numPr>
              <w:ind w:left="360"/>
            </w:pPr>
            <w:r>
              <w:t>SQLSERVER 2008R2,  2012, 2014, 2016</w:t>
            </w:r>
          </w:p>
          <w:p w:rsidR="00167353" w:rsidRDefault="00167353" w:rsidP="00167353">
            <w:pPr>
              <w:pStyle w:val="SAGEBodyText"/>
              <w:numPr>
                <w:ilvl w:val="0"/>
                <w:numId w:val="1"/>
              </w:numPr>
              <w:ind w:left="1080"/>
            </w:pPr>
            <w:r>
              <w:t>Enterprise Edition</w:t>
            </w:r>
          </w:p>
          <w:p w:rsidR="00167353" w:rsidRDefault="00167353" w:rsidP="00167353">
            <w:pPr>
              <w:pStyle w:val="SAGEBodyText"/>
              <w:numPr>
                <w:ilvl w:val="0"/>
                <w:numId w:val="1"/>
              </w:numPr>
              <w:ind w:left="1080"/>
            </w:pPr>
            <w:r>
              <w:t>Standard Edition</w:t>
            </w:r>
          </w:p>
          <w:p w:rsidR="00167353" w:rsidRDefault="00167353" w:rsidP="00167353">
            <w:pPr>
              <w:pStyle w:val="SAGEBodyText"/>
              <w:numPr>
                <w:ilvl w:val="0"/>
                <w:numId w:val="1"/>
              </w:numPr>
              <w:ind w:left="1080"/>
            </w:pPr>
            <w:r>
              <w:t>Business Intelligence Edition</w:t>
            </w:r>
          </w:p>
          <w:tbl>
            <w:tblPr>
              <w:tblW w:w="0" w:type="auto"/>
              <w:tblInd w:w="378" w:type="dxa"/>
              <w:tblLook w:val="04A0" w:firstRow="1" w:lastRow="0" w:firstColumn="1" w:lastColumn="0" w:noHBand="0" w:noVBand="1"/>
            </w:tblPr>
            <w:tblGrid>
              <w:gridCol w:w="849"/>
              <w:gridCol w:w="3912"/>
            </w:tblGrid>
            <w:tr w:rsidR="00167353" w:rsidRPr="00A50975" w:rsidTr="002B2620">
              <w:trPr>
                <w:cantSplit/>
              </w:trPr>
              <w:tc>
                <w:tcPr>
                  <w:tcW w:w="849" w:type="dxa"/>
                  <w:tcBorders>
                    <w:top w:val="dashed" w:sz="2" w:space="0" w:color="FFBDBD"/>
                    <w:bottom w:val="dashed" w:sz="2" w:space="0" w:color="FFBDBD"/>
                  </w:tcBorders>
                  <w:shd w:val="clear" w:color="auto" w:fill="auto"/>
                </w:tcPr>
                <w:p w:rsidR="00167353" w:rsidRPr="00C53FCB" w:rsidRDefault="00167353" w:rsidP="002B2620">
                  <w:pPr>
                    <w:pStyle w:val="SAGEBodyText"/>
                    <w:keepNext/>
                    <w:keepLines/>
                    <w:jc w:val="left"/>
                  </w:pPr>
                  <w:r>
                    <w:rPr>
                      <w:noProof/>
                      <w:lang w:eastAsia="fr-FR"/>
                    </w:rPr>
                    <w:drawing>
                      <wp:inline distT="0" distB="0" distL="0" distR="0" wp14:anchorId="781D044D" wp14:editId="0C3B08AB">
                        <wp:extent cx="402336" cy="283464"/>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_Warn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336" cy="283464"/>
                                </a:xfrm>
                                <a:prstGeom prst="rect">
                                  <a:avLst/>
                                </a:prstGeom>
                              </pic:spPr>
                            </pic:pic>
                          </a:graphicData>
                        </a:graphic>
                      </wp:inline>
                    </w:drawing>
                  </w:r>
                </w:p>
              </w:tc>
              <w:tc>
                <w:tcPr>
                  <w:tcW w:w="4510" w:type="dxa"/>
                  <w:tcBorders>
                    <w:top w:val="dashed" w:sz="2" w:space="0" w:color="FFBDBD"/>
                    <w:bottom w:val="dashed" w:sz="2" w:space="0" w:color="FFBDBD"/>
                  </w:tcBorders>
                  <w:shd w:val="clear" w:color="auto" w:fill="auto"/>
                </w:tcPr>
                <w:p w:rsidR="00167353" w:rsidRPr="00C53FCB" w:rsidRDefault="00167353" w:rsidP="002B2620">
                  <w:pPr>
                    <w:pStyle w:val="SAGEBodyText"/>
                    <w:keepNext/>
                    <w:keepLines/>
                    <w:jc w:val="left"/>
                  </w:pPr>
                  <w:r>
                    <w:t>le composant "Recherche de texte intégrale" doit être installé pour pouvoir bénéficier de la fonctionnalité associée.</w:t>
                  </w:r>
                </w:p>
              </w:tc>
            </w:tr>
          </w:tbl>
          <w:p w:rsidR="00167353" w:rsidRDefault="00167353" w:rsidP="002B2620">
            <w:pPr>
              <w:pStyle w:val="SAGEBodyText"/>
            </w:pPr>
          </w:p>
          <w:p w:rsidR="00167353" w:rsidRDefault="00167353" w:rsidP="00167353">
            <w:pPr>
              <w:pStyle w:val="SAGEBodyText"/>
              <w:numPr>
                <w:ilvl w:val="0"/>
                <w:numId w:val="2"/>
              </w:numPr>
              <w:ind w:left="360"/>
            </w:pPr>
            <w:r>
              <w:t>ORACLE 11g r2, 12c (x86, x64)</w:t>
            </w:r>
          </w:p>
          <w:p w:rsidR="00167353" w:rsidRDefault="00167353" w:rsidP="00167353">
            <w:pPr>
              <w:pStyle w:val="SAGEBodyText"/>
              <w:numPr>
                <w:ilvl w:val="0"/>
                <w:numId w:val="1"/>
              </w:numPr>
              <w:ind w:left="1080"/>
            </w:pPr>
            <w:r>
              <w:t>Enterprise Edition</w:t>
            </w:r>
          </w:p>
          <w:p w:rsidR="00167353" w:rsidRDefault="00167353" w:rsidP="00167353">
            <w:pPr>
              <w:pStyle w:val="SAGEBodyText"/>
              <w:numPr>
                <w:ilvl w:val="0"/>
                <w:numId w:val="1"/>
              </w:numPr>
              <w:ind w:left="1080"/>
            </w:pPr>
            <w:r>
              <w:t>Standard Edition</w:t>
            </w:r>
          </w:p>
          <w:p w:rsidR="00167353" w:rsidRDefault="00167353" w:rsidP="00167353">
            <w:pPr>
              <w:pStyle w:val="SAGEBodyText"/>
              <w:numPr>
                <w:ilvl w:val="0"/>
                <w:numId w:val="1"/>
              </w:numPr>
              <w:ind w:left="1080"/>
            </w:pPr>
            <w:proofErr w:type="spellStart"/>
            <w:r>
              <w:t>Personal</w:t>
            </w:r>
            <w:proofErr w:type="spellEnd"/>
            <w:r>
              <w:t xml:space="preserve"> Edition</w:t>
            </w:r>
          </w:p>
          <w:tbl>
            <w:tblPr>
              <w:tblW w:w="0" w:type="auto"/>
              <w:tblInd w:w="378" w:type="dxa"/>
              <w:tblLook w:val="04A0" w:firstRow="1" w:lastRow="0" w:firstColumn="1" w:lastColumn="0" w:noHBand="0" w:noVBand="1"/>
            </w:tblPr>
            <w:tblGrid>
              <w:gridCol w:w="849"/>
              <w:gridCol w:w="3912"/>
            </w:tblGrid>
            <w:tr w:rsidR="00167353" w:rsidRPr="00A50975" w:rsidTr="002B2620">
              <w:trPr>
                <w:cantSplit/>
              </w:trPr>
              <w:tc>
                <w:tcPr>
                  <w:tcW w:w="677" w:type="dxa"/>
                  <w:tcBorders>
                    <w:top w:val="dashed" w:sz="2" w:space="0" w:color="FFBDBD"/>
                    <w:bottom w:val="dashed" w:sz="2" w:space="0" w:color="FFBDBD"/>
                  </w:tcBorders>
                  <w:shd w:val="clear" w:color="auto" w:fill="auto"/>
                </w:tcPr>
                <w:p w:rsidR="00167353" w:rsidRPr="00C53FCB" w:rsidRDefault="00167353" w:rsidP="002B2620">
                  <w:pPr>
                    <w:pStyle w:val="SAGEBodyText"/>
                    <w:keepNext/>
                    <w:keepLines/>
                    <w:jc w:val="left"/>
                  </w:pPr>
                  <w:r>
                    <w:rPr>
                      <w:noProof/>
                      <w:lang w:eastAsia="fr-FR"/>
                    </w:rPr>
                    <w:drawing>
                      <wp:inline distT="0" distB="0" distL="0" distR="0" wp14:anchorId="4FC843FD" wp14:editId="50E51FC5">
                        <wp:extent cx="402336" cy="283464"/>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_Warn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336" cy="283464"/>
                                </a:xfrm>
                                <a:prstGeom prst="rect">
                                  <a:avLst/>
                                </a:prstGeom>
                              </pic:spPr>
                            </pic:pic>
                          </a:graphicData>
                        </a:graphic>
                      </wp:inline>
                    </w:drawing>
                  </w:r>
                </w:p>
              </w:tc>
              <w:tc>
                <w:tcPr>
                  <w:tcW w:w="8640" w:type="dxa"/>
                  <w:tcBorders>
                    <w:top w:val="dashed" w:sz="2" w:space="0" w:color="FFBDBD"/>
                    <w:bottom w:val="dashed" w:sz="2" w:space="0" w:color="FFBDBD"/>
                  </w:tcBorders>
                  <w:shd w:val="clear" w:color="auto" w:fill="auto"/>
                </w:tcPr>
                <w:p w:rsidR="00167353" w:rsidRPr="00C53FCB" w:rsidRDefault="00167353" w:rsidP="002B2620">
                  <w:pPr>
                    <w:pStyle w:val="SAGEBodyText"/>
                    <w:keepNext/>
                    <w:keepLines/>
                    <w:jc w:val="left"/>
                  </w:pPr>
                  <w:r>
                    <w:t xml:space="preserve">le composant "Oracle </w:t>
                  </w:r>
                  <w:proofErr w:type="spellStart"/>
                  <w:r>
                    <w:t>Text</w:t>
                  </w:r>
                  <w:proofErr w:type="spellEnd"/>
                  <w:r>
                    <w:t>" doit être installé pour pouvoir bénéficier de la fonctionnalité associée.</w:t>
                  </w:r>
                </w:p>
              </w:tc>
            </w:tr>
          </w:tbl>
          <w:p w:rsidR="00167353" w:rsidRDefault="00167353" w:rsidP="002B2620">
            <w:pPr>
              <w:pStyle w:val="SAGEBodyText"/>
              <w:jc w:val="left"/>
            </w:pPr>
            <w:r>
              <w:t xml:space="preserve"> </w:t>
            </w:r>
          </w:p>
        </w:tc>
      </w:tr>
      <w:tr w:rsidR="00167353" w:rsidRPr="00A50975" w:rsidTr="00167353">
        <w:tblPrEx>
          <w:tblCellMar>
            <w:left w:w="108" w:type="dxa"/>
            <w:right w:w="108" w:type="dxa"/>
          </w:tblCellMar>
        </w:tblPrEx>
        <w:trPr>
          <w:gridAfter w:val="1"/>
          <w:wAfter w:w="739" w:type="dxa"/>
        </w:trPr>
        <w:tc>
          <w:tcPr>
            <w:tcW w:w="3715" w:type="dxa"/>
            <w:gridSpan w:val="2"/>
            <w:shd w:val="clear" w:color="auto" w:fill="F0FFF0"/>
          </w:tcPr>
          <w:p w:rsidR="00167353" w:rsidRDefault="00167353" w:rsidP="002B2620">
            <w:pPr>
              <w:pStyle w:val="SAGEBodyText"/>
            </w:pPr>
            <w:r>
              <w:t>Navigateurs Internet</w:t>
            </w:r>
          </w:p>
          <w:p w:rsidR="00167353" w:rsidRDefault="00167353" w:rsidP="002B2620">
            <w:pPr>
              <w:pStyle w:val="SAGEBodyText"/>
            </w:pPr>
          </w:p>
          <w:p w:rsidR="00167353" w:rsidRDefault="00167353" w:rsidP="002B2620">
            <w:pPr>
              <w:pStyle w:val="SAGEBodyText"/>
            </w:pPr>
          </w:p>
          <w:p w:rsidR="00167353" w:rsidRDefault="00167353" w:rsidP="002B2620">
            <w:pPr>
              <w:pStyle w:val="SAGEBodyText"/>
            </w:pPr>
          </w:p>
          <w:p w:rsidR="00167353" w:rsidRDefault="00167353" w:rsidP="002B2620">
            <w:pPr>
              <w:pStyle w:val="SAGEBodyText"/>
            </w:pPr>
          </w:p>
          <w:p w:rsidR="00167353" w:rsidRDefault="00167353" w:rsidP="002B2620">
            <w:pPr>
              <w:pStyle w:val="SAGEBodyText"/>
            </w:pPr>
            <w:r>
              <w:t>Navigateurs Internet</w:t>
            </w:r>
          </w:p>
        </w:tc>
        <w:tc>
          <w:tcPr>
            <w:tcW w:w="5355" w:type="dxa"/>
            <w:gridSpan w:val="6"/>
            <w:shd w:val="clear" w:color="auto" w:fill="F0FFF0"/>
          </w:tcPr>
          <w:p w:rsidR="00167353" w:rsidRDefault="00167353" w:rsidP="00167353">
            <w:pPr>
              <w:pStyle w:val="SAGEBodyText"/>
              <w:numPr>
                <w:ilvl w:val="0"/>
                <w:numId w:val="4"/>
              </w:numPr>
            </w:pPr>
            <w:r w:rsidRPr="001D0541">
              <w:t>Safari 5.1.2</w:t>
            </w:r>
          </w:p>
          <w:p w:rsidR="00167353" w:rsidRDefault="00167353" w:rsidP="00167353">
            <w:pPr>
              <w:pStyle w:val="SAGEBodyText"/>
              <w:numPr>
                <w:ilvl w:val="0"/>
                <w:numId w:val="4"/>
              </w:numPr>
            </w:pPr>
            <w:r>
              <w:t>Mi</w:t>
            </w:r>
            <w:r w:rsidR="00934884">
              <w:t xml:space="preserve">crosoft Internet Explorer </w:t>
            </w:r>
            <w:r>
              <w:t>11</w:t>
            </w:r>
          </w:p>
          <w:p w:rsidR="00934884" w:rsidRDefault="00934884" w:rsidP="00167353">
            <w:pPr>
              <w:pStyle w:val="SAGEBodyText"/>
              <w:numPr>
                <w:ilvl w:val="0"/>
                <w:numId w:val="4"/>
              </w:numPr>
            </w:pPr>
            <w:r>
              <w:t xml:space="preserve">Microsoft </w:t>
            </w:r>
            <w:proofErr w:type="spellStart"/>
            <w:r>
              <w:t>Edge</w:t>
            </w:r>
            <w:proofErr w:type="spellEnd"/>
          </w:p>
          <w:p w:rsidR="00167353" w:rsidRDefault="00167353" w:rsidP="00167353">
            <w:pPr>
              <w:pStyle w:val="SAGEBodyText"/>
              <w:numPr>
                <w:ilvl w:val="0"/>
                <w:numId w:val="4"/>
              </w:numPr>
            </w:pPr>
            <w:r>
              <w:t>Google Chrome</w:t>
            </w:r>
          </w:p>
          <w:p w:rsidR="00167353" w:rsidRDefault="00167353" w:rsidP="00167353">
            <w:pPr>
              <w:pStyle w:val="SAGEBodyText"/>
              <w:numPr>
                <w:ilvl w:val="0"/>
                <w:numId w:val="4"/>
              </w:numPr>
            </w:pPr>
            <w:r>
              <w:t>Mozilla Firefox</w:t>
            </w:r>
          </w:p>
          <w:tbl>
            <w:tblPr>
              <w:tblW w:w="0" w:type="auto"/>
              <w:tblInd w:w="378" w:type="dxa"/>
              <w:tblLook w:val="04A0" w:firstRow="1" w:lastRow="0" w:firstColumn="1" w:lastColumn="0" w:noHBand="0" w:noVBand="1"/>
            </w:tblPr>
            <w:tblGrid>
              <w:gridCol w:w="849"/>
              <w:gridCol w:w="3912"/>
            </w:tblGrid>
            <w:tr w:rsidR="00167353" w:rsidRPr="00A50975" w:rsidTr="002B2620">
              <w:trPr>
                <w:cantSplit/>
              </w:trPr>
              <w:tc>
                <w:tcPr>
                  <w:tcW w:w="677" w:type="dxa"/>
                  <w:tcBorders>
                    <w:top w:val="dashed" w:sz="2" w:space="0" w:color="FFBDBD"/>
                    <w:bottom w:val="dashed" w:sz="2" w:space="0" w:color="FFBDBD"/>
                  </w:tcBorders>
                  <w:shd w:val="clear" w:color="auto" w:fill="auto"/>
                </w:tcPr>
                <w:p w:rsidR="00167353" w:rsidRPr="00C53FCB" w:rsidRDefault="00167353" w:rsidP="002B2620">
                  <w:pPr>
                    <w:pStyle w:val="SAGEBodyText"/>
                    <w:keepNext/>
                    <w:keepLines/>
                    <w:jc w:val="left"/>
                  </w:pPr>
                  <w:r>
                    <w:rPr>
                      <w:noProof/>
                      <w:lang w:eastAsia="fr-FR"/>
                    </w:rPr>
                    <w:drawing>
                      <wp:inline distT="0" distB="0" distL="0" distR="0" wp14:anchorId="0100A0C3" wp14:editId="1024044D">
                        <wp:extent cx="402336" cy="283464"/>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_Warn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336" cy="283464"/>
                                </a:xfrm>
                                <a:prstGeom prst="rect">
                                  <a:avLst/>
                                </a:prstGeom>
                              </pic:spPr>
                            </pic:pic>
                          </a:graphicData>
                        </a:graphic>
                      </wp:inline>
                    </w:drawing>
                  </w:r>
                </w:p>
              </w:tc>
              <w:tc>
                <w:tcPr>
                  <w:tcW w:w="8640" w:type="dxa"/>
                  <w:tcBorders>
                    <w:top w:val="dashed" w:sz="2" w:space="0" w:color="FFBDBD"/>
                    <w:bottom w:val="dashed" w:sz="2" w:space="0" w:color="FFBDBD"/>
                  </w:tcBorders>
                  <w:shd w:val="clear" w:color="auto" w:fill="auto"/>
                </w:tcPr>
                <w:p w:rsidR="00167353" w:rsidRPr="00C53FCB" w:rsidRDefault="00167353" w:rsidP="002B2620">
                  <w:pPr>
                    <w:pStyle w:val="SAGEBodyText"/>
                    <w:keepNext/>
                    <w:keepLines/>
                    <w:jc w:val="left"/>
                  </w:pPr>
                  <w:r>
                    <w:t>P</w:t>
                  </w:r>
                  <w:r w:rsidRPr="009E5DBD">
                    <w:t xml:space="preserve">our </w:t>
                  </w:r>
                  <w:r>
                    <w:t xml:space="preserve">le module de communication bancaire (SCB) </w:t>
                  </w:r>
                  <w:r w:rsidRPr="009E5DBD">
                    <w:t>Firefox et Chrome</w:t>
                  </w:r>
                  <w:r>
                    <w:t>,</w:t>
                  </w:r>
                  <w:r w:rsidRPr="009E5DBD">
                    <w:t xml:space="preserve"> l’installation d</w:t>
                  </w:r>
                  <w:r>
                    <w:t xml:space="preserve">e l'extension </w:t>
                  </w:r>
                  <w:r w:rsidRPr="001451DF">
                    <w:rPr>
                      <w:i/>
                    </w:rPr>
                    <w:t>IE Tab</w:t>
                  </w:r>
                  <w:r w:rsidRPr="009E5DBD">
                    <w:t xml:space="preserve"> </w:t>
                  </w:r>
                  <w:r>
                    <w:t>est un prérequis (voir le guide d’installation)</w:t>
                  </w:r>
                </w:p>
              </w:tc>
            </w:tr>
          </w:tbl>
          <w:p w:rsidR="00167353" w:rsidRDefault="00167353" w:rsidP="002B2620">
            <w:pPr>
              <w:pStyle w:val="SAGEBodyText"/>
            </w:pPr>
          </w:p>
        </w:tc>
      </w:tr>
      <w:tr w:rsidR="00167353" w:rsidRPr="00934884" w:rsidTr="00167353">
        <w:tblPrEx>
          <w:tblCellMar>
            <w:left w:w="108" w:type="dxa"/>
            <w:right w:w="108" w:type="dxa"/>
          </w:tblCellMar>
        </w:tblPrEx>
        <w:trPr>
          <w:gridAfter w:val="1"/>
          <w:wAfter w:w="739" w:type="dxa"/>
          <w:trHeight w:val="163"/>
        </w:trPr>
        <w:tc>
          <w:tcPr>
            <w:tcW w:w="3715" w:type="dxa"/>
            <w:gridSpan w:val="2"/>
            <w:shd w:val="clear" w:color="auto" w:fill="F0FFF0"/>
          </w:tcPr>
          <w:p w:rsidR="00167353" w:rsidRDefault="00167353" w:rsidP="002B2620">
            <w:pPr>
              <w:pStyle w:val="SAGEBodyText"/>
            </w:pPr>
            <w:r>
              <w:t>Système d’exploitation client</w:t>
            </w:r>
          </w:p>
        </w:tc>
        <w:tc>
          <w:tcPr>
            <w:tcW w:w="5355" w:type="dxa"/>
            <w:gridSpan w:val="6"/>
            <w:shd w:val="clear" w:color="auto" w:fill="F0FFF0"/>
          </w:tcPr>
          <w:p w:rsidR="00167353" w:rsidRPr="00E77303" w:rsidRDefault="00167353" w:rsidP="00167353">
            <w:pPr>
              <w:pStyle w:val="SAGEBodyText"/>
              <w:numPr>
                <w:ilvl w:val="0"/>
                <w:numId w:val="5"/>
              </w:numPr>
              <w:rPr>
                <w:lang w:val="en-US"/>
              </w:rPr>
            </w:pPr>
            <w:r w:rsidRPr="00E77303">
              <w:rPr>
                <w:lang w:val="en-US"/>
              </w:rPr>
              <w:t>Windows Seven (FR) (x86, x64)</w:t>
            </w:r>
          </w:p>
          <w:p w:rsidR="00167353" w:rsidRDefault="00167353" w:rsidP="00167353">
            <w:pPr>
              <w:pStyle w:val="SAGEBodyText"/>
              <w:numPr>
                <w:ilvl w:val="0"/>
                <w:numId w:val="5"/>
              </w:numPr>
              <w:rPr>
                <w:lang w:val="en-US"/>
              </w:rPr>
            </w:pPr>
            <w:r w:rsidRPr="00E77303">
              <w:rPr>
                <w:lang w:val="en-US"/>
              </w:rPr>
              <w:lastRenderedPageBreak/>
              <w:t>Windows 8.1 Update 1 (FR) (x86, x64)</w:t>
            </w:r>
          </w:p>
          <w:p w:rsidR="00934884" w:rsidRPr="00E77303" w:rsidRDefault="00934884" w:rsidP="00167353">
            <w:pPr>
              <w:pStyle w:val="SAGEBodyText"/>
              <w:numPr>
                <w:ilvl w:val="0"/>
                <w:numId w:val="5"/>
              </w:numPr>
              <w:rPr>
                <w:lang w:val="en-US"/>
              </w:rPr>
            </w:pPr>
            <w:r>
              <w:rPr>
                <w:lang w:val="en-US"/>
              </w:rPr>
              <w:t>Windows 10</w:t>
            </w:r>
          </w:p>
        </w:tc>
      </w:tr>
      <w:tr w:rsidR="00167353" w:rsidRPr="00A50975" w:rsidTr="00167353">
        <w:tblPrEx>
          <w:tblCellMar>
            <w:left w:w="108" w:type="dxa"/>
            <w:right w:w="108" w:type="dxa"/>
          </w:tblCellMar>
        </w:tblPrEx>
        <w:trPr>
          <w:gridAfter w:val="1"/>
          <w:wAfter w:w="739" w:type="dxa"/>
          <w:trHeight w:val="3305"/>
        </w:trPr>
        <w:tc>
          <w:tcPr>
            <w:tcW w:w="3715" w:type="dxa"/>
            <w:gridSpan w:val="2"/>
            <w:shd w:val="clear" w:color="auto" w:fill="F0FFF0"/>
          </w:tcPr>
          <w:p w:rsidR="00167353" w:rsidRDefault="00167353" w:rsidP="002B2620">
            <w:pPr>
              <w:pStyle w:val="SAGEBodyText"/>
            </w:pPr>
            <w:r>
              <w:lastRenderedPageBreak/>
              <w:t>Serveurs web</w:t>
            </w:r>
          </w:p>
        </w:tc>
        <w:tc>
          <w:tcPr>
            <w:tcW w:w="5355" w:type="dxa"/>
            <w:gridSpan w:val="6"/>
            <w:shd w:val="clear" w:color="auto" w:fill="F0FFF0"/>
          </w:tcPr>
          <w:p w:rsidR="00167353" w:rsidRDefault="00167353" w:rsidP="00167353">
            <w:pPr>
              <w:pStyle w:val="SAGEBodyText"/>
              <w:numPr>
                <w:ilvl w:val="0"/>
                <w:numId w:val="6"/>
              </w:numPr>
            </w:pPr>
            <w:r>
              <w:t>Microsoft IIS 7.0 (compatible SSL – Mode compatibilité IIS 6.00) (x86, x64)</w:t>
            </w:r>
          </w:p>
          <w:p w:rsidR="00167353" w:rsidRDefault="00167353" w:rsidP="00167353">
            <w:pPr>
              <w:pStyle w:val="SAGEBodyText"/>
              <w:numPr>
                <w:ilvl w:val="0"/>
                <w:numId w:val="6"/>
              </w:numPr>
            </w:pPr>
            <w:r>
              <w:t>Microsoft IIS 7.5 (compatible SSL – Mode compatibilité IIS 6.00) (x86, x64)</w:t>
            </w:r>
          </w:p>
          <w:p w:rsidR="00934884" w:rsidRDefault="00934884" w:rsidP="00167353">
            <w:pPr>
              <w:pStyle w:val="SAGEBodyText"/>
              <w:numPr>
                <w:ilvl w:val="0"/>
                <w:numId w:val="6"/>
              </w:numPr>
            </w:pPr>
          </w:p>
          <w:p w:rsidR="00167353" w:rsidRDefault="00167353" w:rsidP="00167353">
            <w:pPr>
              <w:pStyle w:val="SAGEBodyText"/>
              <w:numPr>
                <w:ilvl w:val="0"/>
                <w:numId w:val="6"/>
              </w:numPr>
            </w:pPr>
            <w:r>
              <w:t>Apache pour Windows 1.3 (compatible SSL)</w:t>
            </w:r>
          </w:p>
          <w:p w:rsidR="00167353" w:rsidRDefault="00167353" w:rsidP="00167353">
            <w:pPr>
              <w:pStyle w:val="SAGEBodyText"/>
              <w:numPr>
                <w:ilvl w:val="0"/>
                <w:numId w:val="6"/>
              </w:numPr>
            </w:pPr>
            <w:r>
              <w:t>Apache pour Windows 2.2.x (compatible SSL)</w:t>
            </w:r>
          </w:p>
          <w:tbl>
            <w:tblPr>
              <w:tblW w:w="0" w:type="auto"/>
              <w:tblInd w:w="378" w:type="dxa"/>
              <w:tblLook w:val="04A0" w:firstRow="1" w:lastRow="0" w:firstColumn="1" w:lastColumn="0" w:noHBand="0" w:noVBand="1"/>
            </w:tblPr>
            <w:tblGrid>
              <w:gridCol w:w="849"/>
              <w:gridCol w:w="3912"/>
            </w:tblGrid>
            <w:tr w:rsidR="00167353" w:rsidRPr="00A50975" w:rsidTr="002B2620">
              <w:trPr>
                <w:cantSplit/>
              </w:trPr>
              <w:tc>
                <w:tcPr>
                  <w:tcW w:w="849" w:type="dxa"/>
                  <w:tcBorders>
                    <w:top w:val="dashed" w:sz="2" w:space="0" w:color="FFBDBD"/>
                    <w:bottom w:val="dashed" w:sz="2" w:space="0" w:color="FFBDBD"/>
                  </w:tcBorders>
                  <w:shd w:val="clear" w:color="auto" w:fill="auto"/>
                </w:tcPr>
                <w:p w:rsidR="00167353" w:rsidRPr="00C53FCB" w:rsidRDefault="00167353" w:rsidP="002B2620">
                  <w:pPr>
                    <w:pStyle w:val="SAGEBodyText"/>
                    <w:keepNext/>
                    <w:keepLines/>
                    <w:jc w:val="left"/>
                  </w:pPr>
                  <w:r>
                    <w:rPr>
                      <w:noProof/>
                      <w:lang w:eastAsia="fr-FR"/>
                    </w:rPr>
                    <w:drawing>
                      <wp:inline distT="0" distB="0" distL="0" distR="0" wp14:anchorId="50C5BEF0" wp14:editId="4D3ACEAC">
                        <wp:extent cx="402336" cy="283464"/>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t_Warn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336" cy="283464"/>
                                </a:xfrm>
                                <a:prstGeom prst="rect">
                                  <a:avLst/>
                                </a:prstGeom>
                              </pic:spPr>
                            </pic:pic>
                          </a:graphicData>
                        </a:graphic>
                      </wp:inline>
                    </w:drawing>
                  </w:r>
                </w:p>
              </w:tc>
              <w:tc>
                <w:tcPr>
                  <w:tcW w:w="4510" w:type="dxa"/>
                  <w:tcBorders>
                    <w:top w:val="dashed" w:sz="2" w:space="0" w:color="FFBDBD"/>
                    <w:bottom w:val="dashed" w:sz="2" w:space="0" w:color="FFBDBD"/>
                  </w:tcBorders>
                  <w:shd w:val="clear" w:color="auto" w:fill="auto"/>
                </w:tcPr>
                <w:p w:rsidR="00167353" w:rsidRPr="00C53FCB" w:rsidRDefault="00167353" w:rsidP="002B2620">
                  <w:pPr>
                    <w:pStyle w:val="SAGEBodyText"/>
                    <w:keepNext/>
                    <w:keepLines/>
                    <w:jc w:val="left"/>
                  </w:pPr>
                  <w:r>
                    <w:t>P</w:t>
                  </w:r>
                  <w:r w:rsidRPr="009E5DBD">
                    <w:t xml:space="preserve">our </w:t>
                  </w:r>
                  <w:r>
                    <w:t>le module de communication bancaire (SCB), seul l’utilisation de Microsoft IIS est possible</w:t>
                  </w:r>
                </w:p>
              </w:tc>
            </w:tr>
          </w:tbl>
          <w:p w:rsidR="00167353" w:rsidRDefault="00167353" w:rsidP="002B2620">
            <w:pPr>
              <w:pStyle w:val="SAGEBodyText"/>
              <w:tabs>
                <w:tab w:val="left" w:pos="825"/>
              </w:tabs>
              <w:ind w:left="360"/>
            </w:pPr>
          </w:p>
        </w:tc>
      </w:tr>
      <w:tr w:rsidR="00167353" w:rsidTr="00167353">
        <w:tblPrEx>
          <w:tblCellMar>
            <w:left w:w="108" w:type="dxa"/>
            <w:right w:w="108" w:type="dxa"/>
          </w:tblCellMar>
        </w:tblPrEx>
        <w:trPr>
          <w:gridAfter w:val="1"/>
          <w:wAfter w:w="739" w:type="dxa"/>
          <w:trHeight w:val="163"/>
        </w:trPr>
        <w:tc>
          <w:tcPr>
            <w:tcW w:w="3715" w:type="dxa"/>
            <w:gridSpan w:val="2"/>
            <w:shd w:val="clear" w:color="auto" w:fill="F0FFF0"/>
          </w:tcPr>
          <w:p w:rsidR="00167353" w:rsidRDefault="00167353" w:rsidP="002B2620">
            <w:pPr>
              <w:pStyle w:val="SAGEBodyText"/>
            </w:pPr>
            <w:r>
              <w:t>Autres composants</w:t>
            </w:r>
          </w:p>
        </w:tc>
        <w:tc>
          <w:tcPr>
            <w:tcW w:w="5355" w:type="dxa"/>
            <w:gridSpan w:val="6"/>
            <w:shd w:val="clear" w:color="auto" w:fill="F0FFF0"/>
          </w:tcPr>
          <w:p w:rsidR="00167353" w:rsidRDefault="00167353" w:rsidP="00167353">
            <w:pPr>
              <w:pStyle w:val="SAGEBodyText"/>
              <w:numPr>
                <w:ilvl w:val="0"/>
                <w:numId w:val="7"/>
              </w:numPr>
            </w:pPr>
            <w:r>
              <w:t>Microsoft Outlook 2010 (32bits &amp; 64bits)</w:t>
            </w:r>
          </w:p>
          <w:p w:rsidR="00167353" w:rsidRDefault="00167353" w:rsidP="00167353">
            <w:pPr>
              <w:pStyle w:val="SAGEBodyText"/>
              <w:numPr>
                <w:ilvl w:val="0"/>
                <w:numId w:val="7"/>
              </w:numPr>
            </w:pPr>
            <w:r>
              <w:t>Microsoft Outlook 2013 (32bits &amp; 64bits)</w:t>
            </w:r>
          </w:p>
        </w:tc>
      </w:tr>
      <w:tr w:rsidR="00167353" w:rsidTr="00167353">
        <w:tblPrEx>
          <w:tblCellMar>
            <w:left w:w="108" w:type="dxa"/>
            <w:right w:w="108" w:type="dxa"/>
          </w:tblCellMar>
        </w:tblPrEx>
        <w:trPr>
          <w:gridAfter w:val="1"/>
          <w:wAfter w:w="739" w:type="dxa"/>
          <w:trHeight w:val="163"/>
        </w:trPr>
        <w:tc>
          <w:tcPr>
            <w:tcW w:w="3715" w:type="dxa"/>
            <w:gridSpan w:val="2"/>
          </w:tcPr>
          <w:p w:rsidR="00167353" w:rsidRDefault="00167353" w:rsidP="002B2620">
            <w:pPr>
              <w:pStyle w:val="SAGEBodyText"/>
            </w:pPr>
            <w:r>
              <w:t>Solutions de virtualisation</w:t>
            </w:r>
          </w:p>
        </w:tc>
        <w:tc>
          <w:tcPr>
            <w:tcW w:w="5355" w:type="dxa"/>
            <w:gridSpan w:val="6"/>
          </w:tcPr>
          <w:p w:rsidR="00167353" w:rsidRDefault="00167353" w:rsidP="00167353">
            <w:pPr>
              <w:pStyle w:val="SAGEBodyText"/>
              <w:numPr>
                <w:ilvl w:val="0"/>
                <w:numId w:val="8"/>
              </w:numPr>
            </w:pPr>
            <w:proofErr w:type="spellStart"/>
            <w:r>
              <w:t>HyperV</w:t>
            </w:r>
            <w:proofErr w:type="spellEnd"/>
            <w:r>
              <w:t xml:space="preserve"> V3</w:t>
            </w:r>
          </w:p>
          <w:p w:rsidR="00167353" w:rsidRDefault="00167353" w:rsidP="00167353">
            <w:pPr>
              <w:pStyle w:val="SAGEBodyText"/>
              <w:numPr>
                <w:ilvl w:val="0"/>
                <w:numId w:val="8"/>
              </w:numPr>
            </w:pPr>
            <w:proofErr w:type="spellStart"/>
            <w:r>
              <w:t>VmWare</w:t>
            </w:r>
            <w:proofErr w:type="spellEnd"/>
            <w:r>
              <w:t xml:space="preserve"> ESX 5.x</w:t>
            </w:r>
          </w:p>
        </w:tc>
      </w:tr>
      <w:tr w:rsidR="00167353" w:rsidTr="00167353">
        <w:tblPrEx>
          <w:tblCellMar>
            <w:left w:w="108" w:type="dxa"/>
            <w:right w:w="108" w:type="dxa"/>
          </w:tblCellMar>
        </w:tblPrEx>
        <w:trPr>
          <w:gridBefore w:val="1"/>
          <w:wBefore w:w="53" w:type="dxa"/>
          <w:trHeight w:val="163"/>
        </w:trPr>
        <w:tc>
          <w:tcPr>
            <w:tcW w:w="3749" w:type="dxa"/>
            <w:gridSpan w:val="2"/>
            <w:shd w:val="clear" w:color="auto" w:fill="F0FFF0"/>
          </w:tcPr>
          <w:p w:rsidR="00167353" w:rsidRDefault="00167353" w:rsidP="002B2620">
            <w:pPr>
              <w:pStyle w:val="SAGEBodyText"/>
            </w:pPr>
            <w:r w:rsidRPr="00B05D83">
              <w:t>Solution d’infrastructure d’accès</w:t>
            </w:r>
            <w:r w:rsidRPr="00B05D83">
              <w:tab/>
            </w:r>
          </w:p>
        </w:tc>
        <w:tc>
          <w:tcPr>
            <w:tcW w:w="6007" w:type="dxa"/>
            <w:gridSpan w:val="6"/>
            <w:shd w:val="clear" w:color="auto" w:fill="F0FFF0"/>
          </w:tcPr>
          <w:p w:rsidR="00167353" w:rsidRDefault="00167353" w:rsidP="00167353">
            <w:pPr>
              <w:pStyle w:val="SAGEBodyText"/>
              <w:numPr>
                <w:ilvl w:val="0"/>
                <w:numId w:val="7"/>
              </w:numPr>
            </w:pPr>
            <w:r w:rsidRPr="00B05D83">
              <w:tab/>
            </w:r>
            <w:proofErr w:type="spellStart"/>
            <w:r w:rsidRPr="00B05D83">
              <w:t>XenApp</w:t>
            </w:r>
            <w:proofErr w:type="spellEnd"/>
            <w:r w:rsidRPr="00B05D83">
              <w:t xml:space="preserve"> 7.5</w:t>
            </w:r>
          </w:p>
        </w:tc>
      </w:tr>
    </w:tbl>
    <w:p w:rsidR="00167353" w:rsidRDefault="00167353" w:rsidP="00167353"/>
    <w:p w:rsidR="00167353" w:rsidRDefault="00167353" w:rsidP="00167353">
      <w:pPr>
        <w:rPr>
          <w:rFonts w:eastAsia="Calibri" w:cs="Arial"/>
          <w:iCs/>
        </w:rPr>
      </w:pPr>
      <w:r w:rsidRPr="00685B75">
        <w:t>Nous attirons toutefois votre attention sur le fait que tous les composants virtualisés  doivent être compatibles avec cette architecture et notamment que l’éditeur des bases de données supporte et valide ce type d’environnement de virtualisation.</w:t>
      </w:r>
      <w:r w:rsidRPr="00685B75">
        <w:rPr>
          <w:rFonts w:eastAsia="Calibri" w:cs="Arial"/>
          <w:i/>
          <w:iCs/>
        </w:rPr>
        <w:t xml:space="preserve"> </w:t>
      </w:r>
      <w:r w:rsidRPr="00685B75">
        <w:rPr>
          <w:rFonts w:eastAsia="Calibri" w:cs="Arial"/>
          <w:iCs/>
        </w:rPr>
        <w:t>Les environnements de virtualisation peuvent impacter les temps de traitement notamment sur les serveurs de base de données</w:t>
      </w:r>
      <w:r>
        <w:rPr>
          <w:rFonts w:eastAsia="Calibri" w:cs="Arial"/>
          <w:iCs/>
        </w:rPr>
        <w:t>.</w:t>
      </w:r>
    </w:p>
    <w:p w:rsidR="00167353" w:rsidRPr="002B5063" w:rsidRDefault="00167353" w:rsidP="00167353">
      <w:pPr>
        <w:pStyle w:val="SAGEBodyText"/>
        <w:keepNext/>
        <w:keepLines/>
        <w:rPr>
          <w:sz w:val="20"/>
          <w:szCs w:val="20"/>
        </w:rPr>
      </w:pPr>
      <w:r w:rsidRPr="002B5063">
        <w:rPr>
          <w:sz w:val="20"/>
          <w:szCs w:val="20"/>
        </w:rPr>
        <w:t>Environnement Microsoft SQL Server : depuis juillet 2014, toutes les éditions de SQL Server 2008 et SQL Server 2008 R2 sont passées en phase de support étendu chez Microsoft. Il est conseillé de migrer vers SQL Server 2012 ou SQL Server 2014. Pour toutes informations complémentaires sur le cycle de vie des produits Microsoft, se rendre à la page suivante :</w:t>
      </w:r>
    </w:p>
    <w:p w:rsidR="00167353" w:rsidRDefault="00934884" w:rsidP="00167353">
      <w:pPr>
        <w:rPr>
          <w:rStyle w:val="Lienhypertexte"/>
          <w:szCs w:val="20"/>
        </w:rPr>
      </w:pPr>
      <w:hyperlink r:id="rId7" w:history="1">
        <w:r w:rsidR="00167353" w:rsidRPr="002B5063">
          <w:rPr>
            <w:rStyle w:val="Lienhypertexte"/>
            <w:szCs w:val="20"/>
          </w:rPr>
          <w:t>http://support2.microsoft.com/lifecycle/search/?sort=PN&amp;alpha=sql</w:t>
        </w:r>
      </w:hyperlink>
    </w:p>
    <w:sectPr w:rsidR="00167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2DE6"/>
    <w:multiLevelType w:val="hybridMultilevel"/>
    <w:tmpl w:val="F8FC8DAA"/>
    <w:lvl w:ilvl="0" w:tplc="067287AE">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1C7B55B2"/>
    <w:multiLevelType w:val="hybridMultilevel"/>
    <w:tmpl w:val="95DCB6F4"/>
    <w:lvl w:ilvl="0" w:tplc="067287AE">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05C1C44"/>
    <w:multiLevelType w:val="hybridMultilevel"/>
    <w:tmpl w:val="2B920A78"/>
    <w:lvl w:ilvl="0" w:tplc="067287AE">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3A64F96"/>
    <w:multiLevelType w:val="hybridMultilevel"/>
    <w:tmpl w:val="DFDCA1A0"/>
    <w:lvl w:ilvl="0" w:tplc="067287AE">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C486E7A"/>
    <w:multiLevelType w:val="hybridMultilevel"/>
    <w:tmpl w:val="39AA9E22"/>
    <w:lvl w:ilvl="0" w:tplc="067287AE">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E774427"/>
    <w:multiLevelType w:val="hybridMultilevel"/>
    <w:tmpl w:val="AA4A6B94"/>
    <w:lvl w:ilvl="0" w:tplc="FE4C6ECA">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42434CF7"/>
    <w:multiLevelType w:val="hybridMultilevel"/>
    <w:tmpl w:val="CEEAA676"/>
    <w:lvl w:ilvl="0" w:tplc="067287AE">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64DF1C13"/>
    <w:multiLevelType w:val="hybridMultilevel"/>
    <w:tmpl w:val="7EA4E0B2"/>
    <w:lvl w:ilvl="0" w:tplc="067287A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353"/>
    <w:rsid w:val="00167353"/>
    <w:rsid w:val="00293F2F"/>
    <w:rsid w:val="009348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353"/>
    <w:pPr>
      <w:spacing w:after="200" w:line="276" w:lineRule="auto"/>
      <w:jc w:val="both"/>
    </w:pPr>
    <w:rPr>
      <w:rFonts w:ascii="Arial" w:hAnsi="Arial"/>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AGEBodyText">
    <w:name w:val="SAGE_Body Text"/>
    <w:basedOn w:val="Normal"/>
    <w:qFormat/>
    <w:rsid w:val="00167353"/>
    <w:pPr>
      <w:tabs>
        <w:tab w:val="left" w:pos="340"/>
      </w:tabs>
      <w:spacing w:before="120" w:after="160" w:line="240" w:lineRule="auto"/>
    </w:pPr>
    <w:rPr>
      <w:sz w:val="22"/>
    </w:rPr>
  </w:style>
  <w:style w:type="table" w:customStyle="1" w:styleId="Grilledutableau1">
    <w:name w:val="Grille du tableau1"/>
    <w:basedOn w:val="TableauNormal"/>
    <w:next w:val="Grilledutableau"/>
    <w:uiPriority w:val="59"/>
    <w:rsid w:val="0016735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167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67353"/>
    <w:rPr>
      <w:color w:val="0563C1" w:themeColor="hyperlink"/>
      <w:u w:val="single"/>
    </w:rPr>
  </w:style>
  <w:style w:type="paragraph" w:styleId="Textedebulles">
    <w:name w:val="Balloon Text"/>
    <w:basedOn w:val="Normal"/>
    <w:link w:val="TextedebullesCar"/>
    <w:uiPriority w:val="99"/>
    <w:semiHidden/>
    <w:unhideWhenUsed/>
    <w:rsid w:val="009348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48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353"/>
    <w:pPr>
      <w:spacing w:after="200" w:line="276" w:lineRule="auto"/>
      <w:jc w:val="both"/>
    </w:pPr>
    <w:rPr>
      <w:rFonts w:ascii="Arial" w:hAnsi="Arial"/>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AGEBodyText">
    <w:name w:val="SAGE_Body Text"/>
    <w:basedOn w:val="Normal"/>
    <w:qFormat/>
    <w:rsid w:val="00167353"/>
    <w:pPr>
      <w:tabs>
        <w:tab w:val="left" w:pos="340"/>
      </w:tabs>
      <w:spacing w:before="120" w:after="160" w:line="240" w:lineRule="auto"/>
    </w:pPr>
    <w:rPr>
      <w:sz w:val="22"/>
    </w:rPr>
  </w:style>
  <w:style w:type="table" w:customStyle="1" w:styleId="Grilledutableau1">
    <w:name w:val="Grille du tableau1"/>
    <w:basedOn w:val="TableauNormal"/>
    <w:next w:val="Grilledutableau"/>
    <w:uiPriority w:val="59"/>
    <w:rsid w:val="0016735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167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67353"/>
    <w:rPr>
      <w:color w:val="0563C1" w:themeColor="hyperlink"/>
      <w:u w:val="single"/>
    </w:rPr>
  </w:style>
  <w:style w:type="paragraph" w:styleId="Textedebulles">
    <w:name w:val="Balloon Text"/>
    <w:basedOn w:val="Normal"/>
    <w:link w:val="TextedebullesCar"/>
    <w:uiPriority w:val="99"/>
    <w:semiHidden/>
    <w:unhideWhenUsed/>
    <w:rsid w:val="009348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48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pport2.microsoft.com/lifecycle/search/?sort=PN&amp;alpha=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386</Words>
  <Characters>2124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SAGE</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MEAUX, Christelle</dc:creator>
  <cp:keywords/>
  <dc:description/>
  <cp:lastModifiedBy>FRERE, Sylvain</cp:lastModifiedBy>
  <cp:revision>2</cp:revision>
  <dcterms:created xsi:type="dcterms:W3CDTF">2016-05-23T12:16:00Z</dcterms:created>
  <dcterms:modified xsi:type="dcterms:W3CDTF">2016-05-24T06:36:00Z</dcterms:modified>
</cp:coreProperties>
</file>