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990175">
      <w:pPr>
        <w:pStyle w:val="Heading1"/>
        <w:rPr>
          <w:b w:val="0"/>
          <w:bCs w:val="0"/>
        </w:rPr>
      </w:pPr>
      <w:r w:rsidRPr="008F2524">
        <w:rPr>
          <w:b w:val="0"/>
          <w:bCs w:val="0"/>
        </w:rPr>
        <w:t>Chun-Peng James Chen</w:t>
      </w:r>
    </w:p>
    <w:p w14:paraId="6FB58B45" w14:textId="00C8645B" w:rsidR="008B256E" w:rsidRPr="00DA13DE" w:rsidRDefault="00000000" w:rsidP="00990175">
      <w:pPr>
        <w:pStyle w:val="Heading1"/>
      </w:pPr>
      <w:r w:rsidRPr="00DA13DE">
        <w:t>Introduction</w:t>
      </w:r>
    </w:p>
    <w:p w14:paraId="22ACD659" w14:textId="2EC3E9C3" w:rsidR="008B256E" w:rsidRDefault="00D85E62" w:rsidP="00990175">
      <w:r>
        <w:t>M</w:t>
      </w:r>
      <w:r w:rsidR="00000000">
        <w:t xml:space="preserve">odeling </w:t>
      </w:r>
      <w:r w:rsidR="001E02A0">
        <w:t xml:space="preserve">is </w:t>
      </w:r>
      <w:r w:rsidR="00000000">
        <w:t xml:space="preserve">an indispensable tool for hypothesis formulation and decision-making. It functions as a structured framework that validates system understanding through the </w:t>
      </w:r>
      <w:r w:rsidR="00000000" w:rsidRPr="00DA13DE">
        <w:t>analysis</w:t>
      </w:r>
      <w:r w:rsidR="00000000">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063ADB5" w:rsidR="008B256E" w:rsidRDefault="00000000" w:rsidP="00990175">
      <w:r>
        <w:t>This review tried to answered commonly asked questions. For example, how to choose between leave-one-out cross validation and five-fold cross validation? How many samples are enough to unbiasedly estimate a model performance?</w:t>
      </w:r>
      <w:r w:rsidR="003F6E2E">
        <w:t xml:space="preserve"> There is no single approach can applied to all research problem, this review aims to provide a comprehensive perspective of evaluating models with different types of metrics and validation strategy.</w:t>
      </w:r>
    </w:p>
    <w:p w14:paraId="550541CA" w14:textId="77777777" w:rsidR="008B256E" w:rsidRPr="00672DF6" w:rsidRDefault="00000000" w:rsidP="00990175">
      <w:pPr>
        <w:pStyle w:val="Heading1"/>
      </w:pPr>
      <w:r w:rsidRPr="00672DF6">
        <w:t>Performance Metrics: Regression</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77777777" w:rsidR="008B256E" w:rsidRDefault="008B256E" w:rsidP="00990175"/>
    <w:p w14:paraId="02E1A39F" w14:textId="77777777" w:rsidR="008B256E" w:rsidRDefault="00000000" w:rsidP="00990175">
      <w:r>
        <w:t xml:space="preserve">A regression model aims to predict a continuous variable and is commonly employed in various applications, such as estimating milk composition, yield, and feed efficiency, as well as assessing </w:t>
      </w:r>
      <w:r>
        <w:lastRenderedPageBreak/>
        <w:t>environmental impacts in livestock production. This section delves into three widely used metrics for evaluating regression models: Pearson's Correlation Coefficient ($r$), Root Mean Squared Error (RMSE), and the Coefficient of Determination ($R^2$).</w:t>
      </w:r>
    </w:p>
    <w:p w14:paraId="100A6EB6" w14:textId="7D3583EA" w:rsidR="00320E34" w:rsidRDefault="00E81E11" w:rsidP="00E81E11">
      <w:pPr>
        <w:jc w:val="center"/>
      </w:pPr>
      <w:r w:rsidRPr="00E81E11">
        <w:drawing>
          <wp:inline distT="0" distB="0" distL="0" distR="0" wp14:anchorId="0912A1D8" wp14:editId="2CFF7C24">
            <wp:extent cx="5444628" cy="5320146"/>
            <wp:effectExtent l="0" t="0" r="3810" b="127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5459245" cy="5334429"/>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depicted in Figure 1, 100 observations are generated from two separate normal distributions. The first 50 observations are drawn from a normal distribution with a mean of -3 and a standard deviation of 1, denoted as \( \mathcal{N}(-3, 1) \). The remaining 50 observations are generated from another</w:t>
      </w:r>
      <w:r>
        <w:t xml:space="preserve"> normal distribution, \( \mathcal{N}(3,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Each observation is multiplied by 0.3 to establish a correlation, followed by the addition of random noise \( \mathcal{N}(0, 0.7) \) to introduce prediction errors.</w:t>
      </w:r>
    </w:p>
    <w:p w14:paraId="07B31809" w14:textId="6557AF7E" w:rsidR="008B256E" w:rsidRDefault="00000000" w:rsidP="00990175">
      <w:pPr>
        <w:pStyle w:val="ListParagraph"/>
        <w:numPr>
          <w:ilvl w:val="0"/>
          <w:numId w:val="1"/>
        </w:numPr>
      </w:pPr>
      <w:r w:rsidRPr="009F3138">
        <w:rPr>
          <w:b/>
        </w:rPr>
        <w:lastRenderedPageBreak/>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Values sampled from \( \mathcal{N}(-3, 1) \) and \( \mathcal{N}(3,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Explain the intension of each case</w:t>
      </w:r>
    </w:p>
    <w:p w14:paraId="2806534A" w14:textId="77777777" w:rsidR="003F7236" w:rsidRDefault="003F7236" w:rsidP="003F7236">
      <w:pPr>
        <w:pStyle w:val="Heading2"/>
      </w:pPr>
      <w:r>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3F7236"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1</w:t>
            </w:r>
            <w:r>
              <w:rPr>
                <w:noProof/>
              </w:rPr>
              <w:fldChar w:fldCharType="end"/>
            </w:r>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r>
        <w:t>\( R^2 \), provides a similar measurement of the SSE as RMSE, but it is normalized by the total sum of squares (SST) to yield a more versatile metric for comparing results across different experiments. As defined in Equation \(3\), \( n \) represents the number of observations, \( y \) signifies the actual observed values, \( \hat{y} \) indicates the predicted values, and \( \bar{y} \) is the mean of the observed values. A higher \( R^2 \) value suggests a lower prediction error. Importantly, if \( R^2 \) falls below zero, the predictions are deemed inferior to a naive approach that predicts the mean of the observed values for all samples, particularly in terms of absolute prediction errors. Similar to RMSE, \( R^2 \) is influenced by the variance of the predictions. Specifically, when predictions exhibit a high degree of variance that deviates from the actual observations, the \( R^2 \) value can be adversely impacted, dropping from 0.47 in Prediction 1 to -0.27 in Prediction 2, for example. Additionally, due to the presence of squared terms in its calculation, \( R^2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2</w:t>
            </w:r>
            <w:r>
              <w:rPr>
                <w:noProof/>
              </w:rPr>
              <w:fldChar w:fldCharType="end"/>
            </w:r>
            <w:r>
              <w:t>)</w:t>
            </w:r>
          </w:p>
        </w:tc>
      </w:tr>
    </w:tbl>
    <w:p w14:paraId="7BB43719" w14:textId="77777777" w:rsidR="003F7236" w:rsidRDefault="003F7236" w:rsidP="003F7236">
      <w:r>
        <w:t xml:space="preserve">The fourth prediction scenario offers an intriguing case study for \( R^2 \) to identify misleading model performance due to block effects. According to Equations \(4\) and \(5\), the SST can be decomposed into the Regression Sum of Squares (SSR), which represents the variation explained </w:t>
      </w:r>
      <w:r>
        <w:lastRenderedPageBreak/>
        <w:t>by the model, and the SSE, which accounts for the unexplainable errors as discussed in the RMSE section. From this standpoint, \( R^2 \) quantifies the proportion of variation that the model is able to explain. In the case of the fourth prediction, the model effectively captures the differences between various blocks, which contributes substantially to the SST. Consequently, the \( R^2 \) value rises to as high as 0.80. However, this elevated metric can be misleading. The hypothetical model in the fourth prediction does not possess the ability to capture individual variations within each block. The strength of \( R^2 \) lies in its capability to differentiate between sources of variation. Upon closer inspection of the data within each block, the \( R^2 \) values plummet to -0.71 and -1.10, respectively, highlighting that the model fails to account for intra-block variability. In summary, while both RMSE and \( R^2 \) aim to measure prediction errors, \( R^2 \) offers additional statistical insights that facilitate a more nuanced evaluation of model performance.</w:t>
      </w:r>
    </w:p>
    <w:p w14:paraId="4BB2A3E1" w14:textId="77777777" w:rsidR="003F7236" w:rsidRDefault="003F7236" w:rsidP="003F7236"/>
    <w:p w14:paraId="1F45DADD" w14:textId="77777777" w:rsidR="003F7236" w:rsidRDefault="003F7236" w:rsidP="003F7236">
      <w:r>
        <w:t xml:space="preserve">Current practices in dairy science usually report both R2 and RMSE, and sometimes r correlation. as exemplified in &lt;example </w:t>
      </w:r>
      <w:r>
        <w:rPr>
          <w:i/>
        </w:rPr>
        <w:t>1</w:t>
      </w:r>
      <w:r>
        <w:t xml:space="preserve">&gt;, &lt;example </w:t>
      </w:r>
      <w:r>
        <w:rPr>
          <w:i/>
        </w:rPr>
        <w:t>2</w:t>
      </w:r>
      <w:r>
        <w:t>&gt;.</w:t>
      </w:r>
    </w:p>
    <w:p w14:paraId="0D80FA13" w14:textId="77777777" w:rsidR="003F7236" w:rsidRDefault="003F7236" w:rsidP="00990175">
      <w:pPr>
        <w:pStyle w:val="Heading2"/>
      </w:pPr>
    </w:p>
    <w:p w14:paraId="55FB1D79" w14:textId="626D130E" w:rsidR="009F3138" w:rsidRDefault="00000000" w:rsidP="00990175">
      <w:pPr>
        <w:pStyle w:val="Heading2"/>
      </w:pPr>
      <w:r w:rsidRPr="00C028AF">
        <w:t>Pearson Correlation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The Pearson Correlation Coefficient (\(r\)) is a widely used metric for assessing the linear relationship between two variables, as defined by Equation \(1\).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 xml:space="preserve">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w:t>
      </w:r>
      <w:r>
        <w:lastRenderedPageBreak/>
        <w:t>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6262CD">
      <w:pPr>
        <w:pStyle w:val="Heading2"/>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an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6C691844" w:rsidR="008B256E" w:rsidRDefault="00460EEF" w:rsidP="00652BAB">
      <w:pPr>
        <w:pStyle w:val="Heading1"/>
      </w:pPr>
      <w:r>
        <w:t>Performance Metric: 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39134C2D"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r>
                        <w:rPr>
                          <w:rFonts w:ascii="Cambria Math" w:hAnsi="Cambria Math"/>
                          <w:color w:val="000000"/>
                          <w:sz w:val="26"/>
                          <w:szCs w:val="26"/>
                        </w:rPr>
                        <m:t>(0.8,</m:t>
                      </m:r>
                      <m:r>
                        <w:rPr>
                          <w:rFonts w:ascii="Cambria Math" w:hAnsi="Cambria Math"/>
                          <w:sz w:val="26"/>
                          <w:szCs w:val="26"/>
                        </w:rPr>
                        <m:t xml:space="preserve"> </m:t>
                      </m:r>
                      <m:r>
                        <w:rPr>
                          <w:rFonts w:ascii="Cambria Math" w:hAnsi="Cambria Math"/>
                          <w:color w:val="000000"/>
                          <w:sz w:val="26"/>
                          <w:szCs w:val="26"/>
                        </w:rPr>
                        <m:t xml:space="preserve">1.0)× </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r>
                        <w:rPr>
                          <w:rFonts w:ascii="Cambria Math" w:hAnsi="Cambria Math"/>
                          <w:color w:val="000000"/>
                          <w:sz w:val="26"/>
                          <w:szCs w:val="26"/>
                        </w:rPr>
                        <m:t>(0.6,</m:t>
                      </m:r>
                      <m:r>
                        <w:rPr>
                          <w:rFonts w:ascii="Cambria Math" w:hAnsi="Cambria Math"/>
                          <w:sz w:val="26"/>
                          <w:szCs w:val="26"/>
                        </w:rPr>
                        <m:t xml:space="preserve"> </m:t>
                      </m:r>
                      <m:r>
                        <w:rPr>
                          <w:rFonts w:ascii="Cambria Math" w:hAnsi="Cambria Math"/>
                          <w:color w:val="000000"/>
                          <w:sz w:val="26"/>
                          <w:szCs w:val="26"/>
                        </w:rPr>
                        <m:t>0.8)×</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r>
                        <w:rPr>
                          <w:rFonts w:ascii="Cambria Math" w:hAnsi="Cambria Math"/>
                          <w:color w:val="000000"/>
                          <w:sz w:val="26"/>
                          <w:szCs w:val="26"/>
                        </w:rPr>
                        <m:t>(0.2,</m:t>
                      </m:r>
                      <m:r>
                        <w:rPr>
                          <w:rFonts w:ascii="Cambria Math" w:hAnsi="Cambria Math"/>
                          <w:sz w:val="26"/>
                          <w:szCs w:val="26"/>
                        </w:rPr>
                        <m:t xml:space="preserve"> </m:t>
                      </m:r>
                      <m:r>
                        <w:rPr>
                          <w:rFonts w:ascii="Cambria Math" w:hAnsi="Cambria Math"/>
                          <w:color w:val="000000"/>
                          <w:sz w:val="26"/>
                          <w:szCs w:val="26"/>
                        </w:rPr>
                        <m:t>0.4)×</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r>
                        <w:rPr>
                          <w:rFonts w:ascii="Cambria Math" w:hAnsi="Cambria Math"/>
                          <w:color w:val="000000"/>
                          <w:sz w:val="26"/>
                          <w:szCs w:val="26"/>
                        </w:rPr>
                        <m:t>(0.0,</m:t>
                      </m:r>
                      <m:r>
                        <w:rPr>
                          <w:rFonts w:ascii="Cambria Math" w:hAnsi="Cambria Math"/>
                          <w:sz w:val="26"/>
                          <w:szCs w:val="26"/>
                        </w:rPr>
                        <m:t xml:space="preserve"> </m:t>
                      </m:r>
                      <m:r>
                        <w:rPr>
                          <w:rFonts w:ascii="Cambria Math" w:hAnsi="Cambria Math"/>
                          <w:color w:val="000000"/>
                          <w:sz w:val="26"/>
                          <w:szCs w:val="26"/>
                        </w:rPr>
                        <m:t>0.2)×</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13E7AFC2" w14:textId="77777777" w:rsidR="008B256E" w:rsidRDefault="00000000" w:rsidP="00990175">
      <w:r>
        <w:t>Where $X$ is a random variable representing the predicted probabilities, and $Y$ representing the ground truth labels. $</w:t>
      </w:r>
      <w:r>
        <w:rPr>
          <w:i/>
        </w:rPr>
        <w:t>\text</w:t>
      </w:r>
      <w:r>
        <w:t>{Uniform}(a, b)$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This illustrate the variant outcomes from the same prediction, when the metric is different.</w:t>
      </w:r>
    </w:p>
    <w:p w14:paraId="2A6BEC03" w14:textId="23B47577" w:rsidR="00C61B26" w:rsidRDefault="00C61B26" w:rsidP="00990175">
      <w:pPr>
        <w:rPr>
          <w:color w:val="FF0000"/>
        </w:rPr>
      </w:pPr>
      <w:r>
        <w:rPr>
          <w:color w:val="FF0000"/>
        </w:rPr>
        <w:t>Assigning the positive to the rare category can result in different conclusion</w:t>
      </w:r>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930706">
      <w:pPr>
        <w:pStyle w:val="Heading2"/>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B75496">
      <w:pPr>
        <w:pStyle w:val="Heading2"/>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Predicted</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r>
              <w:fldChar w:fldCharType="begin"/>
            </w:r>
            <w:r>
              <w:instrText xml:space="preserve"> SEQ Equation \* ARABIC </w:instrText>
            </w:r>
            <w:r>
              <w:fldChar w:fldCharType="separate"/>
            </w:r>
            <w:r w:rsidR="00342321">
              <w:rPr>
                <w:noProof/>
              </w:rPr>
              <w:t>8</w:t>
            </w:r>
            <w:r>
              <w:rPr>
                <w:noProof/>
              </w:rPr>
              <w:fldChar w:fldCharType="end"/>
            </w:r>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where failing to identify a positive instance can have severe consequences, such as &lt;example </w:t>
      </w:r>
      <w:r>
        <w:rPr>
          <w:i/>
        </w:rPr>
        <w:t>2</w:t>
      </w:r>
      <w:r>
        <w:t>&gt; failing to detect a disease in its early stages, high recall could be more valuable.</w:t>
      </w:r>
    </w:p>
    <w:p w14:paraId="7DE3AC47" w14:textId="4E07622B" w:rsidR="00F41462" w:rsidRDefault="00F41462" w:rsidP="00990175">
      <w:r w:rsidRPr="00F41462">
        <w:drawing>
          <wp:inline distT="0" distB="0" distL="0" distR="0" wp14:anchorId="0C4DF92B" wp14:editId="4C3C6014">
            <wp:extent cx="5943600" cy="2985135"/>
            <wp:effectExtent l="0" t="0" r="0" b="0"/>
            <wp:docPr id="1726046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6078" name="Picture 1" descr="A screenshot of a graph&#10;&#10;Description automatically generated"/>
                    <pic:cNvPicPr/>
                  </pic:nvPicPr>
                  <pic:blipFill>
                    <a:blip r:embed="rId10"/>
                    <a:stretch>
                      <a:fillRect/>
                    </a:stretch>
                  </pic:blipFill>
                  <pic:spPr>
                    <a:xfrm>
                      <a:off x="0" y="0"/>
                      <a:ext cx="5943600" cy="2985135"/>
                    </a:xfrm>
                    <a:prstGeom prst="rect">
                      <a:avLst/>
                    </a:prstGeom>
                  </pic:spPr>
                </pic:pic>
              </a:graphicData>
            </a:graphic>
          </wp:inline>
        </w:drawing>
      </w:r>
    </w:p>
    <w:p w14:paraId="5BAEA7C6" w14:textId="433EC7A4" w:rsidR="008B256E" w:rsidRDefault="008B256E" w:rsidP="00990175"/>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w:t>
      </w:r>
      <w:r>
        <w:lastRenderedPageBreak/>
        <w:t>dealing with imbalanced datasets. As an example, if there is a scenario where the sample labels 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values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Serve as a visual tool to optimize the threshold if one seek for a higher recall with the constant precision level.</w:t>
      </w:r>
    </w:p>
    <w:p w14:paraId="44C45106" w14:textId="77777777" w:rsidR="00BD6358" w:rsidRDefault="00BD6358" w:rsidP="00990175"/>
    <w:p w14:paraId="4CFA492F" w14:textId="1AFF5237" w:rsidR="008B256E" w:rsidRDefault="00000000" w:rsidP="00787C54">
      <w:pPr>
        <w:pStyle w:val="Heading2"/>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r w:rsidR="00FB7DA8">
        <w:t>FPR</w:t>
      </w:r>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 Negative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TPR</m:t>
                </m:r>
                <m:r>
                  <w:rPr>
                    <w:rFonts w:ascii="Cambria Math" w:hAnsi="Cambria Math"/>
                  </w:rPr>
                  <m:t xml:space="preserve"> </m:t>
                </m:r>
                <m:r>
                  <m:rPr>
                    <m:aln/>
                  </m:rPr>
                  <w:rPr>
                    <w:rFonts w:ascii="Cambria Math" w:hAnsi="Cambria Math"/>
                  </w:rPr>
                  <m:t xml:space="preserve">= </m:t>
                </m:r>
                <m:r>
                  <w:rPr>
                    <w:rFonts w:ascii="Cambria Math" w:hAnsi="Cambria Math"/>
                  </w:rPr>
                  <m:t>Recall</m:t>
                </m:r>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Actual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r>
              <w:fldChar w:fldCharType="begin"/>
            </w:r>
            <w:r>
              <w:instrText xml:space="preserve"> SEQ Equation \* ARABIC </w:instrText>
            </w:r>
            <w:r>
              <w:fldChar w:fldCharType="separate"/>
            </w:r>
            <w:r>
              <w:rPr>
                <w:noProof/>
              </w:rPr>
              <w:t>8</w:t>
            </w:r>
            <w:r>
              <w:rPr>
                <w:noProof/>
              </w:rPr>
              <w:fldChar w:fldCharType="end"/>
            </w:r>
            <w:r>
              <w:t>)</w:t>
            </w:r>
          </w:p>
        </w:tc>
      </w:tr>
    </w:tbl>
    <w:p w14:paraId="6C8F7162" w14:textId="77777777" w:rsidR="008B256E" w:rsidRDefault="008B256E" w:rsidP="00990175"/>
    <w:p w14:paraId="55FD9D68" w14:textId="0C3034D8" w:rsidR="008B256E" w:rsidRDefault="00000000" w:rsidP="00990175">
      <w:r>
        <w:lastRenderedPageBreak/>
        <w:t xml:space="preserve">The ROC curve can be </w:t>
      </w:r>
      <w:r w:rsidR="00990C2F">
        <w:t>interpreted</w:t>
      </w:r>
      <w:r>
        <w:t xml:space="preserve"> as how much cost is needed to capture true positives. If the curve climbs steeply from the left side, it means that the model can capture most true positives with a low cost of false positives. A random guess, which yield a 50% chance of making a correct prediction, is represented by a diagnoal line in the ROC curve. This curve is widely used in reporting genetics markers in Genome-Wide Association Studies (GWAS) [ref 7-9], as whether the top-associated markers (i.e., prediction with high positive probability) can be identified is more important than considering the entire list of prediction quality. In the hypothetical example, the ROC curve show a labe-invariant AUC of 0.875, which is the same for both the original labels and the reversed labels. However, such high metric may still mislead the conclusion of model evalution,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14E4906E" w14:textId="59701111" w:rsidR="008B256E" w:rsidRDefault="00000000" w:rsidP="00990175">
      <w:r w:rsidRPr="00FA00D3">
        <w:rPr>
          <w:rStyle w:val="Heading2Char"/>
        </w:rPr>
        <w:t>Matthews Correlation Coefficient (MCC)</w:t>
      </w:r>
    </w:p>
    <w:p w14:paraId="1F8596AB" w14:textId="77777777" w:rsidR="008B256E" w:rsidRDefault="008B256E" w:rsidP="00990175"/>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r>
              <w:fldChar w:fldCharType="begin"/>
            </w:r>
            <w:r>
              <w:instrText xml:space="preserve"> SEQ Equation \* ARABIC </w:instrText>
            </w:r>
            <w:r>
              <w:fldChar w:fldCharType="separate"/>
            </w:r>
            <w:r>
              <w:rPr>
                <w:noProof/>
              </w:rPr>
              <w:t>11</w:t>
            </w:r>
            <w:r>
              <w:rPr>
                <w:noProof/>
              </w:rPr>
              <w:fldChar w:fldCharType="end"/>
            </w:r>
            <w:r>
              <w:t>)</w:t>
            </w:r>
          </w:p>
        </w:tc>
      </w:tr>
    </w:tbl>
    <w:p w14:paraId="2F3297C2" w14:textId="19D07FF8"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aforementioned example, the MCC reached its maximum value of 0.82 at a threshold of 0.2. This threshold yielded accuracy, precision, and recall values of 0.90, 0.75, and 1.00, respectively. Interestingly, even when labels were swapped, the </w:t>
      </w:r>
      <w:r w:rsidR="00F41462">
        <w:t xml:space="preserve">highest MCC </w:t>
      </w:r>
      <w:r w:rsidR="00D653A2">
        <w:t xml:space="preserve">value </w:t>
      </w:r>
      <w:r>
        <w:t xml:space="preserve">remained </w:t>
      </w:r>
      <w:r w:rsidR="00F41462">
        <w:t>the same</w:t>
      </w:r>
      <w:r>
        <w:t>,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5860046D" w:rsidR="008B256E" w:rsidRPr="00BD6E66" w:rsidRDefault="00E61E92" w:rsidP="00990175">
      <w:pPr>
        <w:rPr>
          <w:color w:val="FF0000"/>
        </w:rPr>
      </w:pPr>
      <w:r w:rsidRPr="00E61E92">
        <w:rPr>
          <w:color w:val="FF0000"/>
        </w:rPr>
        <w:lastRenderedPageBreak/>
        <w:drawing>
          <wp:inline distT="0" distB="0" distL="0" distR="0" wp14:anchorId="7696AD06" wp14:editId="037D7C5F">
            <wp:extent cx="5943600" cy="3654425"/>
            <wp:effectExtent l="0" t="0" r="0" b="3175"/>
            <wp:docPr id="20009599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9919" name="Picture 1" descr="A graph with green and orange lines&#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3509A7AE" w14:textId="29C705E5" w:rsidR="008B256E"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5C1958BD" w14:textId="5F75D471" w:rsidR="00714B81" w:rsidRPr="00BD6E66" w:rsidRDefault="00714B81" w:rsidP="00990175">
      <w:pPr>
        <w:rPr>
          <w:color w:val="FF0000"/>
        </w:rPr>
      </w:pPr>
      <w:r>
        <w:rPr>
          <w:color w:val="FF0000"/>
        </w:rPr>
        <w:t xml:space="preserve">Although it is rare to be visualized as a curve, it is a convenienct way as a single indicator to find the optimum threshold that achieve high precision and recall. </w:t>
      </w:r>
    </w:p>
    <w:p w14:paraId="4E7286E4" w14:textId="77777777" w:rsidR="008B256E" w:rsidRPr="00BD6E66" w:rsidRDefault="008B256E" w:rsidP="00990175">
      <w:pPr>
        <w:rPr>
          <w:color w:val="FF0000"/>
        </w:rPr>
      </w:pPr>
    </w:p>
    <w:p w14:paraId="1AADBA03" w14:textId="77777777" w:rsidR="008B256E" w:rsidRDefault="008B256E" w:rsidP="00990175"/>
    <w:p w14:paraId="15C5CF1F" w14:textId="77777777" w:rsidR="008B256E" w:rsidRDefault="008B256E" w:rsidP="00990175"/>
    <w:p w14:paraId="60A79D6B" w14:textId="77777777" w:rsidR="008B256E" w:rsidRDefault="008B256E" w:rsidP="00990175"/>
    <w:p w14:paraId="194F04D0" w14:textId="77777777" w:rsidR="008B256E" w:rsidRDefault="008B256E" w:rsidP="00990175"/>
    <w:sectPr w:rsidR="008B25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6108"/>
    <w:rsid w:val="00056F5D"/>
    <w:rsid w:val="000F3273"/>
    <w:rsid w:val="001370A3"/>
    <w:rsid w:val="00156AB8"/>
    <w:rsid w:val="00177D95"/>
    <w:rsid w:val="00180B80"/>
    <w:rsid w:val="001954F8"/>
    <w:rsid w:val="001B79B6"/>
    <w:rsid w:val="001B7B15"/>
    <w:rsid w:val="001C1E81"/>
    <w:rsid w:val="001E02A0"/>
    <w:rsid w:val="00201BA3"/>
    <w:rsid w:val="0020521D"/>
    <w:rsid w:val="002219D8"/>
    <w:rsid w:val="002253DA"/>
    <w:rsid w:val="00226776"/>
    <w:rsid w:val="002603F7"/>
    <w:rsid w:val="002A22E9"/>
    <w:rsid w:val="002A5BBB"/>
    <w:rsid w:val="002B05B4"/>
    <w:rsid w:val="002B7A45"/>
    <w:rsid w:val="002D3ED7"/>
    <w:rsid w:val="002F453B"/>
    <w:rsid w:val="003032B7"/>
    <w:rsid w:val="00320E34"/>
    <w:rsid w:val="0032313D"/>
    <w:rsid w:val="0032652A"/>
    <w:rsid w:val="00326E48"/>
    <w:rsid w:val="00336BD1"/>
    <w:rsid w:val="00342321"/>
    <w:rsid w:val="003615EF"/>
    <w:rsid w:val="003635E8"/>
    <w:rsid w:val="00365358"/>
    <w:rsid w:val="00372044"/>
    <w:rsid w:val="00384317"/>
    <w:rsid w:val="003A4630"/>
    <w:rsid w:val="003B44F5"/>
    <w:rsid w:val="003E00FA"/>
    <w:rsid w:val="003E4B42"/>
    <w:rsid w:val="003F2AD0"/>
    <w:rsid w:val="003F2EA1"/>
    <w:rsid w:val="003F501F"/>
    <w:rsid w:val="003F6E2E"/>
    <w:rsid w:val="003F7236"/>
    <w:rsid w:val="00435AA6"/>
    <w:rsid w:val="004537D5"/>
    <w:rsid w:val="004544F7"/>
    <w:rsid w:val="00460EEF"/>
    <w:rsid w:val="00480DC8"/>
    <w:rsid w:val="00491269"/>
    <w:rsid w:val="004A1E76"/>
    <w:rsid w:val="00500454"/>
    <w:rsid w:val="0052459B"/>
    <w:rsid w:val="00532BE0"/>
    <w:rsid w:val="00540289"/>
    <w:rsid w:val="00583F28"/>
    <w:rsid w:val="005A0ADD"/>
    <w:rsid w:val="005B5940"/>
    <w:rsid w:val="005D089E"/>
    <w:rsid w:val="006262CD"/>
    <w:rsid w:val="00650CF8"/>
    <w:rsid w:val="00652BAB"/>
    <w:rsid w:val="00662B93"/>
    <w:rsid w:val="00672DF6"/>
    <w:rsid w:val="006B7A3C"/>
    <w:rsid w:val="006C1DCA"/>
    <w:rsid w:val="006C3D25"/>
    <w:rsid w:val="00705D2E"/>
    <w:rsid w:val="00714A38"/>
    <w:rsid w:val="00714B81"/>
    <w:rsid w:val="00735764"/>
    <w:rsid w:val="0074149E"/>
    <w:rsid w:val="00747DF0"/>
    <w:rsid w:val="00751D52"/>
    <w:rsid w:val="0075226D"/>
    <w:rsid w:val="00754A6C"/>
    <w:rsid w:val="00776B40"/>
    <w:rsid w:val="007822E4"/>
    <w:rsid w:val="00787C54"/>
    <w:rsid w:val="00793148"/>
    <w:rsid w:val="007B5EF6"/>
    <w:rsid w:val="007D47D9"/>
    <w:rsid w:val="007F21E7"/>
    <w:rsid w:val="00800381"/>
    <w:rsid w:val="008011A1"/>
    <w:rsid w:val="008171A4"/>
    <w:rsid w:val="00844725"/>
    <w:rsid w:val="00880351"/>
    <w:rsid w:val="008B256E"/>
    <w:rsid w:val="008C04AE"/>
    <w:rsid w:val="008D15A3"/>
    <w:rsid w:val="008D2F34"/>
    <w:rsid w:val="008F2524"/>
    <w:rsid w:val="00900391"/>
    <w:rsid w:val="00930706"/>
    <w:rsid w:val="009377B9"/>
    <w:rsid w:val="00955078"/>
    <w:rsid w:val="00990175"/>
    <w:rsid w:val="00990C2F"/>
    <w:rsid w:val="009F024E"/>
    <w:rsid w:val="009F3138"/>
    <w:rsid w:val="00A4697D"/>
    <w:rsid w:val="00A77B70"/>
    <w:rsid w:val="00AA373F"/>
    <w:rsid w:val="00AC321A"/>
    <w:rsid w:val="00AE0A58"/>
    <w:rsid w:val="00AE20B2"/>
    <w:rsid w:val="00AE791C"/>
    <w:rsid w:val="00AF07A9"/>
    <w:rsid w:val="00B229C4"/>
    <w:rsid w:val="00B40785"/>
    <w:rsid w:val="00B51AF9"/>
    <w:rsid w:val="00B75496"/>
    <w:rsid w:val="00B77962"/>
    <w:rsid w:val="00B83CDB"/>
    <w:rsid w:val="00B95161"/>
    <w:rsid w:val="00BC1833"/>
    <w:rsid w:val="00BD6358"/>
    <w:rsid w:val="00BD6E66"/>
    <w:rsid w:val="00BE3BC1"/>
    <w:rsid w:val="00BE4F39"/>
    <w:rsid w:val="00BF349D"/>
    <w:rsid w:val="00C023B4"/>
    <w:rsid w:val="00C028AF"/>
    <w:rsid w:val="00C051AF"/>
    <w:rsid w:val="00C61B26"/>
    <w:rsid w:val="00C85C86"/>
    <w:rsid w:val="00C97492"/>
    <w:rsid w:val="00CA780E"/>
    <w:rsid w:val="00CB4F62"/>
    <w:rsid w:val="00CE37E5"/>
    <w:rsid w:val="00D1391A"/>
    <w:rsid w:val="00D43152"/>
    <w:rsid w:val="00D510E6"/>
    <w:rsid w:val="00D5774E"/>
    <w:rsid w:val="00D653A2"/>
    <w:rsid w:val="00D66AE7"/>
    <w:rsid w:val="00D779B5"/>
    <w:rsid w:val="00D85E62"/>
    <w:rsid w:val="00D871CD"/>
    <w:rsid w:val="00D87A55"/>
    <w:rsid w:val="00DA13DE"/>
    <w:rsid w:val="00E1565D"/>
    <w:rsid w:val="00E32540"/>
    <w:rsid w:val="00E37D18"/>
    <w:rsid w:val="00E61E92"/>
    <w:rsid w:val="00E718C2"/>
    <w:rsid w:val="00E81E11"/>
    <w:rsid w:val="00EB61C0"/>
    <w:rsid w:val="00EC16C9"/>
    <w:rsid w:val="00F0410D"/>
    <w:rsid w:val="00F2121C"/>
    <w:rsid w:val="00F41462"/>
    <w:rsid w:val="00F665D2"/>
    <w:rsid w:val="00F712B9"/>
    <w:rsid w:val="00FA00D3"/>
    <w:rsid w:val="00FB536B"/>
    <w:rsid w:val="00FB723D"/>
    <w:rsid w:val="00FB7DA8"/>
    <w:rsid w:val="00FC7025"/>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672DF6"/>
    <w:pPr>
      <w:spacing w:before="240" w:after="240"/>
      <w:outlineLvl w:val="0"/>
    </w:pPr>
    <w:rPr>
      <w:b/>
      <w:bCs/>
    </w:rPr>
  </w:style>
  <w:style w:type="paragraph" w:styleId="Heading2">
    <w:name w:val="heading 2"/>
    <w:basedOn w:val="Normal"/>
    <w:next w:val="Normal"/>
    <w:link w:val="Heading2Char"/>
    <w:uiPriority w:val="9"/>
    <w:unhideWhenUsed/>
    <w:qFormat/>
    <w:rsid w:val="00C028AF"/>
    <w:pPr>
      <w:spacing w:before="240" w:after="240"/>
      <w:outlineLvl w:val="1"/>
    </w:pPr>
    <w:rPr>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672DF6"/>
    <w:rPr>
      <w:rFonts w:ascii="Calibri Light" w:hAnsi="Calibri Light" w:cs="Calibri Light"/>
      <w:b/>
      <w:bCs/>
    </w:rPr>
  </w:style>
  <w:style w:type="character" w:customStyle="1" w:styleId="Heading2Char">
    <w:name w:val="Heading 2 Char"/>
    <w:basedOn w:val="DefaultParagraphFont"/>
    <w:link w:val="Heading2"/>
    <w:uiPriority w:val="9"/>
    <w:rsid w:val="00C028AF"/>
    <w:rPr>
      <w:rFonts w:ascii="Calibri Light" w:hAnsi="Calibri Light" w:cs="Calibri Light"/>
      <w:i/>
      <w:iCs/>
      <w:u w:val="single"/>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11</Pages>
  <Words>3389</Words>
  <Characters>19320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93</cp:revision>
  <dcterms:created xsi:type="dcterms:W3CDTF">2023-11-19T17:08:00Z</dcterms:created>
  <dcterms:modified xsi:type="dcterms:W3CDTF">2023-11-20T06:05:00Z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