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D3D91" w14:textId="1EEBD231" w:rsidR="00291359" w:rsidRPr="00B41E12" w:rsidRDefault="00445735" w:rsidP="00B41E12">
      <w:pPr>
        <w:pStyle w:val="Subtitle"/>
        <w:spacing w:after="240"/>
      </w:pPr>
      <w:r w:rsidRPr="00DA13DE">
        <w:t xml:space="preserve">A Guide on </w:t>
      </w:r>
      <w:r w:rsidR="008E4F9E">
        <w:t>Avoiding</w:t>
      </w:r>
      <w:r w:rsidRPr="00DA13DE">
        <w:t xml:space="preserve"> Common Pitfalls in </w:t>
      </w:r>
      <w:r w:rsidR="002D3ED7">
        <w:t>Model Performance</w:t>
      </w:r>
      <w:r w:rsidRPr="00DA13DE">
        <w:t xml:space="preserve"> </w:t>
      </w:r>
      <w:r w:rsidR="00952E16" w:rsidRPr="00DA13DE">
        <w:t>Metric</w:t>
      </w:r>
      <w:r w:rsidR="00C23DCE">
        <w:t>s</w:t>
      </w:r>
      <w:r w:rsidRPr="00DA13DE">
        <w:t xml:space="preserve"> and Validation</w:t>
      </w:r>
    </w:p>
    <w:p w14:paraId="22BEAC7C" w14:textId="1C3A5A94" w:rsidR="008F2524" w:rsidRPr="00291359" w:rsidRDefault="00673289" w:rsidP="00396134">
      <w:pPr>
        <w:rPr>
          <w:b/>
          <w:bCs/>
        </w:rPr>
      </w:pPr>
      <w:r w:rsidRPr="00291359">
        <w:rPr>
          <w:b/>
          <w:bCs/>
        </w:rPr>
        <w:t>C</w:t>
      </w:r>
      <w:r w:rsidR="00716B5B">
        <w:rPr>
          <w:b/>
          <w:bCs/>
        </w:rPr>
        <w:t>.P.</w:t>
      </w:r>
      <w:r w:rsidRPr="00291359">
        <w:rPr>
          <w:b/>
          <w:bCs/>
        </w:rPr>
        <w:t xml:space="preserve"> James</w:t>
      </w:r>
      <w:r w:rsidR="008F2524" w:rsidRPr="00291359">
        <w:rPr>
          <w:b/>
          <w:bCs/>
        </w:rPr>
        <w:t xml:space="preserve"> Chen</w:t>
      </w:r>
      <w:r w:rsidR="00716B5B" w:rsidRPr="00291359">
        <w:rPr>
          <w:b/>
          <w:bCs/>
          <w:vertAlign w:val="superscript"/>
        </w:rPr>
        <w:t>1</w:t>
      </w:r>
      <w:r w:rsidR="00716B5B">
        <w:rPr>
          <w:b/>
          <w:bCs/>
          <w:vertAlign w:val="superscript"/>
        </w:rPr>
        <w:t>*</w:t>
      </w:r>
      <w:r w:rsidR="00716B5B">
        <w:rPr>
          <w:b/>
          <w:bCs/>
        </w:rPr>
        <w:t>, Robin R. White</w:t>
      </w:r>
      <w:r w:rsidR="00716B5B" w:rsidRPr="00291359">
        <w:rPr>
          <w:b/>
          <w:bCs/>
          <w:vertAlign w:val="superscript"/>
        </w:rPr>
        <w:t>1</w:t>
      </w:r>
      <w:r w:rsidR="00716B5B">
        <w:rPr>
          <w:b/>
          <w:bCs/>
        </w:rPr>
        <w:t xml:space="preserve"> </w:t>
      </w:r>
    </w:p>
    <w:p w14:paraId="4CE4F0CB" w14:textId="5548D671" w:rsidR="004206DC" w:rsidRDefault="00291359" w:rsidP="00396134">
      <w:r w:rsidRPr="00291359">
        <w:rPr>
          <w:b/>
          <w:bCs/>
          <w:vertAlign w:val="superscript"/>
        </w:rPr>
        <w:t>1</w:t>
      </w:r>
      <w:r>
        <w:t>School of Animal Sciences, Virginia Tech, Blacksburg 24061</w:t>
      </w:r>
    </w:p>
    <w:p w14:paraId="34579267" w14:textId="34FE4E76" w:rsidR="00291359" w:rsidRDefault="00883E60" w:rsidP="00D0288A">
      <w:r w:rsidRPr="008D62B8">
        <w:rPr>
          <w:vertAlign w:val="superscript"/>
        </w:rPr>
        <w:t>*</w:t>
      </w:r>
      <w:r>
        <w:t>Corresponding author: niche@vt.edu</w:t>
      </w:r>
      <w:r w:rsidR="00D0288A">
        <w:t xml:space="preserve">, ORCID: </w:t>
      </w:r>
      <w:r w:rsidR="00784BE1">
        <w:t>https://orcid.org/</w:t>
      </w:r>
      <w:r w:rsidR="00D0288A" w:rsidRPr="00C74490">
        <w:t>0000-0002-2018-0702</w:t>
      </w:r>
    </w:p>
    <w:p w14:paraId="3939349C" w14:textId="2D1FB460" w:rsidR="007F1033" w:rsidRDefault="007F1033" w:rsidP="007F1033">
      <w:pPr>
        <w:pStyle w:val="Heading1"/>
      </w:pPr>
      <w:r>
        <w:t>Interpretive Summary</w:t>
      </w:r>
    </w:p>
    <w:p w14:paraId="21D63A7F" w14:textId="3D480E1B" w:rsidR="007F1033" w:rsidRDefault="007F1033" w:rsidP="005C11CE">
      <w:pPr>
        <w:ind w:firstLine="720"/>
      </w:pPr>
      <w:r>
        <w:t xml:space="preserve">This review provides essential guidance on evaluating prediction models. It emphasizes the need for a deep understanding of various performance metrics, highlighting their applications and limitations. </w:t>
      </w:r>
      <w:r w:rsidR="00EF70AC">
        <w:t>Additionally, t</w:t>
      </w:r>
      <w:r>
        <w:t>he paper addresses common pitfalls in cross-validation, a key method for model assessment. By offering computational simulations and practical examples, this review is invaluable for researchers aiming to accurately report model performance. It contributes significantly to the integrity and advancement of scientific research in modeling</w:t>
      </w:r>
      <w:r w:rsidR="00C9220E">
        <w:t>.</w:t>
      </w:r>
    </w:p>
    <w:p w14:paraId="6064DC4D" w14:textId="70FDC6C3" w:rsidR="004206DC" w:rsidRPr="008F2524" w:rsidRDefault="004206DC" w:rsidP="004206DC">
      <w:pPr>
        <w:pStyle w:val="Heading1"/>
      </w:pPr>
      <w:r>
        <w:t>Abstract</w:t>
      </w:r>
    </w:p>
    <w:p w14:paraId="2A75FC2B" w14:textId="580D3A9F" w:rsidR="004206DC" w:rsidRDefault="004206DC" w:rsidP="00DF2C70">
      <w:pPr>
        <w:ind w:firstLine="720"/>
      </w:pPr>
      <w:r>
        <w:t>This review critically examines the metrics and methodologies used for evaluating prediction models in regression and classification tasks, underscoring the importance of rigorous and standardized approaches in model performance assessment. Modeling, a structured framework for hypothesis formulation and decision-making, relies on the analysis and extrapolation of empirical data. Its advancement is contingent on the accumulation and integrity of prior knowledge within the scientific community.</w:t>
      </w:r>
    </w:p>
    <w:p w14:paraId="423F8F11" w14:textId="0A8CDEEC" w:rsidR="004206DC" w:rsidRDefault="004206DC" w:rsidP="00DF2C70">
      <w:pPr>
        <w:ind w:firstLine="720"/>
      </w:pPr>
      <w:r>
        <w:t xml:space="preserve">The review highlights that no single metric suffices to fully grasp model performance, emphasizing the need for understanding the underlying theory of each metric to avoid misleading conclusions. In regression tasks, metrics </w:t>
      </w:r>
      <w:r w:rsidR="006215E6">
        <w:t>such as</w:t>
      </w:r>
      <w:r>
        <w:t xml:space="preserve"> the </w:t>
      </w:r>
      <w:r w:rsidR="00DD3259">
        <w:t xml:space="preserve">Pearson </w:t>
      </w:r>
      <w:r>
        <w:t>Correlation Coefficient, R</w:t>
      </w:r>
      <w:r w:rsidR="00DD3259">
        <w:t>oot Mean Squared Error</w:t>
      </w:r>
      <w:r>
        <w:t>, and</w:t>
      </w:r>
      <w:r w:rsidR="00DD3259">
        <w:t xml:space="preserve"> Coefficient of Determination</w:t>
      </w:r>
      <w:r w:rsidR="00FD651B" w:rsidRPr="00FD651B">
        <w:rPr>
          <w:bCs/>
        </w:rPr>
        <w:t xml:space="preserve"> </w:t>
      </w:r>
      <m:oMath>
        <m:sSup>
          <m:sSupPr>
            <m:ctrlPr>
              <w:rPr>
                <w:rFonts w:ascii="Cambria Math" w:hAnsi="Cambria Math"/>
                <w:bCs/>
                <w:i/>
              </w:rPr>
            </m:ctrlPr>
          </m:sSupPr>
          <m:e>
            <m:r>
              <w:rPr>
                <w:rFonts w:ascii="Cambria Math" w:hAnsi="Cambria Math"/>
              </w:rPr>
              <m:t>R</m:t>
            </m:r>
          </m:e>
          <m:sup>
            <m:r>
              <w:rPr>
                <w:rFonts w:ascii="Cambria Math" w:hAnsi="Cambria Math"/>
              </w:rPr>
              <m:t>2</m:t>
            </m:r>
          </m:sup>
        </m:sSup>
      </m:oMath>
      <w:r>
        <w:t xml:space="preserve"> are discussed, considering their specific applications and limitations. For classification tasks, the focus shifts to metrics </w:t>
      </w:r>
      <w:r w:rsidR="008E5245">
        <w:t>including</w:t>
      </w:r>
      <w:r>
        <w:t xml:space="preserve"> precision, recall, ROC curve, and MCC curve, </w:t>
      </w:r>
      <w:r w:rsidR="00B258D6">
        <w:t>emphasizing</w:t>
      </w:r>
      <w:r>
        <w:t xml:space="preserve"> correctly designating the positive class to prevent bias and ensuring label-invariant assessment for a balanced evaluation. Moreover, the paper delves into common pitfalls in cross-validation (CV), a technique crucial for simulating unseen data for model evaluation. Issues such as using the same data for both training and assessment, excluding model selection from CV, and overlooking experimental block effects are explored. </w:t>
      </w:r>
    </w:p>
    <w:p w14:paraId="5CD9F6DA" w14:textId="77777777" w:rsidR="0005306A" w:rsidRDefault="004206DC" w:rsidP="00DF2C70">
      <w:pPr>
        <w:ind w:firstLine="720"/>
      </w:pPr>
      <w:r>
        <w:t>The review is structured into sections covering model performance metrics and validation techniques. Each section provides computational simulations and literature examples to illustrate the concepts from both theoretical and practical perspectives, culminating in a summary of key points and recommendations for future research. This comprehensive approach aims to guide researchers in accurately reporting model performance, especially in scenarios of imbalanced datasets, feature selection, hyperparameter tuning, and limited sample sizes, ultimately contributing to the integrity and progress of scientific research in modeling.</w:t>
      </w:r>
    </w:p>
    <w:p w14:paraId="1D0948E9" w14:textId="77777777" w:rsidR="0005306A" w:rsidRDefault="0005306A" w:rsidP="00DF2C70">
      <w:pPr>
        <w:ind w:firstLine="720"/>
      </w:pPr>
    </w:p>
    <w:p w14:paraId="1B5EB41A" w14:textId="2CEEA4F6" w:rsidR="00D424DA" w:rsidRDefault="0005306A" w:rsidP="0041592E">
      <w:pPr>
        <w:rPr>
          <w:b/>
          <w:bCs/>
        </w:rPr>
      </w:pPr>
      <w:r w:rsidRPr="00AF7CF8">
        <w:rPr>
          <w:b/>
          <w:bCs/>
        </w:rPr>
        <w:t>Key</w:t>
      </w:r>
      <w:r w:rsidR="00015E15">
        <w:rPr>
          <w:b/>
          <w:bCs/>
        </w:rPr>
        <w:t xml:space="preserve"> W</w:t>
      </w:r>
      <w:r w:rsidRPr="00AF7CF8">
        <w:rPr>
          <w:b/>
          <w:bCs/>
        </w:rPr>
        <w:t>ords</w:t>
      </w:r>
      <w:r>
        <w:t xml:space="preserve">: </w:t>
      </w:r>
      <w:r w:rsidR="006A3F26">
        <w:t>cross-validation; model evaluation</w:t>
      </w:r>
      <w:r w:rsidR="00716B5B">
        <w:t>; simulation</w:t>
      </w:r>
      <w:r w:rsidR="00D424DA">
        <w:br w:type="page"/>
      </w:r>
    </w:p>
    <w:p w14:paraId="6FB58B45" w14:textId="04A725B8" w:rsidR="008B256E" w:rsidRPr="00396134" w:rsidRDefault="00013BFC" w:rsidP="00396134">
      <w:pPr>
        <w:pStyle w:val="Heading1"/>
      </w:pPr>
      <w:r>
        <w:lastRenderedPageBreak/>
        <w:t xml:space="preserve">1. </w:t>
      </w:r>
      <w:r w:rsidR="00B952D5">
        <w:t>Overview</w:t>
      </w:r>
    </w:p>
    <w:p w14:paraId="213667A7" w14:textId="6A2C9BD0" w:rsidR="008B256E" w:rsidRDefault="00D85E62" w:rsidP="00D748CB">
      <w:pPr>
        <w:ind w:firstLine="720"/>
      </w:pPr>
      <w:r>
        <w:t xml:space="preserve">Modeling </w:t>
      </w:r>
      <w:r w:rsidR="001E02A0">
        <w:t xml:space="preserve">is </w:t>
      </w:r>
      <w:r>
        <w:t xml:space="preserve">an </w:t>
      </w:r>
      <w:r w:rsidR="00051ED2">
        <w:t>essential</w:t>
      </w:r>
      <w:r>
        <w:t xml:space="preserve"> tool for hypothesis formulation and decision-making. It functions as a structured framework that validates system understanding through the </w:t>
      </w:r>
      <w:r w:rsidRPr="00DA13DE">
        <w:t>analysis</w:t>
      </w:r>
      <w:r>
        <w:t xml:space="preserve"> of empirical data</w:t>
      </w:r>
      <w:r w:rsidR="00A34B12">
        <w:rPr>
          <w:rFonts w:hint="eastAsia"/>
        </w:rPr>
        <w:t>. Further, it ex</w:t>
      </w:r>
      <w:r w:rsidR="00A34B12">
        <w:t>tends</w:t>
      </w:r>
      <w:r>
        <w:t xml:space="preserve"> this understanding by enabling the extrapolation of results to novel trials and conditions. The advancement of research is fundamentally built upon the accumulation of prior knowledge within the scientific community. Therefore, </w:t>
      </w:r>
      <w:r w:rsidR="00851A42">
        <w:rPr>
          <w:rFonts w:hint="eastAsia"/>
        </w:rPr>
        <w:t>evaluating</w:t>
      </w:r>
      <w:r>
        <w:t xml:space="preserve"> model performance becomes particularly critical, necessitating a rigorous and standardized approach that allows for both reproducibility and comparability. The failure to adhere to these standards</w:t>
      </w:r>
      <w:r w:rsidR="007A79AD">
        <w:t>,</w:t>
      </w:r>
      <w:r w:rsidR="00B83182">
        <w:t xml:space="preserve"> by reporting model performance through ill-defined metrics or non-rigorous procedures</w:t>
      </w:r>
      <w:r w:rsidR="000A20CF">
        <w:t>,</w:t>
      </w:r>
      <w:r>
        <w:t xml:space="preserve"> </w:t>
      </w:r>
      <w:r w:rsidR="00B57C1C">
        <w:t>can</w:t>
      </w:r>
      <w:r>
        <w:t xml:space="preserve"> introduce misinterpretations and miscommunications. Such lapses </w:t>
      </w:r>
      <w:r w:rsidR="0044461D">
        <w:t>impede scientific progress and</w:t>
      </w:r>
      <w:r>
        <w:t xml:space="preserve"> compromise the integrity of the collective body of research in the field.</w:t>
      </w:r>
      <w:r w:rsidR="004E7A9F">
        <w:t xml:space="preserve"> </w:t>
      </w:r>
    </w:p>
    <w:p w14:paraId="3F333E05" w14:textId="2D4A2882" w:rsidR="007D175C" w:rsidRDefault="007D175C" w:rsidP="00D17040">
      <w:pPr>
        <w:ind w:firstLine="720"/>
      </w:pPr>
      <w:r>
        <w:t xml:space="preserve">This review aims to scrutinize commonly used </w:t>
      </w:r>
      <w:r w:rsidR="00C23DCE">
        <w:t>metrics</w:t>
      </w:r>
      <w:r>
        <w:t xml:space="preserve"> in evaluating a prediction model, covering </w:t>
      </w:r>
      <w:r w:rsidR="00C06C8C">
        <w:t>regression and classification tasks</w:t>
      </w:r>
      <w:r>
        <w:t xml:space="preserve">. Since </w:t>
      </w:r>
      <w:r w:rsidR="00C06C8C">
        <w:t>no single metric provides</w:t>
      </w:r>
      <w:r>
        <w:t xml:space="preserve"> a comprehensive perspective of model performance, understanding the underlying theory of each metric helps avoid misleading conclusions. Additionally, </w:t>
      </w:r>
      <w:proofErr w:type="gramStart"/>
      <w:r>
        <w:t>biased</w:t>
      </w:r>
      <w:proofErr w:type="gramEnd"/>
      <w:r w:rsidR="00073DEC">
        <w:t xml:space="preserve"> or over-optimistic estimations of model performance usually come from inappropriately conducting cross-validation</w:t>
      </w:r>
      <w:r>
        <w:t xml:space="preserve"> (</w:t>
      </w:r>
      <w:r w:rsidRPr="005873B4">
        <w:rPr>
          <w:b/>
          <w:bCs/>
        </w:rPr>
        <w:t>CV</w:t>
      </w:r>
      <w:r>
        <w:t xml:space="preserve">), a technique to simulate unseen data for model evaluation. Common pitfalls include using the </w:t>
      </w:r>
      <w:r w:rsidR="001E0F22">
        <w:rPr>
          <w:rFonts w:hint="eastAsia"/>
        </w:rPr>
        <w:t>exact</w:t>
      </w:r>
      <w:r>
        <w:t xml:space="preserve"> data for both </w:t>
      </w:r>
      <w:r w:rsidR="002C2805">
        <w:rPr>
          <w:rFonts w:hint="eastAsia"/>
        </w:rPr>
        <w:t>training and model assessment</w:t>
      </w:r>
      <w:r>
        <w:t xml:space="preserve">, excluding </w:t>
      </w:r>
      <w:r w:rsidR="002C2805">
        <w:t xml:space="preserve">the </w:t>
      </w:r>
      <w:r>
        <w:t>model selection process from CV, and neglecting experimental block effects. This review uses a series of hypothetical examples to demonstrate these pitfalls</w:t>
      </w:r>
      <w:r w:rsidR="00B735F6">
        <w:rPr>
          <w:rFonts w:hint="eastAsia"/>
        </w:rPr>
        <w:t xml:space="preserve">. </w:t>
      </w:r>
      <w:r w:rsidR="00F5740C">
        <w:t>With the examples, it</w:t>
      </w:r>
      <w:r w:rsidR="00B735F6">
        <w:rPr>
          <w:rFonts w:hint="eastAsia"/>
        </w:rPr>
        <w:t xml:space="preserve"> is</w:t>
      </w:r>
      <w:r>
        <w:t xml:space="preserve"> anticipated </w:t>
      </w:r>
      <w:r w:rsidR="00B735F6">
        <w:rPr>
          <w:rFonts w:hint="eastAsia"/>
        </w:rPr>
        <w:t>to address furth</w:t>
      </w:r>
      <w:r w:rsidR="00B735F6">
        <w:t>er</w:t>
      </w:r>
      <w:r>
        <w:t xml:space="preserve"> concerns in model evaluation</w:t>
      </w:r>
      <w:r w:rsidR="00B67B16">
        <w:t xml:space="preserve">. </w:t>
      </w:r>
      <w:r w:rsidR="00896B84">
        <w:t xml:space="preserve">For </w:t>
      </w:r>
      <w:r w:rsidR="00F5740C">
        <w:t>instance</w:t>
      </w:r>
      <w:r w:rsidR="00896B84">
        <w:t xml:space="preserve">, </w:t>
      </w:r>
      <w:r>
        <w:t>how to</w:t>
      </w:r>
      <w:r w:rsidR="00517EF4">
        <w:t xml:space="preserve"> appropriately</w:t>
      </w:r>
      <w:r>
        <w:t xml:space="preserve"> report model performance when the dataset is imbalanced in binary classification</w:t>
      </w:r>
      <w:r w:rsidR="006651B0">
        <w:t>?</w:t>
      </w:r>
      <w:r>
        <w:rPr>
          <w:rFonts w:hint="eastAsia"/>
        </w:rPr>
        <w:t xml:space="preserve"> </w:t>
      </w:r>
      <w:r>
        <w:t xml:space="preserve">How to </w:t>
      </w:r>
      <w:r w:rsidR="006D6018">
        <w:t>include</w:t>
      </w:r>
      <w:r w:rsidR="00553776">
        <w:t xml:space="preserve"> feature selection</w:t>
      </w:r>
      <w:r w:rsidR="00726D8E">
        <w:t xml:space="preserve"> and hyperparameter tuning</w:t>
      </w:r>
      <w:r w:rsidR="005912FA">
        <w:t xml:space="preserve"> in a CV</w:t>
      </w:r>
      <w:r>
        <w:t>? How to unbiasedly estimate a model performance with limited samples?</w:t>
      </w:r>
    </w:p>
    <w:p w14:paraId="70076781" w14:textId="0C3420A2" w:rsidR="005E41A5" w:rsidRDefault="007D175C" w:rsidP="002021B6">
      <w:pPr>
        <w:ind w:firstLine="720"/>
      </w:pPr>
      <w:r>
        <w:t xml:space="preserve">This review is organized into two key sections that explore the various facets of model performance </w:t>
      </w:r>
      <w:r w:rsidR="00896B84">
        <w:t>metrics</w:t>
      </w:r>
      <w:r>
        <w:t xml:space="preserve"> and validation in depth. In addition to the brief overview in this first section, </w:t>
      </w:r>
      <w:r w:rsidRPr="00AE424B">
        <w:rPr>
          <w:b/>
          <w:bCs/>
        </w:rPr>
        <w:t>section 2</w:t>
      </w:r>
      <w:r>
        <w:t xml:space="preserve"> delves into the metrics used for assessing model performance, with </w:t>
      </w:r>
      <w:r w:rsidRPr="00386AF9">
        <w:rPr>
          <w:b/>
          <w:bCs/>
        </w:rPr>
        <w:t>subsection 2.</w:t>
      </w:r>
      <w:r w:rsidR="008E03AA" w:rsidRPr="00386AF9">
        <w:rPr>
          <w:b/>
          <w:bCs/>
        </w:rPr>
        <w:t xml:space="preserve"> </w:t>
      </w:r>
      <w:r w:rsidRPr="00386AF9">
        <w:rPr>
          <w:b/>
          <w:bCs/>
        </w:rPr>
        <w:t>a</w:t>
      </w:r>
      <w:r>
        <w:t xml:space="preserve"> focusing on regression metrics and </w:t>
      </w:r>
      <w:r w:rsidRPr="00386AF9">
        <w:rPr>
          <w:b/>
          <w:bCs/>
        </w:rPr>
        <w:t>subsection 2.</w:t>
      </w:r>
      <w:r w:rsidR="00823B22" w:rsidRPr="00386AF9">
        <w:rPr>
          <w:b/>
          <w:bCs/>
        </w:rPr>
        <w:t xml:space="preserve"> </w:t>
      </w:r>
      <w:r w:rsidRPr="00386AF9">
        <w:rPr>
          <w:b/>
          <w:bCs/>
        </w:rPr>
        <w:t>b</w:t>
      </w:r>
      <w:r>
        <w:t xml:space="preserve"> examining classification metrics. </w:t>
      </w:r>
      <w:r w:rsidRPr="0086778C">
        <w:rPr>
          <w:b/>
          <w:bCs/>
        </w:rPr>
        <w:t>Section 3</w:t>
      </w:r>
      <w:r>
        <w:t xml:space="preserve"> is dedicated to the validation techniques essential for ensuring model reliability and includes discussions on bias and variance (</w:t>
      </w:r>
      <w:r w:rsidRPr="00231DCE">
        <w:rPr>
          <w:b/>
          <w:bCs/>
        </w:rPr>
        <w:t>subsection 3.</w:t>
      </w:r>
      <w:r w:rsidR="00823B22" w:rsidRPr="00231DCE">
        <w:rPr>
          <w:b/>
          <w:bCs/>
        </w:rPr>
        <w:t xml:space="preserve"> </w:t>
      </w:r>
      <w:r w:rsidRPr="00231DCE">
        <w:rPr>
          <w:b/>
          <w:bCs/>
        </w:rPr>
        <w:t>a</w:t>
      </w:r>
      <w:r>
        <w:t>), model selection methodologies (</w:t>
      </w:r>
      <w:r w:rsidRPr="00386AF9">
        <w:rPr>
          <w:b/>
          <w:bCs/>
        </w:rPr>
        <w:t>subsection 3.</w:t>
      </w:r>
      <w:r w:rsidR="00823B22" w:rsidRPr="00386AF9">
        <w:rPr>
          <w:b/>
          <w:bCs/>
        </w:rPr>
        <w:t xml:space="preserve"> </w:t>
      </w:r>
      <w:r w:rsidRPr="00386AF9">
        <w:rPr>
          <w:b/>
          <w:bCs/>
        </w:rPr>
        <w:t>b</w:t>
      </w:r>
      <w:r>
        <w:t>), and the application of block cross-validation strategies (</w:t>
      </w:r>
      <w:r w:rsidRPr="00386AF9">
        <w:rPr>
          <w:b/>
          <w:bCs/>
        </w:rPr>
        <w:t>subsection 3.</w:t>
      </w:r>
      <w:r w:rsidR="00B1634F" w:rsidRPr="00386AF9">
        <w:rPr>
          <w:b/>
          <w:bCs/>
        </w:rPr>
        <w:t xml:space="preserve"> </w:t>
      </w:r>
      <w:r w:rsidRPr="00386AF9">
        <w:rPr>
          <w:b/>
          <w:bCs/>
        </w:rPr>
        <w:t>c</w:t>
      </w:r>
      <w:r>
        <w:t xml:space="preserve">). </w:t>
      </w:r>
      <w:r w:rsidR="00964FB6">
        <w:t xml:space="preserve">A computational simulation was conducted to provide a hypothetical example in each subsection, accompanied </w:t>
      </w:r>
      <w:r w:rsidR="000F6AFB">
        <w:t>by</w:t>
      </w:r>
      <w:r w:rsidR="00964FB6">
        <w:t xml:space="preserve"> several literature as real-world examples to illustrate concepts from both theoretical and practical perspectives. </w:t>
      </w:r>
      <w:r w:rsidR="0050176B">
        <w:t>Lastly</w:t>
      </w:r>
      <w:r w:rsidR="00451FFC" w:rsidRPr="00451FFC">
        <w:t>,</w:t>
      </w:r>
      <w:r w:rsidR="00451FFC">
        <w:t xml:space="preserve"> </w:t>
      </w:r>
      <w:r w:rsidR="00451FFC">
        <w:rPr>
          <w:b/>
          <w:bCs/>
        </w:rPr>
        <w:t>S</w:t>
      </w:r>
      <w:r w:rsidR="00451FFC" w:rsidRPr="00451FFC">
        <w:rPr>
          <w:b/>
          <w:bCs/>
        </w:rPr>
        <w:t>ection 4</w:t>
      </w:r>
      <w:r w:rsidR="00451FFC">
        <w:t xml:space="preserve"> summarizes key points and recommendations for future research.</w:t>
      </w:r>
      <w:r w:rsidR="00E12F25">
        <w:t xml:space="preserve"> </w:t>
      </w:r>
    </w:p>
    <w:p w14:paraId="5BA7C69C" w14:textId="1B2FFC06" w:rsidR="00D424DA" w:rsidRDefault="00D424DA">
      <w:pPr>
        <w:jc w:val="left"/>
      </w:pPr>
      <w:r>
        <w:br w:type="page"/>
      </w:r>
    </w:p>
    <w:p w14:paraId="7E4299B9" w14:textId="7C8E66FD" w:rsidR="00396134" w:rsidRDefault="00013BFC" w:rsidP="00396134">
      <w:pPr>
        <w:pStyle w:val="Heading1"/>
      </w:pPr>
      <w:r>
        <w:lastRenderedPageBreak/>
        <w:t xml:space="preserve">2. </w:t>
      </w:r>
      <w:r w:rsidRPr="00672DF6">
        <w:t>Performance Metric</w:t>
      </w:r>
    </w:p>
    <w:p w14:paraId="45B9C523" w14:textId="0F220CFE" w:rsidR="008B256E" w:rsidRDefault="00445735" w:rsidP="00530B04">
      <w:pPr>
        <w:ind w:firstLine="720"/>
      </w:pPr>
      <w:r>
        <w:t xml:space="preserve">Performance metrics serve as quantitative indicators for evaluating model performance. They are </w:t>
      </w:r>
      <w:r w:rsidR="00602B79">
        <w:t>critical</w:t>
      </w:r>
      <w:r>
        <w:t xml:space="preserve"> for benchmarking various modeling approaches and validating hypotheses. </w:t>
      </w:r>
      <w:r w:rsidR="006950C2">
        <w:t>Choosing appropriate metrics while testing a hypothesis is crucial</w:t>
      </w:r>
      <w:r w:rsidR="00A5429A">
        <w:t xml:space="preserve">, as a wrong selection may lead to an overly optimistic conclusion. This section </w:t>
      </w:r>
      <w:r w:rsidR="001076DF">
        <w:t>introduces commonly used performance metrics and highlights</w:t>
      </w:r>
      <w:r w:rsidR="00A5429A">
        <w:t xml:space="preserve"> potential pitfalls that researchers should be cautious of.</w:t>
      </w:r>
    </w:p>
    <w:p w14:paraId="02CCB8FE" w14:textId="13852284" w:rsidR="008B256E" w:rsidRDefault="00353091" w:rsidP="00C51E4D">
      <w:pPr>
        <w:pStyle w:val="Heading2"/>
      </w:pPr>
      <w:r>
        <w:t>2.</w:t>
      </w:r>
      <w:r w:rsidR="002E66A5">
        <w:t xml:space="preserve"> </w:t>
      </w:r>
      <w:r>
        <w:t xml:space="preserve">a </w:t>
      </w:r>
      <w:r w:rsidR="00546CF3" w:rsidRPr="00C51E4D">
        <w:t>Regression</w:t>
      </w:r>
    </w:p>
    <w:p w14:paraId="1697A3DF" w14:textId="76300184" w:rsidR="003B39E5" w:rsidRDefault="00445735" w:rsidP="00635641">
      <w:pPr>
        <w:ind w:firstLine="720"/>
      </w:pPr>
      <w:r>
        <w:t xml:space="preserve">A regression model aims to predict a continuous variable and is commonly employed in </w:t>
      </w:r>
      <w:r w:rsidR="004F3649">
        <w:t>div</w:t>
      </w:r>
      <w:r w:rsidR="00D50D82">
        <w:t>erse</w:t>
      </w:r>
      <w:r>
        <w:t xml:space="preserve"> applications, such as estimating </w:t>
      </w:r>
      <w:r w:rsidR="00353AD8">
        <w:t xml:space="preserve">body condition scores </w:t>
      </w:r>
      <w:r w:rsidR="00664105">
        <w:fldChar w:fldCharType="begin"/>
      </w:r>
      <w:r w:rsidR="00C54F10">
        <w:instrText xml:space="preserve"> ADDIN ZOTERO_ITEM CSL_CITATION {"citationID":"qFPejXFk","properties":{"formattedCitation":"(Spoliansky et al., 2016; Yukun et al., 2019)","plainCitation":"(Spoliansky et al., 2016; Yukun et al., 2019)","noteIndex":0},"citationItems":[{"id":3695,"uris":["http://zotero.org/users/5933671/items/XWQBHVFL"],"itemData":{"id":3695,"type":"article-journal","abstract":"Body condition scoring (BCS) is a farm-management tool for estimating dairy cows’ energy reserves. Today, BCS is performed manually by experts. This paper presents a 3-dimensional algorithm that provides a topographical understanding of the cow’s body to estimate BCS. An automatic BCS system consisting of a Kinect camera (Microsoft Corp., Redmond, WA) triggered by a passive infrared motion detector was designed and implemented. Image processing and regression algorithms were developed and included the following steps: (1) image restoration, the removal of noise; (2) object recognition and separation, identification and separation of the cows; (3) movie and image selection, selection of movies and frames that include the relevant data; (4) image rotation, alignment of the cow parallel to the x-axis; and (5) image cropping and normalization, removal of irrelevant data, setting the image size to 150×200 pixels, and normalizing image values. All steps were performed automatically, including image selection and classification. Fourteen individual features per cow, derived from the cows’ topography, were automatically extracted from the movies and from the farm’s herd-management records. These features appear to be measurable in a commercial farm. Manual BCS was performed by a trained expert and compared with the output of the training set. A regression model was developed, correlating the features with the manual BCS references. Data were acquired for 4 d, resulting in a database of 422 movies of 101 cows. Movies containing cows’ back ends were automatically selected (389 movies). The data were divided into a training set of 81 cows and a test set of 20 cows; both sets included the identical full range of BCS classes. Accuracy tests gave a mean absolute error of 0.26, median absolute error of 0.19, and coefficient of determination of 0.75, with 100% correct classification within 1 step and 91% correct classification within a half step for BCS classes. Results indicated good repeatability, with all standard deviations under 0.33. The algorithm is independent of the background and requires 10 cows for training with approximately 30 movies of 4 s each.","container-title":"Journal of Dairy Science","DOI":"10.3168/jds.2015-10607","ISSN":"0022-0302","issue":"9","journalAbbreviation":"Journal of Dairy Science","page":"7714-7725","source":"ScienceDirect","title":"Development of automatic body condition scoring using a low-cost 3-dimensional Kinect camera","volume":"99","author":[{"family":"Spoliansky","given":"Roii"},{"family":"Edan","given":"Yael"},{"family":"Parmet","given":"Yisrael"},{"family":"Halachmi","given":"Ilan"}],"issued":{"date-parts":[["2016",9,1]]}}},{"id":3686,"uris":["http://zotero.org/users/5933671/items/Y6H7PSSP"],"itemData":{"id":3686,"type":"article-journal","abstract":"Body condition score (BCS) is a common tool for indirectly estimating the mobilization of energy reserves in the fat and muscle of cattle that meets the requirements of animal welfare and precision livestock farming for the effective monitoring of individual animals. However, previous studies on automatic BCS systems have used manual scoring for data collection, and traditional image extraction methods have limited model performance accuracy. In addition, the radio frequency identification device system commonly used in ranching has the disadvantages of misreadings and damage to bovine bodies. Therefore, the aim of this research was to develop and validate an automatic system for identifying individuals and assessing BCS using a deep learning framework. This work developed a linear regression model of BCS using ultrasound backfat thickness to determine BCS for training sets and tested a system based on convolutional neural networks with 3 channels, including depth, gray, and phase congruency, to analyze the back images of 686 cows. After we performed an analysis of image model performance, online verification was used to evaluate the accuracy and precision of the system. The results showed that the selected linear regression model had a high coefficient of determination value (0.976), and the correlation coefficient between manual BCS and ultrasonic BCS was 0.94. Although the overall accuracy of the BCS estimations was high (0.45, 0.77, and 0.98 within 0, 0.25, and 0.5 unit, respectively), the validation for actual BCS ranging from 3.25 to 3.5 was weak (the F1 scores were only 0.6 and 0.57, respectively, within the 0.25-unit range). Overall, individual identification and BCS assessment performed well in the online measurement, with accuracies of 0.937 and 0.409, respectively. A system for individual identification and BCS assessment was developed, and a convolutional neural network using depth, gray, and phase congruency channels to interpret image features exhibited advantages for monitoring thin cows.","container-title":"Journal of Dairy Science","DOI":"10.3168/jds.2018-16164","ISSN":"0022-0302","issue":"11","journalAbbreviation":"Journal of Dairy Science","page":"10140-10151","source":"ScienceDirect","title":"Automatic monitoring system for individual dairy cows based on a deep learning framework that provides identification via body parts and estimation of body condition score","volume":"102","author":[{"family":"Yukun","given":"Sun"},{"family":"Pengju","given":"Huo"},{"family":"Yujie","given":"Wang"},{"family":"Ziqi","given":"Cui"},{"family":"Yang","given":"Li"},{"family":"Baisheng","given":"Dai"},{"family":"Runze","given":"Li"},{"family":"Yonggen","given":"Zhang"}],"issued":{"date-parts":[["2019",11,1]]}}}],"schema":"https://github.com/citation-style-language/schema/raw/master/csl-citation.json"} </w:instrText>
      </w:r>
      <w:r w:rsidR="00664105">
        <w:fldChar w:fldCharType="separate"/>
      </w:r>
      <w:r w:rsidR="00C54F10">
        <w:rPr>
          <w:noProof/>
        </w:rPr>
        <w:t>(Spoliansky et al., 2016; Yukun et al., 2019)</w:t>
      </w:r>
      <w:r w:rsidR="00664105">
        <w:fldChar w:fldCharType="end"/>
      </w:r>
      <w:r w:rsidR="00DE5DF5">
        <w:t xml:space="preserve">, body weight </w:t>
      </w:r>
      <w:r w:rsidR="00DE5DF5">
        <w:fldChar w:fldCharType="begin"/>
      </w:r>
      <w:r w:rsidR="00B129C9">
        <w:instrText xml:space="preserve"> ADDIN ZOTERO_ITEM CSL_CITATION {"citationID":"JIRrYsCz","properties":{"formattedCitation":"(Song et al., 2018; Xavier et al., 2022)","plainCitation":"(Song et al., 2018; Xavier et al., 2022)","noteIndex":0},"citationItems":[{"id":3635,"uris":["http://zotero.org/users/5933671/items/ULIDDU3N"],"itemData":{"id":3635,"type":"article-journal","abstract":"The objectives of this study were to quantify the error of body weight prediction using automatically measured morphological traits in a 3-dimensional (3D) vision system and to assess the influence of various sources of uncertainty on body weight prediction. In this case study, an image acquisition setup was created in a cow selection box equipped with a top-view 3-D camera. Morphological traits of hip height, hip width, and rump length were automatically extracted from the raw 3-D images taken of the rump area of dairy cows (n = 30). These traits combined with days in milk, age, and parity were used in multiple linear regression models to predict body weight. To find the best prediction model, an exhaustive feature selection algorithm was used to build intermediate models (n = 63). Each model was validated by leave-one-out crossvalidation, giving the root mean square error and mean absolute percentage error. The model consisting of hip width (measurement variability of 0.006 m), days in milk, and parity was the best model, with the lowest errors of 41.2 kg of root mean square error and 5.2% mean absolute percentage error. Our integrated system, including the image acquisition setup, image analysis, and the best prediction model, predicted the body weights with a performance similar to that achieved using semi-automated or manual methods. Moreover, the variability of our simplified morphological trait measurement showed a negligible contribution to the uncertainty of body weight prediction. We suggest that dairy cow body weight prediction can be improved by incorporating more predictive morphological traits and by improving the prediction model structure.","container-title":"Journal of Dairy Science","DOI":"10.3168/jds.2017-13094","ISSN":"00220302","issue":"5","journalAbbreviation":"Journal of Dairy Science","language":"en","page":"4448-4459","source":"DOI.org (Crossref)","title":"Automated body weight prediction of dairy cows using 3-dimensional vision","volume":"101","author":[{"family":"Song","given":"X."},{"family":"Bokkers","given":"E.A.M."},{"family":"Van Der Tol","given":"P.P.J."},{"family":"Groot Koerkamp","given":"P.W.G."},{"family":"Van Mourik","given":"S."}],"issued":{"date-parts":[["2018",5]]}}},{"id":3684,"uris":["http://zotero.org/users/5933671/items/VW8TEBEQ"],"itemData":{"id":3684,"type":"article-journal","abstract":"Three-dimensional (3D) imaging offers new possibilities in animal phenotyping. Here, we investigated how this technology can be used to study the morphological changes that occur in dairy cows over the course of a single lactation. First, we estimated the individual body weight (BW) of dairy cows using traits measured with 3D images. To improve the quality of prediction, we monitored body growth (via 3D imaging), gut fill (via individual dry matter intake), and body reserves (via body condition score) throughout lactation. A group of 16 Holstein cows—8 in their first lactation, 4 in their second lactation, and 4 in their third or higher lactation—was scanned in 3D once a month for an entire lactation. Values of morphological traits (e.g., chest depth or hip width) increased continuously with parity, but cows in their first lactation experienced the largest increase during the monitoring period. Values of partial volume, estimated from point of shoulder to pin bone, predicted BW with an error of 25.4 kg (R2 = 0.92), which was reduced to 14.3 kg when the individual effect of cows was added to the estimation model. The model was further improved by the addition of partial surface area (from point of shoulder to pin bone), hip width, chest depth, diagonal length, and heart girth, which increased the R2 of BW prediction to 0.94 and decreased root mean square error to 22.1 kg. The different slopes for individual cows were partly explained by body condition score and morphological traits, indicating that they may have reflected differences in body density among animals. Changes in BW over the course of lactation were mostly due to changes in growth, which accounted for around two-thirds of BW gain regardless of parity. Body reserves and gut fill had smaller but still notable effects on body composition, with a higher gain in body reserves and gut fill for cows in their first lactation compared with multiparous cows. This work demonstrated the potential for rapid and low-cost 3D imaging to facilitate the monitoring of several traits of high interest in dairy livestock farming.","container-title":"Journal of Dairy Science","DOI":"10.3168/jds.2021-21337","ISSN":"0022-0302","issue":"5","journalAbbreviation":"Journal of Dairy Science","page":"4508-4519","source":"ScienceDirect","title":"The use of 3-dimensional imaging of Holstein cows to estimate body weight and monitor the composition of body weight change throughout lactation","volume":"105","author":[{"family":"Xavier","given":"C."},{"family":"Le Cozler","given":"Y."},{"family":"Depuille","given":"L."},{"family":"Caillot","given":"A."},{"family":"Lebreton","given":"A."},{"family":"Allain","given":"C."},{"family":"Delouard","given":"J. M."},{"family":"Delattre","given":"L."},{"family":"Luginbuhl","given":"T."},{"family":"Faverdin","given":"P."},{"family":"Fischer","given":"A."}],"issued":{"date-parts":[["2022",5,1]]}}}],"schema":"https://github.com/citation-style-language/schema/raw/master/csl-citation.json"} </w:instrText>
      </w:r>
      <w:r w:rsidR="00DE5DF5">
        <w:fldChar w:fldCharType="separate"/>
      </w:r>
      <w:r w:rsidR="00B129C9">
        <w:rPr>
          <w:noProof/>
        </w:rPr>
        <w:t>(Song et al., 2018; Xavier et al., 2022)</w:t>
      </w:r>
      <w:r w:rsidR="00DE5DF5">
        <w:fldChar w:fldCharType="end"/>
      </w:r>
      <w:r w:rsidR="00B129C9">
        <w:t xml:space="preserve">, </w:t>
      </w:r>
      <w:r w:rsidR="00726C99">
        <w:t>milk</w:t>
      </w:r>
      <w:r w:rsidR="00393985">
        <w:t xml:space="preserve"> composition </w:t>
      </w:r>
      <w:r w:rsidR="00122504">
        <w:fldChar w:fldCharType="begin"/>
      </w:r>
      <w:r w:rsidR="00726A21">
        <w:instrText xml:space="preserve"> ADDIN ZOTERO_ITEM CSL_CITATION {"citationID":"abwsnqBP","properties":{"formattedCitation":"(M\\uc0\\u228{}ntysaari et al., 2019; Frizzarin et al., 2021; Rovere et al., 2021; Mota et al., 2022)","plainCitation":"(Mäntysaari et al., 2019; Frizzarin et al., 2021; Rovere et al., 2021; Mota et al., 2022)","noteIndex":0},"citationItems":[{"id":3619,"uris":["http://zotero.org/users/5933671/items/9P4XPBJE"],"itemData":{"id":3619,"type":"article-journal","container-title":"Journal of Dairy Science","DOI":"10.3168/jds.2018-15792","ISSN":"00220302","issue":"9","journalAbbreviation":"Journal of Dairy Science","language":"en","page":"7904-7916","source":"DOI.org (Crossref)","title":"Body and milk traits as indicators of dairy cow energy status in early lactation","volume":"102","author":[{"family":"Mäntysaari","given":"P."},{"family":"Mäntysaari","given":"E.A."},{"family":"Kokkonen","given":"T."},{"family":"Mehtiö","given":"T."},{"family":"Kajava","given":"S."},{"family":"Grelet","given":"C."},{"family":"Lidauer","given":"P."},{"family":"Lidauer","given":"M.H."}],"issued":{"date-parts":[["2019",9]]}}},{"id":3602,"uris":["http://zotero.org/users/5933671/items/QYIGFPRE"],"itemData":{"id":3602,"type":"article-journal","abstract":"Numerous statistical machine learning methods suitable for application to highly correlated features, as those that exist for spectral data, could potentially improve prediction performance over the commonly used partial least squares approach. Milk samples from 622 individual cows with known detailed protein composition and technological trait data accompanied by mid-infrared spectra were available to assess the predictive ability of different regression and classification algorithms. The regression-based approaches were partial least squares regression (PLSR), ridge regression (RR), least absolute shrinkage and selection operator (LASSO), elastic net, principal component regression, projection pursuit regression, spike and slab regression, random forests, boosting decision trees, neural networks (NN), and a post-hoc approach of model averaging (MA). Several classification methods (i.e., partial least squares discriminant analysis (PLSDA), random forests, boosting decision trees, and support vector machines (SVM)) were also used after stratifying the traits of interest into categories. In the regression analyses, MA was the best prediction method for 6 of the 14 traits investigated [curd firmness at 60 min, αS1-casein (CN), αS2-CN, κ-CN, α-lactalbumin, and β-lactoglobulin B], whereas NN and RR were the best algorithms for 3 traits each (rennet coagulation time, curd-firming time, and heat stability, and curd firmness at 30 min, β-CN, and β-lactoglobulin A, respectively), PLSR was best for pH, and LASSO was best for CN micelle size. When traits were divided into 2 classes, SVM had the greatest accuracy for the majority of the traits investigated. Although the well-established PLSR-based method performed competitively, the application of statistical machine learning methods for regression analyses reduced the root mean square error compared with PLSR from between 0.18% (κ-CN) to 3.67% (heat stability). The use of modern statistical machine learning methods for trait prediction from mid-infrared spectroscopy may improve the prediction accuracy for some traits.","container-title":"Journal of Dairy Science","DOI":"10.3168/jds.2020-19576","ISSN":"0022-0302","issue":"7","journalAbbreviation":"Journal of Dairy Science","page":"7438-7447","source":"ScienceDirect","title":"Predicting cow milk quality traits from routinely available milk spectra using statistical machine learning methods","volume":"104","author":[{"family":"Frizzarin","given":"M."},{"family":"Gormley","given":"I. C."},{"family":"Berry","given":"D. P."},{"family":"Murphy","given":"T. B."},{"family":"Casa","given":"A."},{"family":"Lynch","given":"A."},{"family":"McParland","given":"S."}],"issued":{"date-parts":[["2021",7,1]]}}},{"id":3697,"uris":["http://zotero.org/users/5933671/items/YTGJ3HNB"],"itemData":{"id":3697,"type":"article-journal","abstract":"Fatty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J."}],"issued":{"date-parts":[["2021",10,1]]}}},{"id":3679,"uris":["http://zotero.org/users/5933671/items/RTN375TB"],"itemData":{"id":3679,"type":"article-journal","abstract":"Cheese-making traits in dairy cattle are important to the dairy industry but are difficult to measure at the individual level because there are limitations on collecting phenotypic information. Mid-infrared spectroscopy has its advantages, but it can only be used during monthly milk recordings. Recently, in-line devices for real-time analysis of milk quality have been developed. The AfiLab recording system (Afimilk) offers significant benefits as phenotypes can be collected from each cow at each milking session. The objective of this study was to assess the potential of integrating AfiLab real-time milk analyzer measures with the stacking ensemble learning technique using heterogeneous base learners for the in-line daily monitoring of cheese-making traits in Holstein cattle with a view to developing a precision livestock farming system for monitoring the technological quality of milk. Data and samples for wet-laboratory analyses were collected from 499 Holstein cows belonging to 2 farms where the AfiLab system was installed. The traits of concern were 9 milk coagulation traits [3 milk coagulation properties (MCP), and 6 curd firming traits (CFt)], and 7 cheese-making traits [3 cheese yield (CY) traits, and 4 milk nutrient recovery in the curd (REC) traits]. The near-infrared AfiLab spectral data and on-farm information (days in milk and parity) were used to assess the predictive ability of different statistical methods [elastic net (EN), gradient boosting machine (GBM), extreme gradient boosting (XGBoost), and artificial neural network (ANN)] across different cross-validation scenarios. These statistical methods were considered the base learners, which were then combined in a stacking ensemble learning. Results indicate that including information on the cows (days in milk and parity) in the AfiLab infrared prediction increased its accuracy by 10.3% for traditional MCP, 13.8% for curd firming, 9.8% for CY, and 11.2% for REC traits compared with those obtained from near-infrared AfiLab alone. The statistical approaches exhibited high prediction accuracies (R2) averaged across the cross-validation scenarios for traditional MCP (0.58 for ANN, 0.55 for EN and GBM, 0.52 for XGBoost, and 0.62 for stacking ensemble), CFt (0.55 for ANN, 0.54 for EN and GBM, 0.53 for XGBoost, and 0.61 for stacking ensemble), and similar R2 averages for CY and REC (0.55 for ANN, 0.54 for EN and GBM, 0.53 for XGBoost, and 0.61 for stacking ensemble). The ANN approach was more accurate than the other base learners (EN, GBM, and XGBoost) and improved accuracy across cross-validation scenarios on average by 7% for traditional MCP, 5% for CFt, 8% for CY, and 7% for REC. The stacking ensemble method improved prediction accuracy by 3% to 31% for traditional MCP, 2% to 26% for CFt, 1% to 38% for CY traits, and 2% to 27% for REC traits compared with the base learners. The prediction accuracies of the different approaches evaluated tended to decrease from the 10-fold cross-validation to the independent validation scenario, although there was a smaller reduction in prediction accuracy with the stacking ensemble learning technique across all the cross-validation scenarios. Our results show that combining in-line on-farm information with stacking ensemble machine learning represents an effective alternative for obtaining robust daily predictions of milk cheese-making traits.","container-title":"Journal of Dairy Science","DOI":"10.3168/jds.2021-21426","ISSN":"0022-0302","issue":"5","journalAbbreviation":"Journal of Dairy Science","page":"4237-4255","source":"ScienceDirect","title":"Real-time milk analysis integrated with stacking ensemble learning as a tool for the daily prediction of cheese-making traits in Holstein cattle","volume":"105","author":[{"family":"Mota","given":"Lucio F. M."},{"family":"Giannuzzi","given":"Diana"},{"family":"Bisutti","given":"Vittoria"},{"family":"Pegolo","given":"Sara"},{"family":"Trevisi","given":"Erminio"},{"family":"Schiavon","given":"Stefano"},{"family":"Gallo","given":"Luigi"},{"family":"Fineboym","given":"David"},{"family":"Katz","given":"Gil"},{"family":"Cecchinato","given":"Alessio"}],"issued":{"date-parts":[["2022",5,1]]}}}],"schema":"https://github.com/citation-style-language/schema/raw/master/csl-citation.json"} </w:instrText>
      </w:r>
      <w:r w:rsidR="00122504">
        <w:fldChar w:fldCharType="separate"/>
      </w:r>
      <w:r w:rsidR="00726A21" w:rsidRPr="00726A21">
        <w:rPr>
          <w:kern w:val="0"/>
        </w:rPr>
        <w:t>(</w:t>
      </w:r>
      <w:proofErr w:type="spellStart"/>
      <w:r w:rsidR="00726A21" w:rsidRPr="00726A21">
        <w:rPr>
          <w:kern w:val="0"/>
        </w:rPr>
        <w:t>Mäntysaari</w:t>
      </w:r>
      <w:proofErr w:type="spellEnd"/>
      <w:r w:rsidR="00726A21" w:rsidRPr="00726A21">
        <w:rPr>
          <w:kern w:val="0"/>
        </w:rPr>
        <w:t xml:space="preserve"> et al., 2019; </w:t>
      </w:r>
      <w:proofErr w:type="spellStart"/>
      <w:r w:rsidR="00726A21" w:rsidRPr="00726A21">
        <w:rPr>
          <w:kern w:val="0"/>
        </w:rPr>
        <w:t>Frizzarin</w:t>
      </w:r>
      <w:proofErr w:type="spellEnd"/>
      <w:r w:rsidR="00726A21" w:rsidRPr="00726A21">
        <w:rPr>
          <w:kern w:val="0"/>
        </w:rPr>
        <w:t xml:space="preserve"> et al., 2021; </w:t>
      </w:r>
      <w:proofErr w:type="spellStart"/>
      <w:r w:rsidR="00726A21" w:rsidRPr="00726A21">
        <w:rPr>
          <w:kern w:val="0"/>
        </w:rPr>
        <w:t>Rovere</w:t>
      </w:r>
      <w:proofErr w:type="spellEnd"/>
      <w:r w:rsidR="00726A21" w:rsidRPr="00726A21">
        <w:rPr>
          <w:kern w:val="0"/>
        </w:rPr>
        <w:t xml:space="preserve"> et al., 2021; </w:t>
      </w:r>
      <w:proofErr w:type="spellStart"/>
      <w:r w:rsidR="00726A21" w:rsidRPr="00726A21">
        <w:rPr>
          <w:kern w:val="0"/>
        </w:rPr>
        <w:t>Mota</w:t>
      </w:r>
      <w:proofErr w:type="spellEnd"/>
      <w:r w:rsidR="00726A21" w:rsidRPr="00726A21">
        <w:rPr>
          <w:kern w:val="0"/>
        </w:rPr>
        <w:t xml:space="preserve"> et al., 2022)</w:t>
      </w:r>
      <w:r w:rsidR="00122504">
        <w:fldChar w:fldCharType="end"/>
      </w:r>
      <w:r w:rsidR="00883BDB">
        <w:t xml:space="preserve">, </w:t>
      </w:r>
      <w:r w:rsidR="00AF1CE4">
        <w:t xml:space="preserve">efficiency in resource usage </w:t>
      </w:r>
      <w:r w:rsidR="00AF1CE4">
        <w:fldChar w:fldCharType="begin"/>
      </w:r>
      <w:r w:rsidR="00FD7175">
        <w:instrText xml:space="preserve"> ADDIN ZOTERO_ITEM CSL_CITATION {"citationID":"WganXkZ4","properties":{"formattedCitation":"(Appuhamy et al., 2016; de Souza et al., 2018; Grelet et al., 2020)","plainCitation":"(Appuhamy et al., 2016; de Souza et al., 2018; Grelet et al., 2020)","noteIndex":0},"citationItems":[{"id":3647,"uris":["http://zotero.org/users/5933671/items/ZG72SDIA"],"itemData":{"id":3647,"type":"article-journal","abstract":"Mathematical models that predict water intake by drinking, also known as free water intake (FWI), are useful in understanding water supply needed by animals on dairy farms. The majority of extant mathematical models for predicting FWI of dairy cows have been developed with data sets representing similar experimental conditions, not evaluated with modern cows, and often require dry matter intake (DMI) data, which may not be routinely available. The objectives of the study were to (1) develop a set of new empirical models for predicting FWI of lactating and dry cows with and without DMI using literature data, and (2) evaluate the new and the extant models using an independent set of FWI measurements made on modern cows. Random effect meta-regression analyses were conducted using 72 and 188 FWI treatment means with and without dietary electrolyte and daily mean ambient temperature (TMP) records, respectively, for lactating cows, and 19 FWI treatment means for dry cows. Milk yield, DMI, body weight, days in milk, dietary macro-nutrient contents, an aggregate milliequivalent concentration of dietary sodium and potassium (NaK), and TMP were used as potential covariates to the models. A model having positive relationships of DMI, dietary dry matter (DM%), and CP (CP%) contents, NaK, and TMP explained 76% of variability in FWI treatment means of lactating cows. When challenged on an independent data set (n=261), the model more accurately predicted FWI [root mean square prediction error as a percentage of average observed value (RMSPE%)=14.4%] compared with a model developed without NaK and TMP (RMSPE%=17.3%), and all extant models (RMSPE%≥15.7%). A model without DMI included positive relationships of milk yield, DM%, NaK, TMP, and days in milk, and explained 63% of variability in the FWI treatment means and performed well (RMSPE%=17.9%), when challenged on the independent data. New models for dry cows included positive relationships of DM% and TMP along with DMI or body weight. The new models with and without DMI explained 75 and 54% of the variability in FWI treatment means of dry cows and had RMSPE% of 12.8 and 15.2%, respectively, when evaluated with the literature data. The study offers a set of empirical models that can assist in determining drinking water needs of dairy farms.","container-title":"Journal of Dairy Science","DOI":"10.3168/jds.2016-10950","ISSN":"0022-0302","issue":"9","journalAbbreviation":"Journal of Dairy Science","page":"7191-7205","source":"ScienceDirect","title":"Prediction of drinking water intake by dairy cows","volume":"99","author":[{"family":"Appuhamy","given":"J. A. D. R. N."},{"family":"Judy","given":"J. V."},{"family":"Kebreab","given":"E."},{"family":"Kononoff","given":"P. J."}],"issued":{"date-parts":[["2016",9,1]]}}},{"id":3649,"uris":["http://zotero.org/users/5933671/items/DAW2U9QM"],"itemData":{"id":3649,"type":"article-journal","abstract":"Our objective was to determine the effects of dry matter intake (DMI), body weight (BW), and diet characteristics on total tract digestibilities of dry matter, neutral detergent fiber, and starch (DMD, NDFD, and StarchD, respectively) in high-producing dairy cows. Our database was composed of 1,942 observations from 662 cows in 54 studies from Michigan, Ohio, and Georgia. On average, cows ate 23 ± 4.5 kg of dry matter/d, weighed 669 ± 79 kg, and produced 38 ± 10 kg of milk/d. Diets were 31 ± 5% neutral detergent fiber, 27 ± 6% starch, 2.6 ± 1.2% fatty acids, and 17 ± 1.4% crude protein. Digestibility means were 66 ± 6, 42 ± 11, and 93 ± 5% for DMD, NDFD, and StarchD, respectively. Forage sources included corn silage, alfalfa, and grasses. Corn source was classified by its ruminal fermentability. Data were analyzed using a mixed effects model, including diet chemical composition, forage source, and corn source, all expressed as percentage of dry matter, except for DMI, which was expressed as percentage of BW (DMI%BW); location and 2-way interactions were fixed effects. Cow, block, period, treatment, and study were included as random effects. Best fitting candidate models were generated using backward and stepwise regression methods. Additionally, the simplest model was generated using only DMI and location as fixed effects and all random effects. Candidate models were cross-validated across studies, and the resulting predictive correlation coefficients across studies (PC) and root mean square error of prediction (RMSEP) were compared by t-test. For each nutrient, the digestibility model that resulted in the highest PC and lowest RMSEP was determined to be the best fitting model. We observed heterogeneous coefficients among the different locations, suggesting that specific location factors influenced digestibilities. The overall location-averaged best fitting prediction equations were: DMD = 69 − 0.83 × DMI%BW (PC = 0.22, RMSEP = 5.39); NDFD = 53 + 0.26 × grass %DM − 0.59 × starch %DM + 3.06 × DMI%BW − 0.46 × DMI%BW2 (PC = 0.53, RMSEP = 9.70); and StarchD = 96 + 0.19 × HFERM%DM − 0.12 × starch %DM − 1.13 × DMI%BW (PC = 0.34, RMSEP = 4.77); where HFERM%DM is highly-fermentable corn source as percentage of DM. Our results confirm that digestibility is reduced as DMI increases, albeit at a lower rate than that reported in National Research Council. Furthermore, dietary starch depresses NDFD. Whereas DMD can be predicted based on DMI only, the best predictions for NDFD and StarchD require diet characteristics in addition to DMI.","container-title":"Journal of Dairy Science","DOI":"10.3168/jds.2017-13344","ISSN":"0022-0302","issue":"2","journalAbbreviation":"Journal of Dairy Science","page":"1123-1135","source":"ScienceDirect","title":"Predicting nutrient digestibility in high-producing dairy cows","volume":"101","author":[{"family":"Souza","given":"R. A.","non-dropping-particle":"de"},{"family":"Tempelman","given":"R. J."},{"family":"Allen","given":"M. S."},{"family":"Weiss","given":"W. P."},{"family":"Bernard","given":"J. K."},{"family":"VandeHaar","given":"M. J."}],"issued":{"date-parts":[["2018",2,1]]}}},{"id":3604,"uris":["http://zotero.org/users/5933671/items/UHQREV9V"],"itemData":{"id":3604,"type":"article-journal","abstract":"Improving nitrogen use efficiency (NUE) at both the individual cow and the herd level has become a key target in dairy production systems, for both environmental and economic reasons. Cost-effective and large-scale phenotyping methods are required to improve NUE through genetic selection and by feeding and management strategies. The aim of this study was to evaluate the possibility of using mid-infrared (MIR) spectra of milk to predict individual dairy cow NUE during early lactation. Data were collected from 129 Holstein cows, from calving until 50 d in milk, in 3 research herds (Denmark, Ireland, and the UK). In 2 of the herds, diets were designed to challenge cows metabolically, whereas a diet reflecting local management practices was offered in the third herd. Nitrogen intake (kg/d) and nitrogen excreted in milk (kg/d) were calculated daily. Nitrogen use efficiency was calculated as the ratio between nitrogen in milk and nitrogen intake, and expressed as a percentage. Individual daily values for NUE ranged from 9.7 to 81.7%, with an average of 36.9% and standard deviation of 10.4%. Milk MIR spectra were recorded twice weekly and were standardized into a common format to avoid bias between apparatus or sampling periods. Regression models predicting NUE using milk MIR spectra were developed on 1,034 observations using partial least squares or support vector machines regression methods. The models were then evaluated through (1) a cross-validation using 10 subsets, (2) a cow validation excluding 25% of the cows to be used as a validation set, and (3) a diet validation excluding each of the diets one by one to be used as validation sets. The best statistical performances were obtained when using the support vector machines method. Inclusion of milk yield and lactation number as predictors, in combination with the spectra, also improved the calibration. In cross-validation, the best model predicted NUE with a coefficient of determination of cross-validation of 0.74 and a relative error of 14%, which is suitable to discriminate between low- and high-NUE cows. When performing the cow validation, the relative error remained at 14%, and during the diet validation the relative error ranged from 12 to 34%. In the diet validation, the models showed a lack of robustness, demonstrating difficulties in predicting NUE for diets and for samples that were not represented in the calibration data set. Hence, a need exists to integrate more data in the models to cover a maximum of variability regarding breeds, diets, lactation stages, management practices, seasons, MIR instruments, and geographic regions. Although the model needs to be validated and improved for use in routine conditions, these preliminary results showed that it was possible to obtain information on NUE through milk MIR spectra. This could potentially allow large-scale predictions to aid both further genetic and genomic studies, and the development of farm management tools.","container-title":"Journal of Dairy Science","DOI":"10.3168/jds.2019-17910","ISSN":"0022-0302","issue":"5","journalAbbreviation":"Journal of Dairy Science","page":"4435-4445","source":"ScienceDirect","title":"Potential of milk mid-infrared spectra to predict nitrogen use efficiency of individual dairy cows in early lactation","volume":"103","author":[{"family":"Grelet","given":"C."},{"family":"Froidmont","given":"E."},{"family":"Foldager","given":"L."},{"family":"Salavati","given":"M."},{"family":"Hostens","given":"M."},{"family":"Ferris","given":"C. P."},{"family":"Ingvartsen","given":"K. L."},{"family":"Crowe","given":"M. A."},{"family":"Sorensen","given":"M. T."},{"family":"Fernandez Pierna","given":"J. A."},{"family":"Vanlierde","given":"A."},{"family":"Gengler","given":"N."},{"family":"Dehareng","given":"F."}],"issued":{"date-parts":[["2020",5,1]]}}}],"schema":"https://github.com/citation-style-language/schema/raw/master/csl-citation.json"} </w:instrText>
      </w:r>
      <w:r w:rsidR="00AF1CE4">
        <w:fldChar w:fldCharType="separate"/>
      </w:r>
      <w:r w:rsidR="00FD7175">
        <w:rPr>
          <w:noProof/>
        </w:rPr>
        <w:t>(Appuhamy et al., 2016; de Souza et al., 2018; Grelet et al., 2020)</w:t>
      </w:r>
      <w:r w:rsidR="00AF1CE4">
        <w:fldChar w:fldCharType="end"/>
      </w:r>
      <w:r w:rsidR="00FD7175">
        <w:t xml:space="preserve">, and early-lactation behavior </w:t>
      </w:r>
      <w:r w:rsidR="001D666E">
        <w:fldChar w:fldCharType="begin"/>
      </w:r>
      <w:r w:rsidR="001D666E">
        <w:instrText xml:space="preserve"> ADDIN ZOTERO_ITEM CSL_CITATION {"citationID":"V97vzMtx","properties":{"formattedCitation":"(van Dixhoorn et al., 2018)","plainCitation":"(van Dixhoorn et al., 2018)","noteIndex":0},"citationItems":[{"id":3703,"uris":["http://zotero.org/users/5933671/items/HAQPEK9R"],"itemData":{"id":3703,"type":"article-journal","abstract":"The transition period is a demanding phase in the life of dairy cows. Metabolic and infectious disorders frequently occur in the first weeks after calving. To identify cows that are less able to cope with the transition period, physiologic or behavioral signals acquired with sensors might be useful. However, it is not yet clear which signals or combination of signals and which signal properties are most informative with respect to disease severity after calving. Sensor data on activity and behavior measurements as well as rumen and ear temperature data from 22 dairy cows were collected during a period starting 2 wk before expected parturition until 6 wk after parturition. During this period, the health status of each cow was clinically scored daily. A total deficit score (TDS) was calculated based on the clinical assessment, summarizing disease length and intensity for each cow. Different sensor data properties recorded during the period before calving as well as the period after calving were tested as a predictor for TDS using univariate analysis of covariance. To select the model with the best combination of signals and signal properties, we quantified the prediction accuracy for TDS in a multivariate model. Prediction accuracy for TDS increased when sensors were combined, using static and dynamic signal properties. Statistically, the most optimal linear combination of predictors consisted of average eating time, variance of daily ear temperature, and regularity of daily behavior patterns in the dry period. Our research indicates that a combination of static and dynamic sensor data properties could be used as indicators of cow resilience.","container-title":"Journal of Dairy Science","DOI":"10.3168/jds.2018-14779","ISSN":"0022-0302","issue":"11","journalAbbreviation":"Journal of Dairy Science","page":"10271-10282","source":"ScienceDirect","title":"Indicators of resilience during the transition period in dairy cows: A case study","title-short":"Indicators of resilience during the transition period in dairy cows","volume":"101","author":[{"family":"Dixhoorn","given":"I. D. E.","non-dropping-particle":"van"},{"family":"Mol","given":"R. M.","non-dropping-particle":"de"},{"family":"Werf","given":"J. T. N.","non-dropping-particle":"van der"},{"family":"Mourik","given":"S.","non-dropping-particle":"van"},{"family":"Reenen","given":"C. G.","non-dropping-particle":"van"}],"issued":{"date-parts":[["2018",11,1]]}}}],"schema":"https://github.com/citation-style-language/schema/raw/master/csl-citation.json"} </w:instrText>
      </w:r>
      <w:r w:rsidR="001D666E">
        <w:fldChar w:fldCharType="separate"/>
      </w:r>
      <w:r w:rsidR="001D666E">
        <w:rPr>
          <w:noProof/>
        </w:rPr>
        <w:t>(van Dixhoorn et al., 2018)</w:t>
      </w:r>
      <w:r w:rsidR="001D666E">
        <w:fldChar w:fldCharType="end"/>
      </w:r>
      <w:r w:rsidR="001D666E">
        <w:t>.</w:t>
      </w:r>
      <w:r>
        <w:t xml:space="preserve"> This section </w:t>
      </w:r>
      <w:r w:rsidR="003E4971">
        <w:t xml:space="preserve">explores </w:t>
      </w:r>
      <w:r>
        <w:t xml:space="preserve">three </w:t>
      </w:r>
      <w:r w:rsidR="005F1140">
        <w:t>common</w:t>
      </w:r>
      <w:r>
        <w:t xml:space="preserve"> metrics for evaluating regression models: Pearson Correlation Coefficient</w:t>
      </w:r>
      <w:r w:rsidR="00462141">
        <w:t xml:space="preserve"> </w:t>
      </w:r>
      <w:r w:rsidR="00B35DDD" w:rsidRPr="00B35DDD">
        <w:t>(</w:t>
      </w:r>
      <m:oMath>
        <m:r>
          <m:rPr>
            <m:nor/>
          </m:rPr>
          <w:rPr>
            <w:rFonts w:ascii="Cambria Math" w:hAnsi="Cambria Math"/>
            <w:b/>
            <w:bCs/>
          </w:rPr>
          <m:t>r</m:t>
        </m:r>
      </m:oMath>
      <w:r w:rsidR="00B35DDD" w:rsidRPr="00B35DDD">
        <w:t>)</w:t>
      </w:r>
      <w:r>
        <w:t>, Root Mean Squared Error (</w:t>
      </w:r>
      <w:r w:rsidRPr="00D341C3">
        <w:rPr>
          <w:b/>
          <w:bCs/>
        </w:rPr>
        <w:t>RMSE</w:t>
      </w:r>
      <w:r>
        <w:t>), and the Coefficient of Determination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t>).</w:t>
      </w:r>
    </w:p>
    <w:p w14:paraId="48015F81" w14:textId="77777777" w:rsidR="006C2616" w:rsidRDefault="006C2616" w:rsidP="006C2616">
      <w:pPr>
        <w:keepNext/>
        <w:spacing w:before="240"/>
        <w:jc w:val="center"/>
      </w:pPr>
      <w:r w:rsidRPr="00E26430">
        <w:rPr>
          <w:noProof/>
        </w:rPr>
        <w:drawing>
          <wp:inline distT="0" distB="0" distL="0" distR="0" wp14:anchorId="29DD5853" wp14:editId="73959037">
            <wp:extent cx="4619625" cy="4464157"/>
            <wp:effectExtent l="0" t="0" r="3175" b="6350"/>
            <wp:docPr id="1336514294" name="Picture 1336514294"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4294" name="Picture 1" descr="A group of graphs with different colored dots&#10;&#10;Description automatically generated"/>
                    <pic:cNvPicPr/>
                  </pic:nvPicPr>
                  <pic:blipFill>
                    <a:blip r:embed="rId9"/>
                    <a:stretch>
                      <a:fillRect/>
                    </a:stretch>
                  </pic:blipFill>
                  <pic:spPr>
                    <a:xfrm>
                      <a:off x="0" y="0"/>
                      <a:ext cx="4683816" cy="4526187"/>
                    </a:xfrm>
                    <a:prstGeom prst="rect">
                      <a:avLst/>
                    </a:prstGeom>
                  </pic:spPr>
                </pic:pic>
              </a:graphicData>
            </a:graphic>
          </wp:inline>
        </w:drawing>
      </w:r>
    </w:p>
    <w:p w14:paraId="77B9B18D" w14:textId="0842C413" w:rsidR="006C2616" w:rsidRDefault="006C2616" w:rsidP="006C2616">
      <w:pPr>
        <w:pStyle w:val="Caption"/>
      </w:pPr>
      <w:r w:rsidRPr="00FF58E4">
        <w:rPr>
          <w:b/>
          <w:bCs/>
        </w:rPr>
        <w:t xml:space="preserve">Figure </w:t>
      </w:r>
      <w:r w:rsidRPr="00FF58E4">
        <w:rPr>
          <w:b/>
          <w:bCs/>
        </w:rPr>
        <w:fldChar w:fldCharType="begin"/>
      </w:r>
      <w:r w:rsidRPr="00FF58E4">
        <w:rPr>
          <w:b/>
          <w:bCs/>
        </w:rPr>
        <w:instrText xml:space="preserve"> SEQ Figure \* ARABIC </w:instrText>
      </w:r>
      <w:r w:rsidRPr="00FF58E4">
        <w:rPr>
          <w:b/>
          <w:bCs/>
        </w:rPr>
        <w:fldChar w:fldCharType="separate"/>
      </w:r>
      <w:r w:rsidR="007A7577">
        <w:rPr>
          <w:b/>
          <w:bCs/>
          <w:noProof/>
        </w:rPr>
        <w:t>1</w:t>
      </w:r>
      <w:r w:rsidRPr="00FF58E4">
        <w:rPr>
          <w:b/>
          <w:bCs/>
        </w:rPr>
        <w:fldChar w:fldCharType="end"/>
      </w:r>
      <w:r w:rsidRPr="00FF58E4">
        <w:rPr>
          <w:b/>
          <w:bCs/>
        </w:rPr>
        <w:t>.</w:t>
      </w:r>
      <w:r>
        <w:t xml:space="preserve"> Scatter plots display the same observations against </w:t>
      </w:r>
      <w:r>
        <w:rPr>
          <w:rFonts w:hint="eastAsia"/>
        </w:rPr>
        <w:t>f</w:t>
      </w:r>
      <w:r>
        <w:t xml:space="preserve">our different prediction scenarios in the given hypothetical example. </w:t>
      </w:r>
      <w:r w:rsidRPr="002E4C77">
        <w:t xml:space="preserve">Scenario 1 serves as a baseline for the metrics, with any metric </w:t>
      </w:r>
      <w:r>
        <w:t>better</w:t>
      </w:r>
      <w:r w:rsidRPr="002E4C77">
        <w:t xml:space="preserve"> than the baseline highlighted in bold and underscored, and any worse metric colored in red</w:t>
      </w:r>
      <w:r>
        <w:t>.</w:t>
      </w:r>
    </w:p>
    <w:p w14:paraId="0BC13649" w14:textId="73A43AAF" w:rsidR="001407B2" w:rsidRDefault="00445735" w:rsidP="001407B2">
      <w:pPr>
        <w:ind w:firstLine="720"/>
      </w:pPr>
      <w:r>
        <w:lastRenderedPageBreak/>
        <w:t xml:space="preserve">In the hypothetical example </w:t>
      </w:r>
      <w:r w:rsidRPr="00990175">
        <w:t xml:space="preserve">depicted in </w:t>
      </w:r>
      <w:r w:rsidRPr="00DF0354">
        <w:rPr>
          <w:b/>
          <w:bCs/>
        </w:rPr>
        <w:t>Figure 1</w:t>
      </w:r>
      <w:r w:rsidRPr="00990175">
        <w:t xml:space="preserve">, 100 observations </w:t>
      </w:r>
      <w:r w:rsidR="0000744B">
        <w:t>were</w:t>
      </w:r>
      <w:r w:rsidRPr="00990175">
        <w:t xml:space="preserve"> generated from two separate normal distributions. The first 50 observations </w:t>
      </w:r>
      <w:r w:rsidR="0000744B">
        <w:t>were</w:t>
      </w:r>
      <w:r w:rsidRPr="00990175">
        <w:t xml:space="preserve"> drawn from a normal distribution with a mean o</w:t>
      </w:r>
      <w:r w:rsidR="00CA5B38">
        <w:t xml:space="preserve">f -3 </w:t>
      </w:r>
      <w:r w:rsidRPr="00990175">
        <w:t>and a standard deviation of 1, denoted as</w:t>
      </w:r>
      <w:r w:rsidR="00BB0B3D">
        <w:t xml:space="preserve"> </w:t>
      </w:r>
      <w:bookmarkStart w:id="0" w:name="OLE_LINK1"/>
      <w:bookmarkStart w:id="1" w:name="OLE_LINK2"/>
      <m:oMath>
        <m:r>
          <m:rPr>
            <m:scr m:val="script"/>
          </m:rPr>
          <w:rPr>
            <w:rFonts w:ascii="Cambria Math" w:hAnsi="Cambria Math"/>
          </w:rPr>
          <m:t>N</m:t>
        </m:r>
        <m:d>
          <m:dPr>
            <m:ctrlPr>
              <w:rPr>
                <w:rFonts w:ascii="Cambria Math" w:hAnsi="Cambria Math"/>
                <w:i/>
              </w:rPr>
            </m:ctrlPr>
          </m:dPr>
          <m:e>
            <m:r>
              <w:rPr>
                <w:rFonts w:ascii="Cambria Math" w:hAnsi="Cambria Math"/>
              </w:rPr>
              <m:t>-3, 1</m:t>
            </m:r>
          </m:e>
        </m:d>
      </m:oMath>
      <w:bookmarkEnd w:id="0"/>
      <w:bookmarkEnd w:id="1"/>
      <w:r w:rsidR="00BB0B3D">
        <w:t xml:space="preserve">. </w:t>
      </w:r>
      <w:r w:rsidRPr="00990175">
        <w:t xml:space="preserve">The remaining 50 observations </w:t>
      </w:r>
      <w:r w:rsidR="0000744B">
        <w:t>were</w:t>
      </w:r>
      <w:r w:rsidRPr="00990175">
        <w:t xml:space="preserve"> generated from another</w:t>
      </w:r>
      <w:r>
        <w:t xml:space="preserve"> normal distribution,</w:t>
      </w:r>
      <w:r w:rsidR="003037F8" w:rsidRPr="003037F8">
        <w:rPr>
          <w:rFonts w:ascii="Cambria Math" w:hAnsi="Cambria Math"/>
          <w:i/>
        </w:rPr>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3, 1</m:t>
            </m:r>
          </m:e>
        </m:d>
      </m:oMath>
      <w:r>
        <w:t>. Utilizing two distinct distributions serve</w:t>
      </w:r>
      <w:r w:rsidR="00A1062B">
        <w:t>d</w:t>
      </w:r>
      <w:r>
        <w:t xml:space="preserve"> to simulate experimental block effects, preset at a magnitude of 6 units for this experiment.</w:t>
      </w:r>
      <w:r w:rsidR="009672F2">
        <w:t xml:space="preserve"> </w:t>
      </w:r>
      <w:r w:rsidR="001407B2">
        <w:t xml:space="preserve">Based on the simulated observations, four scenarios of predictions </w:t>
      </w:r>
      <w:r w:rsidR="008D3104">
        <w:t>were</w:t>
      </w:r>
      <w:r w:rsidR="001407B2">
        <w:t xml:space="preserve"> derived according to the setting</w:t>
      </w:r>
      <w:r w:rsidR="002064A0">
        <w:t xml:space="preserve"> below</w:t>
      </w:r>
      <w:r w:rsidR="001407B2">
        <w:t>:</w:t>
      </w:r>
    </w:p>
    <w:p w14:paraId="7605E657" w14:textId="3583EB65" w:rsidR="000F4C32" w:rsidRPr="000F4C32" w:rsidRDefault="000F4C32" w:rsidP="000F4C32">
      <w:pPr>
        <w:pStyle w:val="ListParagraph"/>
        <w:numPr>
          <w:ilvl w:val="0"/>
          <w:numId w:val="1"/>
        </w:numPr>
      </w:pPr>
      <w:r w:rsidRPr="000F4C32">
        <w:rPr>
          <w:i/>
          <w:iCs/>
        </w:rPr>
        <w:t>Scenario 1</w:t>
      </w:r>
      <w:r w:rsidRPr="000F4C32">
        <w:t xml:space="preserve">: To establish a correlation relationship, the observations were multiplied by 0.3, followed by the addition of random noise </w:t>
      </w:r>
      <m:oMath>
        <m:r>
          <m:rPr>
            <m:scr m:val="script"/>
          </m:rPr>
          <w:rPr>
            <w:rFonts w:ascii="Cambria Math" w:hAnsi="Cambria Math"/>
          </w:rPr>
          <m:t>N</m:t>
        </m:r>
        <m:d>
          <m:dPr>
            <m:ctrlPr>
              <w:rPr>
                <w:rFonts w:ascii="Cambria Math" w:hAnsi="Cambria Math"/>
                <w:i/>
              </w:rPr>
            </m:ctrlPr>
          </m:dPr>
          <m:e>
            <m:r>
              <w:rPr>
                <w:rFonts w:ascii="Cambria Math" w:hAnsi="Cambria Math"/>
              </w:rPr>
              <m:t>0, 0.7</m:t>
            </m:r>
          </m:e>
        </m:d>
      </m:oMath>
      <w:r w:rsidRPr="000F4C32">
        <w:t xml:space="preserve"> to introduce prediction errors.</w:t>
      </w:r>
    </w:p>
    <w:p w14:paraId="117EEA6D" w14:textId="77777777" w:rsidR="00266D70" w:rsidRPr="00266D70" w:rsidRDefault="000F4C32" w:rsidP="000F4C32">
      <w:pPr>
        <w:pStyle w:val="ListParagraph"/>
        <w:numPr>
          <w:ilvl w:val="0"/>
          <w:numId w:val="1"/>
        </w:numPr>
        <w:rPr>
          <w:bCs/>
        </w:rPr>
      </w:pPr>
      <w:r w:rsidRPr="000F4C32">
        <w:rPr>
          <w:bCs/>
          <w:i/>
          <w:iCs/>
        </w:rPr>
        <w:t xml:space="preserve">Scenario 2: </w:t>
      </w:r>
      <w:r w:rsidRPr="00266D70">
        <w:rPr>
          <w:bCs/>
        </w:rPr>
        <w:t>The prediction outcome from Scenario 1 was multiplied by 5, simulating predictions with a larger variance while maintaining the same relative order as the original predictions</w:t>
      </w:r>
      <w:r w:rsidRPr="000F4C32">
        <w:rPr>
          <w:bCs/>
          <w:i/>
          <w:iCs/>
        </w:rPr>
        <w:t>.</w:t>
      </w:r>
    </w:p>
    <w:p w14:paraId="714A6E34" w14:textId="2B4C86F6" w:rsidR="000F4C32" w:rsidRPr="007323DF" w:rsidRDefault="006864E9" w:rsidP="00D558EB">
      <w:pPr>
        <w:pStyle w:val="ListParagraph"/>
        <w:numPr>
          <w:ilvl w:val="0"/>
          <w:numId w:val="1"/>
        </w:numPr>
        <w:rPr>
          <w:bCs/>
        </w:rPr>
      </w:pPr>
      <w:r w:rsidRPr="006864E9">
        <w:rPr>
          <w:bCs/>
          <w:i/>
          <w:iCs/>
        </w:rPr>
        <w:t>Scenario 3:</w:t>
      </w:r>
      <w:r>
        <w:rPr>
          <w:bCs/>
        </w:rPr>
        <w:t xml:space="preserve"> only the top 10% of predictions</w:t>
      </w:r>
      <w:r w:rsidR="005E7E33">
        <w:rPr>
          <w:bCs/>
        </w:rPr>
        <w:t xml:space="preserve"> </w:t>
      </w:r>
      <w:r>
        <w:rPr>
          <w:bCs/>
        </w:rPr>
        <w:t xml:space="preserve">that deviate the most from zero </w:t>
      </w:r>
      <w:r w:rsidR="006D1E67">
        <w:rPr>
          <w:bCs/>
        </w:rPr>
        <w:t xml:space="preserve">in Scenario 1 </w:t>
      </w:r>
      <w:r>
        <w:rPr>
          <w:bCs/>
        </w:rPr>
        <w:t>were raised to the power of 5. The rest of the predictions were set to zero. This scenario simulates a prediction that focuses solely on the extreme samples.</w:t>
      </w:r>
    </w:p>
    <w:p w14:paraId="3283F7FF" w14:textId="0EF5C75F" w:rsidR="008B256E" w:rsidRDefault="00C5415F" w:rsidP="00990175">
      <w:pPr>
        <w:pStyle w:val="ListParagraph"/>
        <w:numPr>
          <w:ilvl w:val="0"/>
          <w:numId w:val="1"/>
        </w:numPr>
      </w:pPr>
      <w:r w:rsidRPr="00C5415F">
        <w:rPr>
          <w:i/>
          <w:iCs/>
        </w:rPr>
        <w:t>Scenario 4</w:t>
      </w:r>
      <w:r>
        <w:t xml:space="preserve">: Values sampled from two </w:t>
      </w:r>
      <w:r w:rsidRPr="00C5415F">
        <w:t>normal distributions,</w:t>
      </w:r>
      <w:r w:rsidR="00CB3D8E">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-3, 1</m:t>
            </m:r>
          </m:e>
        </m:d>
      </m:oMath>
      <w:r w:rsidR="00CB3D8E">
        <w:t xml:space="preserve"> </w:t>
      </w:r>
      <w:r w:rsidRPr="00C5415F">
        <w:t>and</w:t>
      </w:r>
      <w:r w:rsidR="00CB3D8E">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3, 1</m:t>
            </m:r>
          </m:e>
        </m:d>
      </m:oMath>
      <w:r w:rsidRPr="00C5415F">
        <w:t xml:space="preserve">, </w:t>
      </w:r>
      <w:r w:rsidR="00466013">
        <w:t>were</w:t>
      </w:r>
      <w:r w:rsidRPr="00C5415F">
        <w:t xml:space="preserve"> added respectively to </w:t>
      </w:r>
      <w:r w:rsidR="00784507">
        <w:t>the predictions made in</w:t>
      </w:r>
      <w:r w:rsidR="005F4F44">
        <w:t xml:space="preserve"> </w:t>
      </w:r>
      <w:r w:rsidR="0009029F">
        <w:t>Scenario</w:t>
      </w:r>
      <w:r w:rsidR="005F4F44">
        <w:t xml:space="preserve"> 1 of </w:t>
      </w:r>
      <w:r w:rsidRPr="00C5415F">
        <w:t>Block A (colored orange</w:t>
      </w:r>
      <w:r w:rsidR="005C3EF8">
        <w:t xml:space="preserve"> in </w:t>
      </w:r>
      <w:r w:rsidR="005C3EF8" w:rsidRPr="005C3EF8">
        <w:rPr>
          <w:b/>
          <w:bCs/>
        </w:rPr>
        <w:t>Figure 1</w:t>
      </w:r>
      <w:r w:rsidRPr="00C5415F">
        <w:t>) and Block B (colored green</w:t>
      </w:r>
      <w:r w:rsidR="005C3EF8">
        <w:t xml:space="preserve"> in </w:t>
      </w:r>
      <w:r w:rsidR="005C3EF8" w:rsidRPr="005C3EF8">
        <w:rPr>
          <w:b/>
          <w:bCs/>
        </w:rPr>
        <w:t>Figure 1</w:t>
      </w:r>
      <w:r w:rsidRPr="00C5415F">
        <w:t xml:space="preserve">). This </w:t>
      </w:r>
      <w:r w:rsidR="009146DE">
        <w:t xml:space="preserve">scenario </w:t>
      </w:r>
      <w:r w:rsidRPr="00C5415F">
        <w:t>amplifi</w:t>
      </w:r>
      <w:r w:rsidR="009146DE">
        <w:t>ed</w:t>
      </w:r>
      <w:r w:rsidRPr="00C5415F">
        <w:t xml:space="preserve"> the </w:t>
      </w:r>
      <w:r w:rsidR="00734A9D">
        <w:t xml:space="preserve">original </w:t>
      </w:r>
      <w:r w:rsidRPr="00C5415F">
        <w:t>block effects, simulating a model</w:t>
      </w:r>
      <w:r>
        <w:t xml:space="preserve"> that effectively distinguishe</w:t>
      </w:r>
      <w:r w:rsidR="0035058C">
        <w:t>d</w:t>
      </w:r>
      <w:r>
        <w:t xml:space="preserve"> between different blocks</w:t>
      </w:r>
      <w:r w:rsidR="00EC2DFF">
        <w:t xml:space="preserve"> (e.g., </w:t>
      </w:r>
      <w:r w:rsidR="00946E63">
        <w:t>herd</w:t>
      </w:r>
      <w:r w:rsidR="002854EB">
        <w:t xml:space="preserve"> or </w:t>
      </w:r>
      <w:r w:rsidR="00431139">
        <w:t>breed</w:t>
      </w:r>
      <w:r w:rsidR="002854EB">
        <w:t>)</w:t>
      </w:r>
      <w:r>
        <w:t xml:space="preserve"> but </w:t>
      </w:r>
      <w:r w:rsidR="0035058C">
        <w:t>was</w:t>
      </w:r>
      <w:r>
        <w:t xml:space="preserve"> less capable of predicting individual variations within each block.</w:t>
      </w:r>
    </w:p>
    <w:p w14:paraId="5AD12D62" w14:textId="22A2BDD2" w:rsidR="00921A25" w:rsidRDefault="00445735" w:rsidP="006C2616">
      <w:pPr>
        <w:ind w:firstLine="360"/>
      </w:pPr>
      <w:r>
        <w:t>This quartet of predictions serves to simulate potential challenges and complexities encountered in real-world modeling scenarios, thereby providing a foundation for evaluating different performance metrics used in regression problems.</w:t>
      </w:r>
    </w:p>
    <w:p w14:paraId="696AF7D8" w14:textId="0E186D82" w:rsidR="00F716F4" w:rsidRPr="00F716F4" w:rsidRDefault="00FF325D" w:rsidP="00BD1F9E">
      <w:pPr>
        <w:pStyle w:val="Heading3"/>
      </w:pPr>
      <w:r w:rsidRPr="00C028AF">
        <w:t xml:space="preserve">Pearson </w:t>
      </w:r>
      <w:r w:rsidRPr="0003589B">
        <w:t>Correlation</w:t>
      </w:r>
      <w:r w:rsidRPr="00C028AF">
        <w:t xml:space="preserve"> Coefficient (r)</w:t>
      </w:r>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F325D" w14:paraId="2E82C4D0" w14:textId="77777777" w:rsidTr="00C54D23">
        <w:tc>
          <w:tcPr>
            <w:tcW w:w="350" w:type="pct"/>
          </w:tcPr>
          <w:p w14:paraId="4EDBC61C" w14:textId="77777777" w:rsidR="00FF325D" w:rsidRDefault="00FF325D" w:rsidP="00C41B9E"/>
        </w:tc>
        <w:tc>
          <w:tcPr>
            <w:tcW w:w="4300" w:type="pct"/>
          </w:tcPr>
          <w:p w14:paraId="604C0C72" w14:textId="77777777" w:rsidR="00FF325D" w:rsidRPr="00CA780E" w:rsidRDefault="00FF325D" w:rsidP="00C41B9E">
            <w:pPr>
              <w:spacing w:line="360" w:lineRule="auto"/>
            </w:pPr>
            <m:oMathPara>
              <m:oMath>
                <m:r>
                  <w:rPr>
                    <w:rFonts w:ascii="Cambria Math" w:hAnsi="Cambria Math"/>
                  </w:rPr>
                  <m:t>r</m:t>
                </m:r>
                <m:r>
                  <m:rPr>
                    <m:sty m:val="p"/>
                    <m:aln/>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rPr>
                    <w:rFonts w:ascii="Cambria Math" w:hAnsi="Cambria Math"/>
                  </w:rPr>
                  <w:br/>
                </m:r>
              </m:oMath>
              <m:oMath>
                <m:r>
                  <m:rPr>
                    <m:sty m:val="p"/>
                    <m:aln/>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den>
                </m:f>
              </m:oMath>
            </m:oMathPara>
          </w:p>
        </w:tc>
        <w:tc>
          <w:tcPr>
            <w:tcW w:w="350" w:type="pct"/>
          </w:tcPr>
          <w:p w14:paraId="60864DF3" w14:textId="77777777" w:rsidR="00FF325D" w:rsidRDefault="00FF325D" w:rsidP="00C41B9E"/>
          <w:p w14:paraId="1B6949A2" w14:textId="77777777" w:rsidR="00FF325D" w:rsidRDefault="00FF325D" w:rsidP="00C41B9E"/>
          <w:p w14:paraId="313A83F9" w14:textId="77777777" w:rsidR="00FF325D" w:rsidRDefault="00FF325D" w:rsidP="00C41B9E"/>
          <w:p w14:paraId="2CE5C32C" w14:textId="77777777" w:rsidR="00FF325D" w:rsidRDefault="00FF325D" w:rsidP="00C41B9E">
            <w:r>
              <w:t xml:space="preserve"> </w:t>
            </w:r>
          </w:p>
          <w:p w14:paraId="057D2F0D" w14:textId="55FE7D5D" w:rsidR="00FF325D" w:rsidRDefault="00D43B81" w:rsidP="00C41B9E">
            <w:r>
              <w:t xml:space="preserve">   </w:t>
            </w:r>
            <w:r w:rsidR="00FF325D">
              <w:t>(</w:t>
            </w:r>
            <w:r>
              <w:fldChar w:fldCharType="begin"/>
            </w:r>
            <w:r>
              <w:instrText xml:space="preserve"> SEQ Equation \* ARABIC </w:instrText>
            </w:r>
            <w:r>
              <w:fldChar w:fldCharType="separate"/>
            </w:r>
            <w:r w:rsidR="007A7577">
              <w:rPr>
                <w:noProof/>
              </w:rPr>
              <w:t>1</w:t>
            </w:r>
            <w:r>
              <w:rPr>
                <w:noProof/>
              </w:rPr>
              <w:fldChar w:fldCharType="end"/>
            </w:r>
            <w:r w:rsidR="00FF325D">
              <w:t>)</w:t>
            </w:r>
          </w:p>
        </w:tc>
      </w:tr>
    </w:tbl>
    <w:p w14:paraId="518E7757" w14:textId="2E35FA9B" w:rsidR="008767EF" w:rsidRDefault="00C54D23" w:rsidP="00BD3EEC">
      <w:pPr>
        <w:ind w:firstLine="720"/>
      </w:pPr>
      <w:r w:rsidRPr="00C54D23">
        <w:t xml:space="preserve">The Pearson Correlation Coefficient </w:t>
      </w:r>
      <m:oMath>
        <m:r>
          <w:rPr>
            <w:rFonts w:ascii="Cambria Math" w:hAnsi="Cambria Math"/>
          </w:rPr>
          <m:t>r</m:t>
        </m:r>
      </m:oMath>
      <w:r w:rsidRPr="00C54D23">
        <w:t xml:space="preserve"> measures the strength of the linear relationship between two</w:t>
      </w:r>
      <w:r w:rsidR="00D653B7">
        <w:t xml:space="preserve"> </w:t>
      </w:r>
      <w:r w:rsidR="009459F2">
        <w:t>continuous</w:t>
      </w:r>
      <w:r w:rsidRPr="00C54D23">
        <w:t xml:space="preserve"> variables, as defined by </w:t>
      </w:r>
      <w:r w:rsidRPr="002043B6">
        <w:rPr>
          <w:b/>
          <w:bCs/>
        </w:rPr>
        <w:t>Equation (1)</w:t>
      </w:r>
      <w:r w:rsidR="00053441">
        <w:t xml:space="preserve"> where</w:t>
      </w:r>
      <w:r w:rsidRPr="00C54D23">
        <w:t xml:space="preserve"> the observations are denoted by </w:t>
      </w:r>
      <m:oMath>
        <m:r>
          <w:rPr>
            <w:rFonts w:ascii="Cambria Math" w:hAnsi="Cambria Math"/>
          </w:rPr>
          <m:t>x</m:t>
        </m:r>
      </m:oMath>
      <w:r w:rsidRPr="00C54D23">
        <w:t xml:space="preserve"> and the predicted values are represented by </w:t>
      </w:r>
      <m:oMath>
        <m:r>
          <w:rPr>
            <w:rFonts w:ascii="Cambria Math" w:hAnsi="Cambria Math"/>
          </w:rPr>
          <m:t>y</m:t>
        </m:r>
      </m:oMath>
      <w:r w:rsidRPr="00C54D23">
        <w:t xml:space="preserve">. </w:t>
      </w:r>
      <w:r w:rsidR="00CF5D0A">
        <w:t>The</w:t>
      </w:r>
      <w:r w:rsidR="000A42FB">
        <w:t xml:space="preserve"> numerator of the equation</w:t>
      </w:r>
      <w:r w:rsidR="00656763">
        <w:t xml:space="preserve"> computes</w:t>
      </w:r>
      <w:r w:rsidRPr="00C54D23">
        <w:t xml:space="preserve"> </w:t>
      </w:r>
      <w:r w:rsidR="000A42FB" w:rsidRPr="00C54D23">
        <w:t xml:space="preserve">the covariance between </w:t>
      </w:r>
      <m:oMath>
        <m:r>
          <w:rPr>
            <w:rFonts w:ascii="Cambria Math" w:hAnsi="Cambria Math"/>
          </w:rPr>
          <m:t>x</m:t>
        </m:r>
      </m:oMath>
      <w:r w:rsidR="000A42FB" w:rsidRPr="00C54D23">
        <w:t xml:space="preserve"> and </w:t>
      </w:r>
      <m:oMath>
        <m:r>
          <w:rPr>
            <w:rFonts w:ascii="Cambria Math" w:hAnsi="Cambria Math"/>
          </w:rPr>
          <m:t>y</m:t>
        </m:r>
      </m:oMath>
      <w:r w:rsidR="00540C9B">
        <w:t xml:space="preserve">, which </w:t>
      </w:r>
      <w:r w:rsidRPr="00C54D23">
        <w:t>capture</w:t>
      </w:r>
      <w:r w:rsidR="00540C9B">
        <w:t>s</w:t>
      </w:r>
      <w:r w:rsidRPr="00C54D23">
        <w:t xml:space="preserve"> how </w:t>
      </w:r>
      <w:r w:rsidR="00A902B0">
        <w:t xml:space="preserve">the </w:t>
      </w:r>
      <w:r w:rsidR="00D763A7">
        <w:t>two variables</w:t>
      </w:r>
      <w:r w:rsidRPr="00C54D23">
        <w:t xml:space="preserve"> </w:t>
      </w:r>
      <w:r w:rsidR="009C23D3">
        <w:t xml:space="preserve">coordinately </w:t>
      </w:r>
      <w:r w:rsidRPr="00C54D23">
        <w:t xml:space="preserve">deviate from their means. The covariance is then </w:t>
      </w:r>
      <w:r w:rsidR="009E4100">
        <w:t>standardized</w:t>
      </w:r>
      <w:r w:rsidRPr="00C54D23">
        <w:t xml:space="preserve"> by the product of the standard deviations of </w:t>
      </w:r>
      <m:oMath>
        <m:r>
          <w:rPr>
            <w:rFonts w:ascii="Cambria Math" w:hAnsi="Cambria Math"/>
          </w:rPr>
          <m:t>x</m:t>
        </m:r>
      </m:oMath>
      <w:r w:rsidR="002043B6" w:rsidRPr="00C54D23">
        <w:t xml:space="preserve"> </w:t>
      </w:r>
      <w:r w:rsidRPr="00C54D23">
        <w:t xml:space="preserve">and </w:t>
      </w:r>
      <m:oMath>
        <m:r>
          <w:rPr>
            <w:rFonts w:ascii="Cambria Math" w:hAnsi="Cambria Math"/>
          </w:rPr>
          <m:t>y</m:t>
        </m:r>
      </m:oMath>
      <w:r w:rsidRPr="00C54D23">
        <w:t xml:space="preserve">, hence the coefficient </w:t>
      </w:r>
      <m:oMath>
        <m:r>
          <w:rPr>
            <w:rFonts w:ascii="Cambria Math" w:hAnsi="Cambria Math"/>
          </w:rPr>
          <m:t>r</m:t>
        </m:r>
      </m:oMath>
      <w:r w:rsidRPr="00C54D23">
        <w:t xml:space="preserve"> is scale-invariant and will always fall within the range of -1 to 1.</w:t>
      </w:r>
    </w:p>
    <w:p w14:paraId="1B9DB6BD" w14:textId="1BCFF686" w:rsidR="00464D79" w:rsidRDefault="008767EF" w:rsidP="00464D79">
      <w:pPr>
        <w:ind w:firstLine="720"/>
      </w:pPr>
      <w:r>
        <w:rPr>
          <w:shd w:val="clear" w:color="auto" w:fill="FFFFFF"/>
        </w:rPr>
        <w:t>When the goal is to rank observations of interest rather than predict the absolute magnitude of the error, this metric is appropriate. The property of this metric was demonstrated in both Scenario 1 and 2, where the coefficient remained consistent despite Scenario 2 having errors five times greater than in Scenario 1. If the absolute error is of interest, this metric should be used in conjunction with other metrics</w:t>
      </w:r>
      <w:r w:rsidR="00A35B1D">
        <w:rPr>
          <w:shd w:val="clear" w:color="auto" w:fill="FFFFFF"/>
        </w:rPr>
        <w:t>,</w:t>
      </w:r>
      <w:r>
        <w:rPr>
          <w:shd w:val="clear" w:color="auto" w:fill="FFFFFF"/>
        </w:rPr>
        <w:t xml:space="preserve"> such as RMSE or</w:t>
      </w:r>
      <w:r w:rsidR="00BD3EEC">
        <w:rPr>
          <w:shd w:val="clear" w:color="auto" w:fill="FFFFFF"/>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606E3C">
        <w:t xml:space="preserve">. It is also worth noting that this metric can provide a value of 0.27 in Scenario 3, where 90% of the predictions failed to capture the trend and </w:t>
      </w:r>
      <w:r w:rsidR="00327142">
        <w:t>r</w:t>
      </w:r>
      <w:r w:rsidR="009F2E5B">
        <w:t>esulted in</w:t>
      </w:r>
      <w:r w:rsidR="00327142">
        <w:t xml:space="preserve"> zero-value predictions</w:t>
      </w:r>
      <w:r w:rsidR="009A332C" w:rsidRPr="00606E3C">
        <w:t xml:space="preserve">. The positive performance of the metric came </w:t>
      </w:r>
      <w:r w:rsidR="009A332C" w:rsidRPr="00606E3C">
        <w:lastRenderedPageBreak/>
        <w:t xml:space="preserve">from the predictions ranking the remaining 10% of the observations in a fairly accurate order, regardless of the large error magnitude. </w:t>
      </w:r>
      <w:r w:rsidR="00631744">
        <w:t>Moreover</w:t>
      </w:r>
      <w:r w:rsidR="009A332C" w:rsidRPr="00606E3C">
        <w:t xml:space="preserve">, one common pitfall of this metric is that block effects can influence it, leading to an inflated </w:t>
      </w:r>
      <w:r w:rsidR="008560D7">
        <w:t>performance estimate</w:t>
      </w:r>
      <w:r w:rsidR="009A332C" w:rsidRPr="00606E3C">
        <w:t xml:space="preserve"> if individual variation is of greater interest</w:t>
      </w:r>
      <w:r w:rsidR="00014DFE">
        <w:t xml:space="preserve"> than </w:t>
      </w:r>
      <w:r w:rsidR="00E3070B">
        <w:t>inter-</w:t>
      </w:r>
      <w:r w:rsidR="00014DFE">
        <w:t>block variation</w:t>
      </w:r>
      <w:r w:rsidR="009A332C" w:rsidRPr="00606E3C">
        <w:t>. This was demonstrated in Scenario 4</w:t>
      </w:r>
      <w:r w:rsidR="0066342F">
        <w:t>,</w:t>
      </w:r>
      <w:r w:rsidR="009A332C" w:rsidRPr="00606E3C">
        <w:t xml:space="preserve"> where the overall coefficient </w:t>
      </w:r>
      <m:oMath>
        <m:r>
          <w:rPr>
            <w:rFonts w:ascii="Cambria Math" w:hAnsi="Cambria Math"/>
          </w:rPr>
          <m:t>r</m:t>
        </m:r>
      </m:oMath>
      <w:r w:rsidR="00464D79" w:rsidRPr="00C54D23">
        <w:t xml:space="preserve"> </w:t>
      </w:r>
      <w:r w:rsidR="009A332C" w:rsidRPr="00606E3C">
        <w:t xml:space="preserve">was 0.94, but the metric within each block was only 0.33 and 0.25, respectively. Therefore, it is </w:t>
      </w:r>
      <w:r w:rsidR="001B1E6A">
        <w:t>essential</w:t>
      </w:r>
      <w:r w:rsidR="009A332C" w:rsidRPr="00606E3C">
        <w:t xml:space="preserve"> to visually inspect regression results through scatter plots or examine them within individual blocks.</w:t>
      </w:r>
    </w:p>
    <w:p w14:paraId="4A91D139" w14:textId="693C6843" w:rsidR="008767EF" w:rsidRPr="008D20BB" w:rsidRDefault="00464D79" w:rsidP="00464D79">
      <w:pPr>
        <w:ind w:firstLine="720"/>
      </w:pPr>
      <w:r>
        <w:t>This</w:t>
      </w:r>
      <w:r w:rsidR="009A332C" w:rsidRPr="00606E3C">
        <w:t xml:space="preserve"> metric is often used to evaluate models that can identify high-performing individuals. De </w:t>
      </w:r>
      <w:r w:rsidR="0059794D">
        <w:t xml:space="preserve">Souza et al. used this metric to demonstrate the ability to identify high-producing dairy cows based on predicted nutrient digestibility </w:t>
      </w:r>
      <w:r w:rsidR="00337241">
        <w:fldChar w:fldCharType="begin"/>
      </w:r>
      <w:r w:rsidR="00337241">
        <w:instrText xml:space="preserve"> ADDIN ZOTERO_ITEM CSL_CITATION {"citationID":"HA8VMciv","properties":{"formattedCitation":"(de Souza et al., 2018)","plainCitation":"(de Souza et al., 2018)","noteIndex":0},"citationItems":[{"id":3649,"uris":["http://zotero.org/users/5933671/items/DAW2U9QM"],"itemData":{"id":3649,"type":"article-journal","abstract":"Our objective was to determine the effects of dry matter intake (DMI), body weight (BW), and diet characteristics on total tract digestibilities of dry matter, neutral detergent fiber, and starch (DMD, NDFD, and StarchD, respectively) in high-producing dairy cows. Our database was composed of 1,942 observations from 662 cows in 54 studies from Michigan, Ohio, and Georgia. On average, cows ate 23 ± 4.5 kg of dry matter/d, weighed 669 ± 79 kg, and produced 38 ± 10 kg of milk/d. Diets were 31 ± 5% neutral detergent fiber, 27 ± 6% starch, 2.6 ± 1.2% fatty acids, and 17 ± 1.4% crude protein. Digestibility means were 66 ± 6, 42 ± 11, and 93 ± 5% for DMD, NDFD, and StarchD, respectively. Forage sources included corn silage, alfalfa, and grasses. Corn source was classified by its ruminal fermentability. Data were analyzed using a mixed effects model, including diet chemical composition, forage source, and corn source, all expressed as percentage of dry matter, except for DMI, which was expressed as percentage of BW (DMI%BW); location and 2-way interactions were fixed effects. Cow, block, period, treatment, and study were included as random effects. Best fitting candidate models were generated using backward and stepwise regression methods. Additionally, the simplest model was generated using only DMI and location as fixed effects and all random effects. Candidate models were cross-validated across studies, and the resulting predictive correlation coefficients across studies (PC) and root mean square error of prediction (RMSEP) were compared by t-test. For each nutrient, the digestibility model that resulted in the highest PC and lowest RMSEP was determined to be the best fitting model. We observed heterogeneous coefficients among the different locations, suggesting that specific location factors influenced digestibilities. The overall location-averaged best fitting prediction equations were: DMD = 69 − 0.83 × DMI%BW (PC = 0.22, RMSEP = 5.39); NDFD = 53 + 0.26 × grass %DM − 0.59 × starch %DM + 3.06 × DMI%BW − 0.46 × DMI%BW2 (PC = 0.53, RMSEP = 9.70); and StarchD = 96 + 0.19 × HFERM%DM − 0.12 × starch %DM − 1.13 × DMI%BW (PC = 0.34, RMSEP = 4.77); where HFERM%DM is highly-fermentable corn source as percentage of DM. Our results confirm that digestibility is reduced as DMI increases, albeit at a lower rate than that reported in National Research Council. Furthermore, dietary starch depresses NDFD. Whereas DMD can be predicted based on DMI only, the best predictions for NDFD and StarchD require diet characteristics in addition to DMI.","container-title":"Journal of Dairy Science","DOI":"10.3168/jds.2017-13344","ISSN":"0022-0302","issue":"2","journalAbbreviation":"Journal of Dairy Science","page":"1123-1135","source":"ScienceDirect","title":"Predicting nutrient digestibility in high-producing dairy cows","volume":"101","author":[{"family":"Souza","given":"R. A.","non-dropping-particle":"de"},{"family":"Tempelman","given":"R. J."},{"family":"Allen","given":"M. S."},{"family":"Weiss","given":"W. P."},{"family":"Bernard","given":"J. K."},{"family":"VandeHaar","given":"M. J."}],"issued":{"date-parts":[["2018",2,1]]}}}],"schema":"https://github.com/citation-style-language/schema/raw/master/csl-citation.json"} </w:instrText>
      </w:r>
      <w:r w:rsidR="00337241">
        <w:fldChar w:fldCharType="separate"/>
      </w:r>
      <w:r w:rsidR="00337241">
        <w:rPr>
          <w:noProof/>
        </w:rPr>
        <w:t>(de Souza et al., 2018)</w:t>
      </w:r>
      <w:r w:rsidR="00337241">
        <w:fldChar w:fldCharType="end"/>
      </w:r>
      <w:r w:rsidR="009A332C" w:rsidRPr="00606E3C">
        <w:t>. This metric was also used in a model selection scenario where multiple models were evaluated based on their ability to rank traits of interest, such as feed intake</w:t>
      </w:r>
      <w:r w:rsidR="0059794D">
        <w:t xml:space="preserve"> </w:t>
      </w:r>
      <w:r w:rsidR="0059794D">
        <w:fldChar w:fldCharType="begin"/>
      </w:r>
      <w:r w:rsidR="00011092">
        <w:instrText xml:space="preserve"> ADDIN ZOTERO_ITEM CSL_CITATION {"citationID":"a20tlivjkc0","properties":{"formattedCitation":"(D\\uc0\\u243{}rea et al., 2018)","plainCitation":"(Dórea et al., 2018)","noteIndex":0},"citationItems":[{"id":3642,"uris":["http://zotero.org/users/5933671/items/X7VX522H"],"itemData":{"id":3642,"type":"article-journal","abstract":"Feed intake is one of the most important components of feed efficiency in dairy systems. However, it is a difficult trait to measure in commercial operations for individual cows. Milk spectrum from mid-infrared spectroscopy has been previously used to predict milk traits, and could be an alternative to predict dry matter intake (DMI). The objectives of this study were (1) to evaluate if milk spectra can improve DMI predictions based only on cow variables; (2) to compare artificial neural network (ANN) and partial least squares (PLS) predictions; and (3) to evaluate if wavelength (WL) selection through Bayesian network (BN) improves prediction quality. Milk samples (n = 1,279) from 308 mid-lactation dairy cows [127 ± 27 d in milk (DIM)] were collected between 2014 and 2016. For each milk spectra time point, DMI (kg/d), body weight (BW, kg), milk yield (MY, kg/d), fat (%), protein (%), lactose (%), and actual DIM were recorded. The DMI was predicted with ANN and PLS using different combinations of explanatory variables. Such combinations, called covariate sets, were as follows: set 1 (MY, BW0.75, DIM, and 361 WL); set 2 [MY, BW0.75, DIM, and 33 WL (WL selected by BN)]; set 3 (MY, BW0.75, DIM, and fat, protein, and lactose concentrations); set 4 (MY, BW0.75, DIM, 33 WL, fat, protein, and lactose); set 5 (MY, BW0.75, DIM, 33 WL, and visit duration in the feed bunk); set 6 (MY, DIM, and 33 WL); set 7 (MY, BW0.75, and DIM); set-WL (included 361 WL); and set-BN (included just 33 selected WL). All models (i.e., each combination of covariate set and fitting approach, ANN or PLS) were validated with an external data set. The use of ANN improved the performance of models 2, 5, 6, and BN. The use of BN combined with ANN yielded the highest accuracy and precision. The addition of individual WL compared with milk components (set 2 vs. set 3) did not improve prediction quality when using PLS. However, when ANN was employed, the model prediction with the inclusion of 33 WL was improved over the model containing only milk components (set 2 vs. set 3; concordance correlation coefficient = 0.80 vs. 0.72; coefficient of determination = 0.67 vs. 0.53; root mean square error of prediction 2.36 vs. 2.81 kg/d). The use of ANN and the inclusion of a behavior parameter, set 5, resulted in the best predictions compared with all other models (coefficient of determination = 0.70, concordance correlation coefficient = 0.83, root mean square error of prediction = 2.15 kg/d). The addition of milk spectra information to models containing cow variables improved the accuracy and precision of DMI predictions in lactating dairy cows when ANN was used. The use of BN to select more informative WL improved the model prediction when combined with cow variables, with further improvement when combined with ANN.","container-title":"Journal of Dairy Science","DOI":"10.3168/jds.2017-13997","ISSN":"0022-0302","issue":"7","journalAbbreviation":"Journal of Dairy Science","page":"5878-5889","source":"ScienceDirect","title":"Mining data from milk infrared spectroscopy to improve feed intake predictions in lactating dairy cows","volume":"101","author":[{"family":"Dórea","given":"J. R. R."},{"family":"Rosa","given":"G. J. M."},{"family":"Weld","given":"K. A."},{"family":"Armentano","given":"L. E."}],"issued":{"date-parts":[["2018",7,1]]}}}],"schema":"https://github.com/citation-style-language/schema/raw/master/csl-citation.json"} </w:instrText>
      </w:r>
      <w:r w:rsidR="0059794D">
        <w:fldChar w:fldCharType="separate"/>
      </w:r>
      <w:r w:rsidR="00011092" w:rsidRPr="00011092">
        <w:rPr>
          <w:kern w:val="0"/>
        </w:rPr>
        <w:t>(</w:t>
      </w:r>
      <w:proofErr w:type="spellStart"/>
      <w:r w:rsidR="00011092" w:rsidRPr="00011092">
        <w:rPr>
          <w:kern w:val="0"/>
        </w:rPr>
        <w:t>Dórea</w:t>
      </w:r>
      <w:proofErr w:type="spellEnd"/>
      <w:r w:rsidR="00011092" w:rsidRPr="00011092">
        <w:rPr>
          <w:kern w:val="0"/>
        </w:rPr>
        <w:t xml:space="preserve"> et al., 2018)</w:t>
      </w:r>
      <w:r w:rsidR="0059794D">
        <w:fldChar w:fldCharType="end"/>
      </w:r>
      <w:r w:rsidR="009A332C" w:rsidRPr="00606E3C">
        <w:t xml:space="preserve"> and milk composition</w:t>
      </w:r>
      <w:r w:rsidR="00B5293B">
        <w:t xml:space="preserve"> </w:t>
      </w:r>
      <w:r w:rsidR="00B5293B">
        <w:fldChar w:fldCharType="begin"/>
      </w:r>
      <w:r w:rsidR="00011092">
        <w:instrText xml:space="preserve"> ADDIN ZOTERO_ITEM CSL_CITATION {"citationID":"a1m64j8kprg","properties":{"formattedCitation":"(Rovere et al., 2021)","plainCitation":"(Rovere et al., 2021)","noteIndex":0},"citationItems":[{"id":3697,"uris":["http://zotero.org/users/5933671/items/YTGJ3HNB"],"itemData":{"id":3697,"type":"article-journal","abstract":"Fatty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J."}],"issued":{"date-parts":[["2021",10,1]]}}}],"schema":"https://github.com/citation-style-language/schema/raw/master/csl-citation.json"} </w:instrText>
      </w:r>
      <w:r w:rsidR="00B5293B">
        <w:fldChar w:fldCharType="separate"/>
      </w:r>
      <w:r w:rsidR="00011092" w:rsidRPr="00011092">
        <w:rPr>
          <w:kern w:val="0"/>
        </w:rPr>
        <w:t>(</w:t>
      </w:r>
      <w:proofErr w:type="spellStart"/>
      <w:r w:rsidR="00011092" w:rsidRPr="00011092">
        <w:rPr>
          <w:kern w:val="0"/>
        </w:rPr>
        <w:t>Rovere</w:t>
      </w:r>
      <w:proofErr w:type="spellEnd"/>
      <w:r w:rsidR="00011092" w:rsidRPr="00011092">
        <w:rPr>
          <w:kern w:val="0"/>
        </w:rPr>
        <w:t xml:space="preserve"> et al., 2021)</w:t>
      </w:r>
      <w:r w:rsidR="00B5293B">
        <w:fldChar w:fldCharType="end"/>
      </w:r>
      <w:r w:rsidR="009A332C" w:rsidRPr="00606E3C">
        <w:t xml:space="preserve">  in dairy cows.</w:t>
      </w:r>
    </w:p>
    <w:p w14:paraId="2384701C" w14:textId="77777777" w:rsidR="00A200DC" w:rsidRDefault="00A200DC" w:rsidP="00091B5C">
      <w:pPr>
        <w:pStyle w:val="Heading3"/>
      </w:pPr>
      <w:r>
        <w:rPr>
          <w:rFonts w:hint="eastAsia"/>
        </w:rPr>
        <w:t>R</w:t>
      </w:r>
      <w:r>
        <w:t>oot Mean Squared Error (RMSE)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200DC" w14:paraId="053714DD" w14:textId="77777777" w:rsidTr="00A200DC">
        <w:tc>
          <w:tcPr>
            <w:tcW w:w="350" w:type="pct"/>
          </w:tcPr>
          <w:p w14:paraId="2ACD9D4B" w14:textId="77777777" w:rsidR="00A200DC" w:rsidRDefault="00A200DC" w:rsidP="00C41B9E"/>
        </w:tc>
        <w:tc>
          <w:tcPr>
            <w:tcW w:w="4300" w:type="pct"/>
          </w:tcPr>
          <w:p w14:paraId="2D1805C9" w14:textId="77777777" w:rsidR="00A200DC" w:rsidRPr="006262CD" w:rsidRDefault="00A200DC" w:rsidP="00C41B9E">
            <m:oMathPara>
              <m:oMath>
                <m:r>
                  <w:rPr>
                    <w:rFonts w:ascii="Cambria Math" w:hAnsi="Cambria Math"/>
                  </w:rPr>
                  <m:t>RMSE=</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350" w:type="pct"/>
          </w:tcPr>
          <w:p w14:paraId="0DA2CB10" w14:textId="11987834" w:rsidR="00A200DC" w:rsidRDefault="00A200DC" w:rsidP="00C41B9E">
            <w:pPr>
              <w:jc w:val="right"/>
            </w:pPr>
          </w:p>
          <w:p w14:paraId="3954CC86" w14:textId="5F1C8283" w:rsidR="00A200DC" w:rsidRDefault="00A200DC" w:rsidP="00C41B9E">
            <w:pPr>
              <w:jc w:val="right"/>
            </w:pPr>
            <w:r>
              <w:t>(</w:t>
            </w:r>
            <w:r>
              <w:fldChar w:fldCharType="begin"/>
            </w:r>
            <w:r>
              <w:instrText xml:space="preserve"> SEQ Equation \* ARABIC </w:instrText>
            </w:r>
            <w:r>
              <w:fldChar w:fldCharType="separate"/>
            </w:r>
            <w:r w:rsidR="007A7577">
              <w:rPr>
                <w:noProof/>
              </w:rPr>
              <w:t>2</w:t>
            </w:r>
            <w:r>
              <w:rPr>
                <w:noProof/>
              </w:rPr>
              <w:fldChar w:fldCharType="end"/>
            </w:r>
            <w:r>
              <w:t>)</w:t>
            </w:r>
          </w:p>
        </w:tc>
      </w:tr>
    </w:tbl>
    <w:p w14:paraId="567E37EE" w14:textId="157BF133" w:rsidR="00800EF8" w:rsidRDefault="00800EF8" w:rsidP="00800EF8">
      <w:pPr>
        <w:ind w:firstLine="720"/>
      </w:pPr>
      <w:r>
        <w:t xml:space="preserve">The </w:t>
      </w:r>
      <w:r w:rsidRPr="002A58EB">
        <w:t>RMSE</w:t>
      </w:r>
      <w:r>
        <w:t xml:space="preserve"> serves as a quantitative measure to gauge the average magnitude of prediction errors between observed values </w:t>
      </w:r>
      <m:oMath>
        <m:r>
          <w:rPr>
            <w:rFonts w:ascii="Cambria Math" w:hAnsi="Cambria Math"/>
          </w:rPr>
          <m:t>y</m:t>
        </m:r>
      </m:oMath>
      <w:r>
        <w:t xml:space="preserve"> and their predicted values </w:t>
      </w: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 xml:space="preserve"> </m:t>
                </m:r>
              </m:sub>
            </m:sSub>
          </m:e>
        </m:acc>
      </m:oMath>
      <w:r>
        <w:t xml:space="preserve">. It gives the error in the same units as the observation </w:t>
      </w:r>
      <m:oMath>
        <m:r>
          <w:rPr>
            <w:rFonts w:ascii="Cambria Math" w:hAnsi="Cambria Math"/>
          </w:rPr>
          <m:t>y</m:t>
        </m:r>
      </m:oMath>
      <w:r>
        <w:t xml:space="preserve">, which is particularly useful when the absolute error is of interest. As shown in </w:t>
      </w:r>
      <w:r w:rsidRPr="003E40BE">
        <w:rPr>
          <w:b/>
          <w:bCs/>
        </w:rPr>
        <w:t xml:space="preserve">Equation </w:t>
      </w:r>
      <w:r w:rsidR="00DF6E0C">
        <w:rPr>
          <w:b/>
          <w:bCs/>
        </w:rPr>
        <w:t>(</w:t>
      </w:r>
      <w:r w:rsidRPr="003E40BE">
        <w:rPr>
          <w:b/>
          <w:bCs/>
        </w:rPr>
        <w:t>2</w:t>
      </w:r>
      <w:r w:rsidR="00DF6E0C">
        <w:rPr>
          <w:b/>
          <w:bCs/>
        </w:rPr>
        <w:t>)</w:t>
      </w:r>
      <w:r>
        <w:t xml:space="preserve">, the RMSE is calculated by first computing the squared error, </w:t>
      </w:r>
      <w:r w:rsidR="002D22E2">
        <w:rPr>
          <w:rFonts w:hint="eastAsia"/>
        </w:rPr>
        <w:t>then summating</w:t>
      </w:r>
      <w:r>
        <w:t xml:space="preserve"> all squared errors, and finally averaging the sum by the number of observations </w:t>
      </w:r>
      <m:oMath>
        <m:r>
          <w:rPr>
            <w:rFonts w:ascii="Cambria Math" w:hAnsi="Cambria Math"/>
          </w:rPr>
          <m:t>n</m:t>
        </m:r>
      </m:oMath>
      <w:r>
        <w:t>.</w:t>
      </w:r>
    </w:p>
    <w:p w14:paraId="18E3B081" w14:textId="4132FF1E" w:rsidR="00940420" w:rsidRDefault="00800EF8" w:rsidP="00940420">
      <w:pPr>
        <w:ind w:firstLine="720"/>
      </w:pPr>
      <w:r>
        <w:t xml:space="preserve">Distinct from the correlation coefficient, RMSE is sensitive to scale, implying that achieving predictions with a variance akin to the observed values takes precedence over maintaining their order or trend. This property is evident in Scenario 2, where the RMSE inflates from 2.41 to 3.63, </w:t>
      </w:r>
      <w:proofErr w:type="gramStart"/>
      <w:r>
        <w:t>despite the fact that</w:t>
      </w:r>
      <w:proofErr w:type="gramEnd"/>
      <w:r>
        <w:t xml:space="preserve"> the predictions in both scenarios rank the observations identically. Another notable characteristic of RMSE is it </w:t>
      </w:r>
      <w:r w:rsidR="00EC1003">
        <w:t>weighs</w:t>
      </w:r>
      <w:r>
        <w:t xml:space="preserve"> more on large errors, which is </w:t>
      </w:r>
      <w:r w:rsidR="004011C0">
        <w:t>essential</w:t>
      </w:r>
      <w:r>
        <w:t xml:space="preserve"> when making a large error is costly and should be</w:t>
      </w:r>
      <w:r w:rsidR="0046249F">
        <w:t xml:space="preserve"> </w:t>
      </w:r>
      <w:r w:rsidR="00A149CC">
        <w:t>prioritized</w:t>
      </w:r>
      <w:r w:rsidR="002974B4">
        <w:t xml:space="preserve"> for avoidance</w:t>
      </w:r>
      <w:r>
        <w:t xml:space="preserve">. In Scenario 3, where certain predictions deviate substantially from the majority, the squaring operation in </w:t>
      </w:r>
      <w:r w:rsidRPr="00DF6E0C">
        <w:rPr>
          <w:b/>
          <w:bCs/>
        </w:rPr>
        <w:t xml:space="preserve">Equation </w:t>
      </w:r>
      <w:r w:rsidR="00DF6E0C">
        <w:rPr>
          <w:b/>
          <w:bCs/>
        </w:rPr>
        <w:t>(</w:t>
      </w:r>
      <w:r w:rsidRPr="00DF6E0C">
        <w:rPr>
          <w:b/>
          <w:bCs/>
        </w:rPr>
        <w:t>2</w:t>
      </w:r>
      <w:r w:rsidR="00DF6E0C">
        <w:rPr>
          <w:b/>
          <w:bCs/>
        </w:rPr>
        <w:t>)</w:t>
      </w:r>
      <w:r>
        <w:t xml:space="preserve"> accentuates these outliers, culminating in </w:t>
      </w:r>
      <w:r w:rsidR="0060630D">
        <w:t>an</w:t>
      </w:r>
      <w:r>
        <w:t xml:space="preserve"> RMSE value of 25.49. It is also worth mentioning that RMSE is impervious to block effects, which was illustrated in Scenario 4. In this scenario, both the complete set of predictions and the intra-block predictions yield similar RMSE values—1.49, 1.46, and 1.52, respectively. This phenomenon emphasizes again that RMSE is affected solely by the magnitude of the error, which neglects the ability of the model to capture relative trends in intra-block or inter-block predictions.</w:t>
      </w:r>
    </w:p>
    <w:p w14:paraId="24DD264B" w14:textId="249FB7D6" w:rsidR="006D689A" w:rsidRDefault="00C82472" w:rsidP="002C2643">
      <w:pPr>
        <w:ind w:firstLine="720"/>
      </w:pPr>
      <w:r>
        <w:t xml:space="preserve">In practice, </w:t>
      </w:r>
      <w:r w:rsidR="00940420">
        <w:t xml:space="preserve">RMSE is easy to </w:t>
      </w:r>
      <w:r w:rsidR="009869F1">
        <w:t>interpret</w:t>
      </w:r>
      <w:r w:rsidR="00940420">
        <w:t xml:space="preserve"> </w:t>
      </w:r>
      <w:r w:rsidR="00DB33C0">
        <w:t>in</w:t>
      </w:r>
      <w:r w:rsidR="00940420">
        <w:t xml:space="preserve"> real-world </w:t>
      </w:r>
      <w:r w:rsidR="00DB33C0">
        <w:t>units of livestock production</w:t>
      </w:r>
      <w:r w:rsidR="00940420">
        <w:t xml:space="preserve">. For example, monitoring cow body weight is a common practice to aid in the management of dairy cows. </w:t>
      </w:r>
      <w:r w:rsidR="00943BC6" w:rsidRPr="00943BC6">
        <w:t xml:space="preserve">Studies by Song et al. and Xavier et al. have utilized RMSE to assess the effectiveness of three-dimensional cameras in estimating dairy cow body weight, yielding RMSE values of 41.2 kg and 12.1 kg, respectively </w:t>
      </w:r>
      <w:r w:rsidR="00943BC6">
        <w:fldChar w:fldCharType="begin"/>
      </w:r>
      <w:r w:rsidR="00011092">
        <w:instrText xml:space="preserve"> ADDIN ZOTERO_ITEM CSL_CITATION {"citationID":"a2ggg3mv5ob","properties":{"formattedCitation":"(Song et al., 2018; Xavier et al., 2022)","plainCitation":"(Song et al., 2018; Xavier et al., 2022)","noteIndex":0},"citationItems":[{"id":3635,"uris":["http://zotero.org/users/5933671/items/ULIDDU3N"],"itemData":{"id":3635,"type":"article-journal","abstract":"The objectives of this study were to quantify the error of body weight prediction using automatically measured morphological traits in a 3-dimensional (3D) vision system and to assess the influence of various sources of uncertainty on body weight prediction. In this case study, an image acquisition setup was created in a cow selection box equipped with a top-view 3-D camera. Morphological traits of hip height, hip width, and rump length were automatically extracted from the raw 3-D images taken of the rump area of dairy cows (n = 30). These traits combined with days in milk, age, and parity were used in multiple linear regression models to predict body weight. To find the best prediction model, an exhaustive feature selection algorithm was used to build intermediate models (n = 63). Each model was validated by leave-one-out crossvalidation, giving the root mean square error and mean absolute percentage error. The model consisting of hip width (measurement variability of 0.006 m), days in milk, and parity was the best model, with the lowest errors of 41.2 kg of root mean square error and 5.2% mean absolute percentage error. Our integrated system, including the image acquisition setup, image analysis, and the best prediction model, predicted the body weights with a performance similar to that achieved using semi-automated or manual methods. Moreover, the variability of our simplified morphological trait measurement showed a negligible contribution to the uncertainty of body weight prediction. We suggest that dairy cow body weight prediction can be improved by incorporating more predictive morphological traits and by improving the prediction model structure.","container-title":"Journal of Dairy Science","DOI":"10.3168/jds.2017-13094","ISSN":"00220302","issue":"5","journalAbbreviation":"Journal of Dairy Science","language":"en","page":"4448-4459","source":"DOI.org (Crossref)","title":"Automated body weight prediction of dairy cows using 3-dimensional vision","volume":"101","author":[{"family":"Song","given":"X."},{"family":"Bokkers","given":"E.A.M."},{"family":"Van Der Tol","given":"P.P.J."},{"family":"Groot Koerkamp","given":"P.W.G."},{"family":"Van Mourik","given":"S."}],"issued":{"date-parts":[["2018",5]]}}},{"id":3684,"uris":["http://zotero.org/users/5933671/items/VW8TEBEQ"],"itemData":{"id":3684,"type":"article-journal","abstract":"Three-dimensional (3D) imaging offers new possibilities in animal phenotyping. Here, we investigated how this technology can be used to study the morphological changes that occur in dairy cows over the course of a single lactation. First, we estimated the individual body weight (BW) of dairy cows using traits measured with 3D images. To improve the quality of prediction, we monitored body growth (via 3D imaging), gut fill (via individual dry matter intake), and body reserves (via body condition score) throughout lactation. A group of 16 Holstein cows—8 in their first lactation, 4 in their second lactation, and 4 in their third or higher lactation—was scanned in 3D once a month for an entire lactation. Values of morphological traits (e.g., chest depth or hip width) increased continuously with parity, but cows in their first lactation experienced the largest increase during the monitoring period. Values of partial volume, estimated from point of shoulder to pin bone, predicted BW with an error of 25.4 kg (R2 = 0.92), which was reduced to 14.3 kg when the individual effect of cows was added to the estimation model. The model was further improved by the addition of partial surface area (from point of shoulder to pin bone), hip width, chest depth, diagonal length, and heart girth, which increased the R2 of BW prediction to 0.94 and decreased root mean square error to 22.1 kg. The different slopes for individual cows were partly explained by body condition score and morphological traits, indicating that they may have reflected differences in body density among animals. Changes in BW over the course of lactation were mostly due to changes in growth, which accounted for around two-thirds of BW gain regardless of parity. Body reserves and gut fill had smaller but still notable effects on body composition, with a higher gain in body reserves and gut fill for cows in their first lactation compared with multiparous cows. This work demonstrated the potential for rapid and low-cost 3D imaging to facilitate the monitoring of several traits of high interest in dairy livestock farming.","container-title":"Journal of Dairy Science","DOI":"10.3168/jds.2021-21337","ISSN":"0022-0302","issue":"5","journalAbbreviation":"Journal of Dairy Science","page":"4508-4519","source":"ScienceDirect","title":"The use of 3-dimensional imaging of Holstein cows to estimate body weight and monitor the composition of body weight change throughout lactation","volume":"105","author":[{"family":"Xavier","given":"C."},{"family":"Le Cozler","given":"Y."},{"family":"Depuille","given":"L."},{"family":"Caillot","given":"A."},{"family":"Lebreton","given":"A."},{"family":"Allain","given":"C."},{"family":"Delouard","given":"J. M."},{"family":"Delattre","given":"L."},{"family":"Luginbuhl","given":"T."},{"family":"Faverdin","given":"P."},{"family":"Fischer","given":"A."}],"issued":{"date-parts":[["2022",5,1]]}}}],"schema":"https://github.com/citation-style-language/schema/raw/master/csl-citation.json"} </w:instrText>
      </w:r>
      <w:r w:rsidR="00943BC6">
        <w:fldChar w:fldCharType="separate"/>
      </w:r>
      <w:r w:rsidR="00011092" w:rsidRPr="00011092">
        <w:rPr>
          <w:kern w:val="0"/>
        </w:rPr>
        <w:t>(Song et al., 2018; Xavier et al., 2022)</w:t>
      </w:r>
      <w:r w:rsidR="00943BC6">
        <w:fldChar w:fldCharType="end"/>
      </w:r>
      <w:r w:rsidR="00943BC6" w:rsidRPr="00943BC6">
        <w:t xml:space="preserve">. These figures provide a straightforward </w:t>
      </w:r>
      <w:r w:rsidR="005D2893">
        <w:t>value</w:t>
      </w:r>
      <w:r w:rsidR="00943BC6" w:rsidRPr="00943BC6">
        <w:t xml:space="preserve"> for farmers to gauge whether the prediction error is tolerable, considering their specific operational costs and management thresholds. In essence, RMSE translates complex model accuracy into practical insights for productive agricultural units.</w:t>
      </w:r>
    </w:p>
    <w:p w14:paraId="2806534A" w14:textId="6485E5E2" w:rsidR="003F7236" w:rsidRPr="0003589B" w:rsidRDefault="003F7236" w:rsidP="00091B5C">
      <w:pPr>
        <w:pStyle w:val="Heading3"/>
      </w:pPr>
      <w:r w:rsidRPr="0003589B">
        <w:lastRenderedPageBreak/>
        <w:t>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03589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6E05E1BE" w14:textId="77777777" w:rsidTr="006344C5">
        <w:tc>
          <w:tcPr>
            <w:tcW w:w="350" w:type="pct"/>
          </w:tcPr>
          <w:p w14:paraId="15B6140E" w14:textId="77777777" w:rsidR="003F7236" w:rsidRDefault="003F7236" w:rsidP="00527900"/>
        </w:tc>
        <w:tc>
          <w:tcPr>
            <w:tcW w:w="4300" w:type="pct"/>
          </w:tcPr>
          <w:p w14:paraId="052C0C38" w14:textId="77777777" w:rsidR="003F7236" w:rsidRPr="00201BA3" w:rsidRDefault="00000000" w:rsidP="00527900">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aln/>
                  </m:rP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r>
                  <m:rPr>
                    <m:sty m:val="p"/>
                  </m:rPr>
                  <w:br/>
                </m:r>
              </m:oMath>
              <m:oMath>
                <m:r>
                  <m:rPr>
                    <m:aln/>
                  </m:rP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350" w:type="pct"/>
          </w:tcPr>
          <w:p w14:paraId="05DD7D7D" w14:textId="77777777" w:rsidR="003F7236" w:rsidRDefault="003F7236" w:rsidP="00527900">
            <w:pPr>
              <w:jc w:val="right"/>
            </w:pPr>
          </w:p>
          <w:p w14:paraId="1D23E048" w14:textId="77777777" w:rsidR="003F7236" w:rsidRDefault="003F7236" w:rsidP="00527900">
            <w:pPr>
              <w:jc w:val="right"/>
            </w:pPr>
          </w:p>
          <w:p w14:paraId="045FE2A8" w14:textId="77777777" w:rsidR="003F7236" w:rsidRDefault="003F7236" w:rsidP="00527900">
            <w:pPr>
              <w:jc w:val="right"/>
            </w:pPr>
          </w:p>
          <w:p w14:paraId="6D86F8DB" w14:textId="1B53379F" w:rsidR="003F7236" w:rsidRDefault="003F7236" w:rsidP="00527900">
            <w:pPr>
              <w:jc w:val="right"/>
            </w:pPr>
            <w:r>
              <w:t xml:space="preserve"> (</w:t>
            </w:r>
            <w:r>
              <w:fldChar w:fldCharType="begin"/>
            </w:r>
            <w:r>
              <w:instrText xml:space="preserve"> SEQ Equation \* ARABIC </w:instrText>
            </w:r>
            <w:r>
              <w:fldChar w:fldCharType="separate"/>
            </w:r>
            <w:r w:rsidR="007A7577">
              <w:rPr>
                <w:noProof/>
              </w:rPr>
              <w:t>3</w:t>
            </w:r>
            <w:r>
              <w:rPr>
                <w:noProof/>
              </w:rPr>
              <w:fldChar w:fldCharType="end"/>
            </w:r>
            <w:r>
              <w:t>)</w:t>
            </w:r>
          </w:p>
        </w:tc>
      </w:tr>
    </w:tbl>
    <w:p w14:paraId="15FA32D4" w14:textId="65C1D58F" w:rsidR="00AB588B" w:rsidRDefault="006344C5" w:rsidP="00B66623">
      <w:pPr>
        <w:ind w:firstLine="720"/>
      </w:pPr>
      <w:r>
        <w:t>The Coefficient of Determination</w:t>
      </w:r>
      <w:r w:rsidR="00F3122F">
        <w:t>, denoted as</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3122F">
        <w:t>, assesses prediction accuracy by comparing the variance explained by the model against the total observed variance</w:t>
      </w:r>
      <w:r w:rsidR="002D306C">
        <w:t xml:space="preserve"> from </w:t>
      </w:r>
      <m:oMath>
        <m:sSub>
          <m:sSubPr>
            <m:ctrlPr>
              <w:rPr>
                <w:rFonts w:ascii="Cambria Math" w:hAnsi="Cambria Math"/>
                <w:i/>
              </w:rPr>
            </m:ctrlPr>
          </m:sSubPr>
          <m:e>
            <m:r>
              <w:rPr>
                <w:rFonts w:ascii="Cambria Math" w:hAnsi="Cambria Math"/>
              </w:rPr>
              <m:t>y</m:t>
            </m:r>
          </m:e>
          <m:sub>
            <m:r>
              <w:rPr>
                <w:rFonts w:ascii="Cambria Math" w:hAnsi="Cambria Math"/>
              </w:rPr>
              <m:t xml:space="preserve"> </m:t>
            </m:r>
          </m:sub>
        </m:sSub>
      </m:oMath>
      <w:r w:rsidR="00F3122F">
        <w:t xml:space="preserve">. It is defined in </w:t>
      </w:r>
      <w:r w:rsidR="00F3122F" w:rsidRPr="00F3122F">
        <w:rPr>
          <w:b/>
          <w:bCs/>
        </w:rPr>
        <w:t xml:space="preserve">Equation </w:t>
      </w:r>
      <w:r w:rsidR="00BD296E">
        <w:rPr>
          <w:b/>
          <w:bCs/>
        </w:rPr>
        <w:t>(</w:t>
      </w:r>
      <w:r w:rsidR="00F3122F" w:rsidRPr="00F3122F">
        <w:rPr>
          <w:b/>
          <w:bCs/>
        </w:rPr>
        <w:t>3</w:t>
      </w:r>
      <w:r w:rsidR="00BD296E">
        <w:rPr>
          <w:b/>
          <w:bCs/>
        </w:rPr>
        <w:t>)</w:t>
      </w:r>
      <w:r w:rsidR="00271108">
        <w:t xml:space="preserve">, where </w:t>
      </w:r>
      <w:r w:rsidR="00271108" w:rsidRPr="00AB588B">
        <w:rPr>
          <w:b/>
          <w:bCs/>
        </w:rPr>
        <w:t>SSE</w:t>
      </w:r>
      <w:r w:rsidR="00271108">
        <w:rPr>
          <w:b/>
          <w:bCs/>
        </w:rPr>
        <w:t xml:space="preserve"> </w:t>
      </w:r>
      <w:r w:rsidR="00271108">
        <w:t xml:space="preserve">represents the Sum of Squared Errors and </w:t>
      </w:r>
      <w:r w:rsidR="00271108" w:rsidRPr="00271108">
        <w:rPr>
          <w:b/>
          <w:bCs/>
        </w:rPr>
        <w:t>SST</w:t>
      </w:r>
      <w:r w:rsidR="00271108">
        <w:rPr>
          <w:b/>
          <w:bCs/>
        </w:rPr>
        <w:t xml:space="preserve"> </w:t>
      </w:r>
      <w:r w:rsidR="00271108">
        <w:t>is the Total Sum of Squares.</w:t>
      </w:r>
      <w:r w:rsidR="00DF6E0C">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E0C">
        <w:t xml:space="preserve"> is obtained by subtracting the ratio of </w:t>
      </w:r>
      <w:r w:rsidR="00DF6E0C" w:rsidRPr="00DF6E0C">
        <w:t>SSE</w:t>
      </w:r>
      <w:r w:rsidR="00DF6E0C">
        <w:t xml:space="preserve"> to </w:t>
      </w:r>
      <w:r w:rsidR="00DF6E0C" w:rsidRPr="00DF6E0C">
        <w:t>SST</w:t>
      </w:r>
      <w:r w:rsidR="00DF6E0C">
        <w:t xml:space="preserve"> from 1.</w:t>
      </w:r>
      <w:r>
        <w:t xml:space="preserve"> </w:t>
      </w:r>
      <w:r w:rsidR="00AB1476">
        <w:t xml:space="preserve">Given that the ratio </w:t>
      </w:r>
      <w:r w:rsidR="0069711F">
        <w:t>is non-negative</w:t>
      </w:r>
      <w:r>
        <w:t xml:space="preserve">, the maximum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300D7">
        <w:t xml:space="preserve"> </w:t>
      </w:r>
      <w:r>
        <w:t xml:space="preserve">value is 1, which indicates the predictions are </w:t>
      </w:r>
      <w:r w:rsidR="00EC0D6C">
        <w:t>the same</w:t>
      </w:r>
      <w:r>
        <w:t xml:space="preserve"> as the observed values. Besides, there is a special case where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300D7">
        <w:t xml:space="preserve"> </w:t>
      </w:r>
      <w:r>
        <w:t xml:space="preserve">is 0, which </w:t>
      </w:r>
      <w:r w:rsidR="002C681C">
        <w:t xml:space="preserve">indicates a model that performs no better than </w:t>
      </w:r>
      <w:r>
        <w:t>predict</w:t>
      </w:r>
      <w:r w:rsidR="00E6524E">
        <w:t>ing</w:t>
      </w:r>
      <w:r>
        <w:t xml:space="preserve"> all samples as the mean of the observed values. </w:t>
      </w:r>
      <w:r w:rsidR="00715567">
        <w:t>Negative</w:t>
      </w:r>
      <w:r w:rsidR="006300D7">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15567">
        <w:t xml:space="preserve"> occurs when a model</w:t>
      </w:r>
      <w:r w:rsidR="00F2048E">
        <w:t xml:space="preserve"> </w:t>
      </w:r>
      <w:r w:rsidR="00B66623">
        <w:t>performs worse than the mean-based predictions, suggesting a potentially overfit model with excessive variance.</w:t>
      </w:r>
    </w:p>
    <w:p w14:paraId="6AEBC41A" w14:textId="027D12EC" w:rsidR="00AB588B" w:rsidRDefault="00D32AA8" w:rsidP="006F18FF">
      <w:pPr>
        <w:ind w:firstLine="720"/>
      </w:pPr>
      <w:r>
        <w:t xml:space="preserve">In Scenario 1, a moderate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77431">
        <w:t xml:space="preserve"> </w:t>
      </w:r>
      <w:r>
        <w:t>of 0.47</w:t>
      </w:r>
      <w:r w:rsidR="00277431">
        <w:t xml:space="preserve"> </w:t>
      </w:r>
      <w:r w:rsidR="00277431" w:rsidRPr="006F18FF">
        <w:t xml:space="preserve">indicates that the model explains nearly half of the observed variation. With a five times larger variance compared to </w:t>
      </w:r>
      <w:r w:rsidR="00F16623" w:rsidRPr="006F18FF">
        <w:t xml:space="preserve">Scenario 1, </w:t>
      </w:r>
      <w:r w:rsidR="00EA1F7F" w:rsidRPr="006F18FF">
        <w:t xml:space="preserve">Scenario 2 yields a negative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A1F7F" w:rsidRPr="006F18FF">
        <w:t xml:space="preserve"> </w:t>
      </w:r>
      <w:proofErr w:type="gramStart"/>
      <w:r w:rsidR="00EA1F7F" w:rsidRPr="006F18FF">
        <w:t>of  -</w:t>
      </w:r>
      <w:proofErr w:type="gramEnd"/>
      <w:r w:rsidR="00EA1F7F" w:rsidRPr="006F18FF">
        <w:t>0.21</w:t>
      </w:r>
      <w:r w:rsidR="00756E19" w:rsidRPr="006F18FF">
        <w:t xml:space="preserve"> despite retaining the same prediction order.</w:t>
      </w:r>
      <w:r w:rsidR="005125A8" w:rsidRPr="006F18FF">
        <w:t xml:space="preserve"> Similarly to RMSE</w:t>
      </w:r>
      <w:r w:rsidR="00717191">
        <w:t>,</w:t>
      </w:r>
      <w:r w:rsidR="005125A8" w:rsidRPr="006F18FF">
        <w:t xml:space="preserve"> where errors are squared, </w:t>
      </w:r>
      <w:r w:rsidR="004024FF" w:rsidRPr="006F18FF">
        <w:t xml:space="preserve">the presence of outliers leads to a dramatic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024FF" w:rsidRPr="006F18FF">
        <w:t xml:space="preserve"> </w:t>
      </w:r>
      <w:r w:rsidR="007179C1" w:rsidRPr="006F18FF">
        <w:t>drop</w:t>
      </w:r>
      <w:r w:rsidR="004024FF" w:rsidRPr="006F18FF">
        <w:t xml:space="preserve"> to -58.83, showcasing the sensitivity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66540" w:rsidRPr="006F18FF">
        <w:t xml:space="preserve"> to outlier-induced variance.</w:t>
      </w:r>
      <w:r w:rsidR="007179C1" w:rsidRPr="006F18FF">
        <w:t xml:space="preserve"> </w:t>
      </w:r>
      <w:r w:rsidR="004F460E" w:rsidRPr="006F18FF">
        <w:t xml:space="preserve">Lastly, </w:t>
      </w:r>
      <w:r w:rsidR="004F460E">
        <w:t>i</w:t>
      </w:r>
      <w:r w:rsidR="004F460E" w:rsidRPr="006F18FF">
        <w:t>n</w:t>
      </w:r>
      <w:r w:rsidR="00183B89" w:rsidRPr="006F18FF">
        <w:t xml:space="preserve"> Scenario 4, the value of</w:t>
      </w:r>
      <w:r w:rsidR="00796DE5">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83B89" w:rsidRPr="006F18FF">
        <w:t xml:space="preserve"> indicated a strong performance by the model with a score of 0.80. This score is statistically reasonable, as the model explained 80% of the total variation, which was mainly contributed by block effects. However, when each block was analyzed individually,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96DE5" w:rsidRPr="006F18FF">
        <w:t xml:space="preserve"> </w:t>
      </w:r>
      <w:r w:rsidR="00183B89" w:rsidRPr="006F18FF">
        <w:t xml:space="preserve">values decreased to -0.71 and -1.10, respectively, because the model failed to account for intra-block variation. In summary, while both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83B89" w:rsidRPr="006F18FF">
        <w:t xml:space="preserve"> aim to measure prediction errors,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96DE5" w:rsidRPr="006F18FF">
        <w:t xml:space="preserve"> </w:t>
      </w:r>
      <w:r w:rsidR="00183B89" w:rsidRPr="006F18FF">
        <w:t>offers additional statistical insights that facilitate a more nuanced evaluation of model performance.</w:t>
      </w:r>
    </w:p>
    <w:p w14:paraId="3DC7D80E" w14:textId="4BFD06A9" w:rsidR="006344C5" w:rsidRDefault="00740C40" w:rsidP="00BC6EBA">
      <w:pPr>
        <w:ind w:firstLine="720"/>
      </w:pPr>
      <w:r>
        <w:t xml:space="preserve">The metric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useful in </w:t>
      </w:r>
      <w:r w:rsidR="006A0088">
        <w:t>comparing</w:t>
      </w:r>
      <w:r>
        <w:t xml:space="preserve"> multiple regression models. For instance, Xavier et al. used this metric to regress the body weight of dairy cows on a set of morphological traits. </w:t>
      </w:r>
      <w:r w:rsidR="00174FC5">
        <w:t>The study</w:t>
      </w:r>
      <w:r>
        <w:t xml:space="preserve"> compared different linear combinations of these traits and used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to select the best model for predicting body weight</w:t>
      </w:r>
      <w:r w:rsidR="00174FC5">
        <w:t xml:space="preserve"> </w:t>
      </w:r>
      <w:r w:rsidR="00174FC5">
        <w:fldChar w:fldCharType="begin"/>
      </w:r>
      <w:r w:rsidR="00011092">
        <w:instrText xml:space="preserve"> ADDIN ZOTERO_ITEM CSL_CITATION {"citationID":"a2d5thojl1a","properties":{"formattedCitation":"(Xavier et al., 2022)","plainCitation":"(Xavier et al., 2022)","noteIndex":0},"citationItems":[{"id":3684,"uris":["http://zotero.org/users/5933671/items/VW8TEBEQ"],"itemData":{"id":3684,"type":"article-journal","abstract":"Three-dimensional (3D) imaging offers new possibilities in animal phenotyping. Here, we investigated how this technology can be used to study the morphological changes that occur in dairy cows over the course of a single lactation. First, we estimated the individual body weight (BW) of dairy cows using traits measured with 3D images. To improve the quality of prediction, we monitored body growth (via 3D imaging), gut fill (via individual dry matter intake), and body reserves (via body condition score) throughout lactation. A group of 16 Holstein cows—8 in their first lactation, 4 in their second lactation, and 4 in their third or higher lactation—was scanned in 3D once a month for an entire lactation. Values of morphological traits (e.g., chest depth or hip width) increased continuously with parity, but cows in their first lactation experienced the largest increase during the monitoring period. Values of partial volume, estimated from point of shoulder to pin bone, predicted BW with an error of 25.4 kg (R2 = 0.92), which was reduced to 14.3 kg when the individual effect of cows was added to the estimation model. The model was further improved by the addition of partial surface area (from point of shoulder to pin bone), hip width, chest depth, diagonal length, and heart girth, which increased the R2 of BW prediction to 0.94 and decreased root mean square error to 22.1 kg. The different slopes for individual cows were partly explained by body condition score and morphological traits, indicating that they may have reflected differences in body density among animals. Changes in BW over the course of lactation were mostly due to changes in growth, which accounted for around two-thirds of BW gain regardless of parity. Body reserves and gut fill had smaller but still notable effects on body composition, with a higher gain in body reserves and gut fill for cows in their first lactation compared with multiparous cows. This work demonstrated the potential for rapid and low-cost 3D imaging to facilitate the monitoring of several traits of high interest in dairy livestock farming.","container-title":"Journal of Dairy Science","DOI":"10.3168/jds.2021-21337","ISSN":"0022-0302","issue":"5","journalAbbreviation":"Journal of Dairy Science","page":"4508-4519","source":"ScienceDirect","title":"The use of 3-dimensional imaging of Holstein cows to estimate body weight and monitor the composition of body weight change throughout lactation","volume":"105","author":[{"family":"Xavier","given":"C."},{"family":"Le Cozler","given":"Y."},{"family":"Depuille","given":"L."},{"family":"Caillot","given":"A."},{"family":"Lebreton","given":"A."},{"family":"Allain","given":"C."},{"family":"Delouard","given":"J. M."},{"family":"Delattre","given":"L."},{"family":"Luginbuhl","given":"T."},{"family":"Faverdin","given":"P."},{"family":"Fischer","given":"A."}],"issued":{"date-parts":[["2022",5,1]]}}}],"schema":"https://github.com/citation-style-language/schema/raw/master/csl-citation.json"} </w:instrText>
      </w:r>
      <w:r w:rsidR="00174FC5">
        <w:fldChar w:fldCharType="separate"/>
      </w:r>
      <w:r w:rsidR="00011092" w:rsidRPr="00011092">
        <w:rPr>
          <w:kern w:val="0"/>
        </w:rPr>
        <w:t>(Xavier et al., 2022)</w:t>
      </w:r>
      <w:r w:rsidR="00174FC5">
        <w:fldChar w:fldCharType="end"/>
      </w:r>
      <w:r w:rsidR="00174FC5">
        <w:t xml:space="preserve"> </w:t>
      </w:r>
      <w:r>
        <w:t xml:space="preserve">. Another example is the study by </w:t>
      </w:r>
      <w:proofErr w:type="spellStart"/>
      <w:r>
        <w:t>Grelet</w:t>
      </w:r>
      <w:proofErr w:type="spellEnd"/>
      <w:r>
        <w:t xml:space="preserve"> et al.</w:t>
      </w:r>
      <w:r w:rsidR="00DF707C">
        <w:t>,</w:t>
      </w:r>
      <w:r>
        <w:t xml:space="preserve"> which examined the relationship between the milk spectral profile collected from mid-infrared spectroscopy and nitrogen utilization efficiency in dairy cows. In this study,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was used to determine the response variable that could be explained most by the same set of regressors</w:t>
      </w:r>
      <w:r w:rsidR="00C75499">
        <w:t xml:space="preserve"> </w:t>
      </w:r>
      <w:r w:rsidR="00C75499">
        <w:fldChar w:fldCharType="begin"/>
      </w:r>
      <w:r w:rsidR="00011092">
        <w:instrText xml:space="preserve"> ADDIN ZOTERO_ITEM CSL_CITATION {"citationID":"asv5qb8gmj","properties":{"formattedCitation":"(Grelet et al., 2020)","plainCitation":"(Grelet et al., 2020)","noteIndex":0},"citationItems":[{"id":3604,"uris":["http://zotero.org/users/5933671/items/UHQREV9V"],"itemData":{"id":3604,"type":"article-journal","abstract":"Improving nitrogen use efficiency (NUE) at both the individual cow and the herd level has become a key target in dairy production systems, for both environmental and economic reasons. Cost-effective and large-scale phenotyping methods are required to improve NUE through genetic selection and by feeding and management strategies. The aim of this study was to evaluate the possibility of using mid-infrared (MIR) spectra of milk to predict individual dairy cow NUE during early lactation. Data were collected from 129 Holstein cows, from calving until 50 d in milk, in 3 research herds (Denmark, Ireland, and the UK). In 2 of the herds, diets were designed to challenge cows metabolically, whereas a diet reflecting local management practices was offered in the third herd. Nitrogen intake (kg/d) and nitrogen excreted in milk (kg/d) were calculated daily. Nitrogen use efficiency was calculated as the ratio between nitrogen in milk and nitrogen intake, and expressed as a percentage. Individual daily values for NUE ranged from 9.7 to 81.7%, with an average of 36.9% and standard deviation of 10.4%. Milk MIR spectra were recorded twice weekly and were standardized into a common format to avoid bias between apparatus or sampling periods. Regression models predicting NUE using milk MIR spectra were developed on 1,034 observations using partial least squares or support vector machines regression methods. The models were then evaluated through (1) a cross-validation using 10 subsets, (2) a cow validation excluding 25% of the cows to be used as a validation set, and (3) a diet validation excluding each of the diets one by one to be used as validation sets. The best statistical performances were obtained when using the support vector machines method. Inclusion of milk yield and lactation number as predictors, in combination with the spectra, also improved the calibration. In cross-validation, the best model predicted NUE with a coefficient of determination of cross-validation of 0.74 and a relative error of 14%, which is suitable to discriminate between low- and high-NUE cows. When performing the cow validation, the relative error remained at 14%, and during the diet validation the relative error ranged from 12 to 34%. In the diet validation, the models showed a lack of robustness, demonstrating difficulties in predicting NUE for diets and for samples that were not represented in the calibration data set. Hence, a need exists to integrate more data in the models to cover a maximum of variability regarding breeds, diets, lactation stages, management practices, seasons, MIR instruments, and geographic regions. Although the model needs to be validated and improved for use in routine conditions, these preliminary results showed that it was possible to obtain information on NUE through milk MIR spectra. This could potentially allow large-scale predictions to aid both further genetic and genomic studies, and the development of farm management tools.","container-title":"Journal of Dairy Science","DOI":"10.3168/jds.2019-17910","ISSN":"0022-0302","issue":"5","journalAbbreviation":"Journal of Dairy Science","page":"4435-4445","source":"ScienceDirect","title":"Potential of milk mid-infrared spectra to predict nitrogen use efficiency of individual dairy cows in early lactation","volume":"103","author":[{"family":"Grelet","given":"C."},{"family":"Froidmont","given":"E."},{"family":"Foldager","given":"L."},{"family":"Salavati","given":"M."},{"family":"Hostens","given":"M."},{"family":"Ferris","given":"C. P."},{"family":"Ingvartsen","given":"K. L."},{"family":"Crowe","given":"M. A."},{"family":"Sorensen","given":"M. T."},{"family":"Fernandez Pierna","given":"J. A."},{"family":"Vanlierde","given":"A."},{"family":"Gengler","given":"N."},{"family":"Dehareng","given":"F."}],"issued":{"date-parts":[["2020",5,1]]}}}],"schema":"https://github.com/citation-style-language/schema/raw/master/csl-citation.json"} </w:instrText>
      </w:r>
      <w:r w:rsidR="00C75499">
        <w:fldChar w:fldCharType="separate"/>
      </w:r>
      <w:r w:rsidR="00011092" w:rsidRPr="00011092">
        <w:rPr>
          <w:kern w:val="0"/>
        </w:rPr>
        <w:t>(</w:t>
      </w:r>
      <w:proofErr w:type="spellStart"/>
      <w:r w:rsidR="00011092" w:rsidRPr="00011092">
        <w:rPr>
          <w:kern w:val="0"/>
        </w:rPr>
        <w:t>Grelet</w:t>
      </w:r>
      <w:proofErr w:type="spellEnd"/>
      <w:r w:rsidR="00011092" w:rsidRPr="00011092">
        <w:rPr>
          <w:kern w:val="0"/>
        </w:rPr>
        <w:t xml:space="preserve"> et al., 2020)</w:t>
      </w:r>
      <w:r w:rsidR="00C75499">
        <w:fldChar w:fldCharType="end"/>
      </w:r>
      <w:r>
        <w:t xml:space="preserve">. In both cases,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was used to evaluate the performance of the model and select the best one.</w:t>
      </w:r>
    </w:p>
    <w:p w14:paraId="4435A6C2" w14:textId="5047B30E" w:rsidR="00C92F05" w:rsidRDefault="00E11C73" w:rsidP="00091B5C">
      <w:pPr>
        <w:pStyle w:val="Heading3"/>
      </w:pPr>
      <w:r>
        <w:t xml:space="preserve">Section </w:t>
      </w:r>
      <w:r w:rsidR="00676E40">
        <w:t>Conclusion</w:t>
      </w:r>
    </w:p>
    <w:p w14:paraId="5FE3F106" w14:textId="1295C9F0" w:rsidR="00C92F05" w:rsidRDefault="00C92F05" w:rsidP="00C92F05">
      <w:pPr>
        <w:ind w:firstLine="720"/>
      </w:pPr>
      <w:r>
        <w:t xml:space="preserve">All three metrics discussed in this section are effective </w:t>
      </w:r>
      <w:r w:rsidR="004404A4">
        <w:t>in examining</w:t>
      </w:r>
      <w:r>
        <w:t xml:space="preserve"> the performance of regression models. Correlation Coefficient</w:t>
      </w:r>
      <w:r w:rsidR="004404A4">
        <w:t xml:space="preserve"> </w:t>
      </w:r>
      <m:oMath>
        <m:r>
          <w:rPr>
            <w:rFonts w:ascii="Cambria Math" w:hAnsi="Cambria Math"/>
          </w:rPr>
          <m:t>r</m:t>
        </m:r>
      </m:oMath>
      <w:r>
        <w:t xml:space="preserve"> evaluates the ability of the model to rank the observations. RMSE is a metric that is easy to interpret and is suitable to evaluate the absolute error. </w:t>
      </w:r>
      <w:r w:rsidR="004404A4">
        <w:t>The coefficient</w:t>
      </w:r>
      <w:r>
        <w:t xml:space="preserve"> of </w:t>
      </w:r>
      <w:r w:rsidR="009C47AE">
        <w:t>d</w:t>
      </w:r>
      <w:r>
        <w:t xml:space="preserve">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measures the proportion of variation that the model </w:t>
      </w:r>
      <w:r w:rsidR="004404A4">
        <w:t>can</w:t>
      </w:r>
      <w:r>
        <w:t xml:space="preserve"> explain. Choosing the </w:t>
      </w:r>
      <w:r w:rsidR="00442C05">
        <w:t>appropriate</w:t>
      </w:r>
      <w:r>
        <w:t xml:space="preserve"> metric hinges on the specific goals of model evaluation. For a thorough analysis, employing multiple metrics is advisable to gain a multifaceted view of the model's performance.</w:t>
      </w:r>
    </w:p>
    <w:p w14:paraId="0ED4A848" w14:textId="0D4A3B01" w:rsidR="008B256E" w:rsidRDefault="00BC6EBA" w:rsidP="00C51E4D">
      <w:pPr>
        <w:pStyle w:val="Heading2"/>
      </w:pPr>
      <w:r>
        <w:lastRenderedPageBreak/>
        <w:t xml:space="preserve">2. b </w:t>
      </w:r>
      <w:r w:rsidR="00460EEF">
        <w:t>Classification</w:t>
      </w:r>
    </w:p>
    <w:p w14:paraId="0C6BDAC8" w14:textId="0934A530" w:rsidR="00B40785" w:rsidRPr="00B40785" w:rsidRDefault="00013247" w:rsidP="00013247">
      <w:pPr>
        <w:ind w:firstLine="720"/>
      </w:pPr>
      <w:r w:rsidRPr="00013247">
        <w:t xml:space="preserve">Classification models aim to predict categorical outcomes such as 'healthy' or 'sick,' 'susceptible' or 'resistant,' and 'high yield' or 'low yield.’ This section presents a hypothetical example to highlight how the choice of different performance metrics can lead to different interpretations of a model's effectiveness. The example focuses on binary classification, where the outcome is either positive (Y=1) or negative (Y=0). Suppose a binary classification model always outputs a probability between 0 and 1, indicating the likelihood that a sample belongs to the positive class. It assumes that the model has high confidence in correctly predicting 1 out of 4 positive and 5 out of 6 negative samples. This example intends to illustrate a scenario where the positive outcome is rare, such as predicting the onset of a calving event in dairy cows </w:t>
      </w:r>
      <w:r w:rsidR="00A4542C">
        <w:fldChar w:fldCharType="begin"/>
      </w:r>
      <w:r w:rsidR="00011092">
        <w:instrText xml:space="preserve"> ADDIN ZOTERO_ITEM CSL_CITATION {"citationID":"anteh5kubn","properties":{"formattedCitation":"(Ouellet et al., 2016; Borchers et al., 2017)","plainCitation":"(Ouellet et al., 2016; Borchers et al., 2017)","noteIndex":0},"citationItems":[{"id":3636,"uris":["http://zotero.org/users/5933671/items/RH7F8VMT"],"itemData":{"id":3636,"type":"article-journal","abstract":"Dystocias are common in dairy cows and often adversely affect production, reproduction, animal welfare, labor, and economics within the dairy industry. An automated device that accurately predicts the onset of calving could potentially minimize the effect of dystocias by enabling producers to intervene early. Although many well-documented indicators can detect the imminence of calving, research is limited on their effectiveness to predict calving when measured by automated devices. The objective of this experiment was to determine if a decrease in vaginal temperature (VT), rumination (RT), and lying time (LT), or an increase in lying bouts (LB), as measured by 3 automated devices, could accurately predict the onset of calving within 24, 12, and 6h. The combination of these 4 calving indicators was also evaluated. Forty-two multiparous Holstein cows housed in tie-stalls were fitted with a temperature logger inserted in the vaginal cavity 7±2d before their expected calving date; VT was recorded at 1-min intervals. An ear-attached sensor recorded rumination time every hour based on ear movement while an accelerometer fitted to the right hind leg recorded cow position at 1-min intervals. On average, VT were 0.3±0.03°C lower, and RT and LT were 41±17 and 52±28min lower, respectively, on the calving day compared with the previous 4d. Cows had 2±1 more LB on the calving day. Of the 4 indicators, a decrease in VT≥0.1°C was best able to predict calving within the next 24h with a sensitivity of 74%, specificity of 74%, positive and negative predictive values of 51 and 89%, and area under the curve of 0.80. Combining the indicators enhanced the performance to predict calving within the next 24, 12, and 6h with best overall results obtained by combining the 3 devices for prediction within the next 24h (sensitivity: 77%, specificity: 77%, positive and negative predictive values: 56 and 90%, area under the curve: 0.82). These results indicate that a device that could simultaneously measure these 4 calving indicators could not precisely determine the onset of calving, but the information collected would assist dairy farmers in monitoring the onset of calving.","container-title":"Journal of Dairy Science","DOI":"10.3168/jds.2015-10057","ISSN":"0022-0302","issue":"2","journalAbbreviation":"Journal of Dairy Science","page":"1539-1548","source":"ScienceDirect","title":"Evaluation of calving indicators measured by automated monitoring devices to predict the onset of calving in Holstein dairy cows","volume":"99","author":[{"family":"Ouellet","given":"V."},{"family":"Vasseur","given":"E."},{"family":"Heuwieser","given":"W."},{"family":"Burfeind","given":"O."},{"family":"Maldague","given":"X."},{"family":"Charbonneau","given":"É."}],"issued":{"date-parts":[["2016",2,1]]}}},{"id":3633,"uris":["http://zotero.org/users/5933671/items/PBWRACU4"],"itemData":{"id":3633,"type":"article-journal","container-title":"Journal of Dairy Science","DOI":"10.3168/jds.2016-11526","ISSN":"00220302","issue":"7","journalAbbreviation":"Journal of Dairy Science","language":"en","page":"5664-5674","source":"DOI.org (Crossref)","title":"Machine-learning-based calving prediction from activity, lying, and ruminating behaviors in dairy cattle","volume":"100","author":[{"family":"Borchers","given":"M.R."},{"family":"Chang","given":"Y.M."},{"family":"Proudfoot","given":"K.L."},{"family":"Wadsworth","given":"B.A."},{"family":"Stone","given":"A.E."},{"family":"Bewley","given":"J.M."}],"issued":{"date-parts":[["2017",7]]}}}],"schema":"https://github.com/citation-style-language/schema/raw/master/csl-citation.json"} </w:instrText>
      </w:r>
      <w:r w:rsidR="00A4542C">
        <w:fldChar w:fldCharType="separate"/>
      </w:r>
      <w:r w:rsidR="00011092" w:rsidRPr="00011092">
        <w:rPr>
          <w:kern w:val="0"/>
        </w:rPr>
        <w:t>(Ouellet et al., 2016; Borchers et al., 2017)</w:t>
      </w:r>
      <w:r w:rsidR="00A4542C">
        <w:fldChar w:fldCharType="end"/>
      </w:r>
      <w:r w:rsidRPr="00013247">
        <w:t xml:space="preserve">. The </w:t>
      </w:r>
      <w:r w:rsidR="0059759B">
        <w:t>simulated predictions</w:t>
      </w:r>
      <w:r w:rsidRPr="00013247">
        <w:t xml:space="preserve"> can be summarized in the following probability distribution: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F024E" w14:paraId="6FBDEC3D" w14:textId="77777777" w:rsidTr="00E95992">
        <w:tc>
          <w:tcPr>
            <w:tcW w:w="350" w:type="pct"/>
          </w:tcPr>
          <w:p w14:paraId="2C503869" w14:textId="77777777" w:rsidR="009F024E" w:rsidRDefault="009F024E" w:rsidP="00527900"/>
        </w:tc>
        <w:tc>
          <w:tcPr>
            <w:tcW w:w="4300" w:type="pct"/>
          </w:tcPr>
          <w:p w14:paraId="1C90DC14" w14:textId="6239D34A" w:rsidR="009F024E" w:rsidRPr="00C97492" w:rsidRDefault="009F024E" w:rsidP="00527900">
            <w:pPr>
              <w:spacing w:line="360" w:lineRule="auto"/>
            </w:pPr>
            <m:oMathPara>
              <m:oMath>
                <m:r>
                  <w:rPr>
                    <w:rFonts w:ascii="Cambria Math" w:hAnsi="Cambria Math"/>
                    <w:color w:val="000000"/>
                  </w:rPr>
                  <m:t>P(X,Y)={</m:t>
                </m:r>
                <m:m>
                  <m:mPr>
                    <m:plcHide m:val="1"/>
                    <m:mcs>
                      <m:mc>
                        <m:mcPr>
                          <m:count m:val="2"/>
                          <m:mcJc m:val="center"/>
                        </m:mcPr>
                      </m:mc>
                    </m:mcs>
                    <m:ctrlPr>
                      <w:rPr>
                        <w:rFonts w:ascii="Cambria Math" w:hAnsi="Cambria Math"/>
                        <w:i/>
                        <w:color w:val="000000"/>
                      </w:rPr>
                    </m:ctrlPr>
                  </m:mP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0.8, 1.0</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Y=1</m:t>
                      </m:r>
                    </m:e>
                  </m:m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0.6, 0.8</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 0</m:t>
                      </m:r>
                    </m:e>
                  </m:m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0.2, 0.4</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3</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Y=1</m:t>
                      </m:r>
                    </m:e>
                  </m:m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0.0, 0.2</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5</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Y=0</m:t>
                      </m:r>
                    </m:e>
                  </m:mr>
                </m:m>
              </m:oMath>
            </m:oMathPara>
          </w:p>
        </w:tc>
        <w:tc>
          <w:tcPr>
            <w:tcW w:w="350" w:type="pct"/>
          </w:tcPr>
          <w:p w14:paraId="7C57AD20" w14:textId="77777777" w:rsidR="009F024E" w:rsidRDefault="009F024E" w:rsidP="00527900">
            <w:pPr>
              <w:jc w:val="right"/>
            </w:pPr>
          </w:p>
          <w:p w14:paraId="4A9997DD" w14:textId="77777777" w:rsidR="009F024E" w:rsidRDefault="009F024E" w:rsidP="00527900">
            <w:pPr>
              <w:jc w:val="right"/>
            </w:pPr>
          </w:p>
          <w:p w14:paraId="47E5AAD0" w14:textId="77777777" w:rsidR="009F024E" w:rsidRDefault="009F024E" w:rsidP="00527900">
            <w:pPr>
              <w:jc w:val="right"/>
            </w:pPr>
          </w:p>
          <w:p w14:paraId="5BC63F6A" w14:textId="77777777" w:rsidR="009F024E" w:rsidRDefault="009F024E" w:rsidP="00527900">
            <w:pPr>
              <w:jc w:val="right"/>
            </w:pPr>
          </w:p>
          <w:p w14:paraId="0163E111" w14:textId="1D94FA26" w:rsidR="009F024E" w:rsidRDefault="009F024E" w:rsidP="00527900">
            <w:pPr>
              <w:jc w:val="right"/>
            </w:pPr>
            <w:r>
              <w:t xml:space="preserve"> (</w:t>
            </w:r>
            <w:r>
              <w:fldChar w:fldCharType="begin"/>
            </w:r>
            <w:r>
              <w:instrText xml:space="preserve"> SEQ Equation \* ARABIC </w:instrText>
            </w:r>
            <w:r>
              <w:fldChar w:fldCharType="separate"/>
            </w:r>
            <w:r w:rsidR="007A7577">
              <w:rPr>
                <w:noProof/>
              </w:rPr>
              <w:t>4</w:t>
            </w:r>
            <w:r>
              <w:rPr>
                <w:noProof/>
              </w:rPr>
              <w:fldChar w:fldCharType="end"/>
            </w:r>
            <w:r>
              <w:t>)</w:t>
            </w:r>
          </w:p>
        </w:tc>
      </w:tr>
    </w:tbl>
    <w:p w14:paraId="4AE53BF8" w14:textId="7C22EF92" w:rsidR="00BD296E" w:rsidRDefault="009A5163" w:rsidP="00BD296E">
      <w:r w:rsidRPr="009A5163">
        <w:t xml:space="preserve">Where </w:t>
      </w:r>
      <m:oMath>
        <m:r>
          <w:rPr>
            <w:rFonts w:ascii="Cambria Math" w:hAnsi="Cambria Math"/>
            <w:color w:val="000000"/>
            <w:sz w:val="26"/>
            <w:szCs w:val="26"/>
          </w:rPr>
          <m:t>X</m:t>
        </m:r>
      </m:oMath>
      <w:r w:rsidRPr="009A5163">
        <w:t xml:space="preserve"> is a random variable representing the predicted probabilities sampled from a uniform distribution </w:t>
      </w:r>
      <m:oMath>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a, b</m:t>
            </m:r>
          </m:e>
        </m:d>
      </m:oMath>
      <w:r w:rsidR="00DE7B40">
        <w:rPr>
          <w:color w:val="000000"/>
          <w:sz w:val="26"/>
          <w:szCs w:val="26"/>
        </w:rPr>
        <w:t xml:space="preserve"> </w:t>
      </w:r>
      <w:r w:rsidRPr="009A5163">
        <w:t xml:space="preserve">between </w:t>
      </w:r>
      <m:oMath>
        <m:r>
          <w:rPr>
            <w:rFonts w:ascii="Cambria Math" w:hAnsi="Cambria Math"/>
            <w:color w:val="000000"/>
            <w:sz w:val="26"/>
            <w:szCs w:val="26"/>
          </w:rPr>
          <m:t>a</m:t>
        </m:r>
      </m:oMath>
      <w:r w:rsidR="00DE7B40" w:rsidRPr="009A5163">
        <w:t xml:space="preserve"> </w:t>
      </w:r>
      <w:r w:rsidRPr="009A5163">
        <w:t xml:space="preserve">and </w:t>
      </w:r>
      <m:oMath>
        <m:r>
          <w:rPr>
            <w:rFonts w:ascii="Cambria Math" w:hAnsi="Cambria Math"/>
            <w:color w:val="000000"/>
            <w:sz w:val="26"/>
            <w:szCs w:val="26"/>
          </w:rPr>
          <m:t>b</m:t>
        </m:r>
      </m:oMath>
      <w:r w:rsidRPr="009A5163">
        <w:t xml:space="preserve">, and </w:t>
      </w:r>
      <m:oMath>
        <m:r>
          <w:rPr>
            <w:rFonts w:ascii="Cambria Math" w:hAnsi="Cambria Math"/>
            <w:color w:val="000000"/>
            <w:sz w:val="26"/>
            <w:szCs w:val="26"/>
          </w:rPr>
          <m:t>Y</m:t>
        </m:r>
      </m:oMath>
      <w:r w:rsidRPr="009A5163">
        <w:t xml:space="preserve"> </w:t>
      </w:r>
      <w:r w:rsidR="00E31478">
        <w:rPr>
          <w:rFonts w:hint="eastAsia"/>
        </w:rPr>
        <w:t>represents</w:t>
      </w:r>
      <w:r w:rsidRPr="009A5163">
        <w:t xml:space="preserve"> the ground truth labels. The simulated result is shown in </w:t>
      </w:r>
      <w:r w:rsidRPr="00E31478">
        <w:rPr>
          <w:b/>
          <w:bCs/>
        </w:rPr>
        <w:t>Figure 2</w:t>
      </w:r>
      <w:r w:rsidR="00E31478" w:rsidRPr="00E31478">
        <w:t>.</w:t>
      </w:r>
      <w:r w:rsidR="00BD296E">
        <w:t xml:space="preserve"> </w:t>
      </w:r>
      <w:r w:rsidR="00C90884">
        <w:t>In addition to the original labels, this example also examines a scenario with inve</w:t>
      </w:r>
      <w:r w:rsidR="00981C29">
        <w:t>r</w:t>
      </w:r>
      <w:r w:rsidR="00C90884">
        <w:t>ted labels</w:t>
      </w:r>
      <w:r w:rsidR="00DC0330">
        <w:t xml:space="preserve"> (</w:t>
      </w:r>
      <w:r w:rsidR="00DC0330" w:rsidRPr="00DC0330">
        <w:rPr>
          <w:b/>
          <w:bCs/>
        </w:rPr>
        <w:t>Figure 2. Upper</w:t>
      </w:r>
      <w:r w:rsidR="00DC0330">
        <w:t>)</w:t>
      </w:r>
      <w:r w:rsidR="00C90884">
        <w:t xml:space="preserve">. Since most classification metrics prioritize positive samples, it is generally advisable to designate the event of interest as the positive class in binary classification problems. </w:t>
      </w:r>
      <w:r w:rsidR="000A79B2">
        <w:t>Inverting</w:t>
      </w:r>
      <w:r w:rsidR="00C90884">
        <w:t xml:space="preserve"> the labels illustrates the potential overestimation of model performance when the more common, but less significant, background event is mistakenly marked as the positive class. It is important to note that </w:t>
      </w:r>
      <w:r w:rsidR="007B6D7D">
        <w:t>inverting</w:t>
      </w:r>
      <w:r w:rsidR="00C90884">
        <w:t xml:space="preserve"> the labels affects only the interpretation of model performance, not the model configuration or parameters.</w:t>
      </w:r>
    </w:p>
    <w:p w14:paraId="4ADA0C5F" w14:textId="234F2CA5" w:rsidR="00C90884" w:rsidRDefault="00C90884" w:rsidP="00D67702">
      <w:pPr>
        <w:ind w:firstLine="720"/>
      </w:pPr>
      <w:r>
        <w:t xml:space="preserve">To evaluate classification performance, one must first establish a </w:t>
      </w:r>
      <w:r w:rsidRPr="009F670D">
        <w:rPr>
          <w:b/>
          <w:bCs/>
        </w:rPr>
        <w:t>confidence threshold</w:t>
      </w:r>
      <w:r>
        <w:t xml:space="preserve"> to dichotomize the prediction probabilities. For instance, if a prediction probability exceeds the threshold, the sample is labeled positive. By default, the threshold is set at 0.5 for its simplicity. Consider the third data row</w:t>
      </w:r>
      <w:r w:rsidR="00FC1040">
        <w:t xml:space="preserve"> of the simulated </w:t>
      </w:r>
      <w:r w:rsidR="0020194E">
        <w:t>outcome</w:t>
      </w:r>
      <w:r w:rsidR="009E4356">
        <w:t>,</w:t>
      </w:r>
      <w:r w:rsidR="001243CB">
        <w:t xml:space="preserve"> for example</w:t>
      </w:r>
      <w:r>
        <w:t>: with a prediction probability of 0.38</w:t>
      </w:r>
      <w:r w:rsidR="009E4356">
        <w:t xml:space="preserve"> that falls</w:t>
      </w:r>
      <w:r>
        <w:t xml:space="preserve"> below the threshold, the sample is deemed negative, resulting in a false negative classification since the ground truth is positive. It is worth mentioning that this threshold is adjustable to fine-tune model performance for </w:t>
      </w:r>
      <w:proofErr w:type="gramStart"/>
      <w:r>
        <w:t>particular uses</w:t>
      </w:r>
      <w:proofErr w:type="gramEnd"/>
      <w:r>
        <w:t>.</w:t>
      </w:r>
      <w:r w:rsidR="00D67702">
        <w:t xml:space="preserve"> </w:t>
      </w:r>
      <w:r>
        <w:t xml:space="preserve">A </w:t>
      </w:r>
      <w:r w:rsidRPr="00C140C8">
        <w:rPr>
          <w:b/>
          <w:bCs/>
        </w:rPr>
        <w:t>confusion matrix</w:t>
      </w:r>
      <w:r w:rsidR="00981C29">
        <w:t xml:space="preserve"> (</w:t>
      </w:r>
      <w:r w:rsidRPr="00981C29">
        <w:rPr>
          <w:b/>
          <w:bCs/>
        </w:rPr>
        <w:t xml:space="preserve">Figure 2. </w:t>
      </w:r>
      <w:r w:rsidR="00981C29">
        <w:rPr>
          <w:b/>
          <w:bCs/>
        </w:rPr>
        <w:t>L</w:t>
      </w:r>
      <w:r w:rsidRPr="00981C29">
        <w:rPr>
          <w:b/>
          <w:bCs/>
        </w:rPr>
        <w:t>ower</w:t>
      </w:r>
      <w:r w:rsidR="00981C29">
        <w:t>)</w:t>
      </w:r>
      <w:r>
        <w:t xml:space="preserve">, effectively encapsulates prediction outcomes. The rows in this 2x2 matrix correspond to ground truth, while its columns reflect predictions. Correct predictions populate the diagonal cells, and errors fill the off-diagonal ones. This matrix serves as the foundation for computing various metrics to assess model performance, which will </w:t>
      </w:r>
      <w:r w:rsidR="002D50E8">
        <w:t xml:space="preserve">be </w:t>
      </w:r>
      <w:r>
        <w:t>explore</w:t>
      </w:r>
      <w:r w:rsidR="002D50E8">
        <w:t>d</w:t>
      </w:r>
      <w:r>
        <w:t xml:space="preserve"> in the subsequent sections.</w:t>
      </w:r>
    </w:p>
    <w:p w14:paraId="2BF86688" w14:textId="77777777" w:rsidR="006C2616" w:rsidRDefault="006C2616" w:rsidP="00D67702">
      <w:pPr>
        <w:ind w:firstLine="720"/>
      </w:pPr>
    </w:p>
    <w:p w14:paraId="6FCAA50E" w14:textId="77777777" w:rsidR="006C2616" w:rsidRDefault="006C2616" w:rsidP="00D67702">
      <w:pPr>
        <w:ind w:firstLine="720"/>
      </w:pPr>
    </w:p>
    <w:p w14:paraId="6CDA6A22" w14:textId="77777777" w:rsidR="006C2616" w:rsidRDefault="006C2616" w:rsidP="00D67702">
      <w:pPr>
        <w:ind w:firstLine="720"/>
      </w:pPr>
    </w:p>
    <w:p w14:paraId="148F29C6" w14:textId="77777777" w:rsidR="006C2616" w:rsidRDefault="006C2616" w:rsidP="006C2616">
      <w:pPr>
        <w:keepNext/>
        <w:jc w:val="center"/>
      </w:pPr>
      <w:r w:rsidRPr="00614BA3">
        <w:rPr>
          <w:noProof/>
        </w:rPr>
        <w:lastRenderedPageBreak/>
        <w:drawing>
          <wp:inline distT="0" distB="0" distL="0" distR="0" wp14:anchorId="30F0B3D3" wp14:editId="61EF4BB7">
            <wp:extent cx="4600575" cy="4810943"/>
            <wp:effectExtent l="0" t="0" r="0" b="2540"/>
            <wp:docPr id="663019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19921" name="Picture 1" descr="A screenshot of a computer&#10;&#10;Description automatically generated"/>
                    <pic:cNvPicPr/>
                  </pic:nvPicPr>
                  <pic:blipFill>
                    <a:blip r:embed="rId10"/>
                    <a:stretch>
                      <a:fillRect/>
                    </a:stretch>
                  </pic:blipFill>
                  <pic:spPr>
                    <a:xfrm>
                      <a:off x="0" y="0"/>
                      <a:ext cx="4632052" cy="4843859"/>
                    </a:xfrm>
                    <a:prstGeom prst="rect">
                      <a:avLst/>
                    </a:prstGeom>
                  </pic:spPr>
                </pic:pic>
              </a:graphicData>
            </a:graphic>
          </wp:inline>
        </w:drawing>
      </w:r>
    </w:p>
    <w:p w14:paraId="345FEE48" w14:textId="2D56832E" w:rsidR="006C2616" w:rsidRDefault="006C2616" w:rsidP="006C2616">
      <w:pPr>
        <w:pStyle w:val="Caption"/>
      </w:pPr>
      <w:r w:rsidRPr="00FF58E4">
        <w:rPr>
          <w:b/>
          <w:bCs/>
        </w:rPr>
        <w:t xml:space="preserve">Figure </w:t>
      </w:r>
      <w:r w:rsidRPr="00FF58E4">
        <w:rPr>
          <w:b/>
          <w:bCs/>
        </w:rPr>
        <w:fldChar w:fldCharType="begin"/>
      </w:r>
      <w:r w:rsidRPr="00FF58E4">
        <w:rPr>
          <w:b/>
          <w:bCs/>
        </w:rPr>
        <w:instrText xml:space="preserve"> SEQ Figure \* ARABIC </w:instrText>
      </w:r>
      <w:r w:rsidRPr="00FF58E4">
        <w:rPr>
          <w:b/>
          <w:bCs/>
        </w:rPr>
        <w:fldChar w:fldCharType="separate"/>
      </w:r>
      <w:r w:rsidR="007A7577">
        <w:rPr>
          <w:b/>
          <w:bCs/>
          <w:noProof/>
        </w:rPr>
        <w:t>2</w:t>
      </w:r>
      <w:r w:rsidRPr="00FF58E4">
        <w:rPr>
          <w:b/>
          <w:bCs/>
        </w:rPr>
        <w:fldChar w:fldCharType="end"/>
      </w:r>
      <w:r w:rsidRPr="00FF58E4">
        <w:rPr>
          <w:b/>
          <w:bCs/>
        </w:rPr>
        <w:t>.</w:t>
      </w:r>
      <w:r w:rsidRPr="00015086">
        <w:t xml:space="preserve"> Simulated hypothetical example of binary classification.</w:t>
      </w:r>
      <w:r>
        <w:t xml:space="preserve"> TP: true positive; FN: false negative; FP: false positive; TN: true negative;</w:t>
      </w:r>
      <w:r w:rsidRPr="00015086">
        <w:t xml:space="preserve"> </w:t>
      </w:r>
      <w:r w:rsidRPr="00EC7E56">
        <w:rPr>
          <w:b/>
          <w:bCs/>
        </w:rPr>
        <w:t>Upper</w:t>
      </w:r>
      <w:r w:rsidRPr="00EC7E56">
        <w:t>:</w:t>
      </w:r>
      <w:r w:rsidRPr="00015086">
        <w:t xml:space="preserve"> The ground truth and prediction probability. </w:t>
      </w:r>
      <w:r>
        <w:rPr>
          <w:b/>
          <w:bCs/>
        </w:rPr>
        <w:t>L</w:t>
      </w:r>
      <w:r w:rsidRPr="00EC7E56">
        <w:rPr>
          <w:b/>
          <w:bCs/>
        </w:rPr>
        <w:t>ower</w:t>
      </w:r>
      <w:r w:rsidRPr="00EC7E56">
        <w:t>:</w:t>
      </w:r>
      <w:r w:rsidRPr="00015086">
        <w:t xml:space="preserve"> The confusion matrix of the prediction at a threshold of 0.5</w:t>
      </w:r>
      <w:r>
        <w:t>,</w:t>
      </w:r>
      <w:r w:rsidRPr="00015086">
        <w:t xml:space="preserve"> </w:t>
      </w:r>
      <w:r>
        <w:t>f</w:t>
      </w:r>
      <w:r w:rsidRPr="00015086">
        <w:t xml:space="preserve">ollowed by classification metrics of accuracy, precision, recall, </w:t>
      </w:r>
      <w:r>
        <w:t>MCC</w:t>
      </w:r>
      <w:r w:rsidRPr="00015086">
        <w:t xml:space="preserve">, PR curve AUC, and ROC curve AUC. The performance of the original labels serves as a baseline for comparison. Any better performance metrics from the </w:t>
      </w:r>
      <w:r>
        <w:t>inverted</w:t>
      </w:r>
      <w:r w:rsidRPr="00015086">
        <w:t xml:space="preserve"> labels are highlighted in bold and underscored.</w:t>
      </w:r>
    </w:p>
    <w:p w14:paraId="3C026769" w14:textId="08FD2A4F" w:rsidR="008B256E" w:rsidRDefault="00445735" w:rsidP="00091B5C">
      <w:pPr>
        <w:pStyle w:val="Heading3"/>
      </w:pPr>
      <w:r>
        <w:t>Accuracy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6108" w14:paraId="10392C39" w14:textId="77777777" w:rsidTr="0029163F">
        <w:tc>
          <w:tcPr>
            <w:tcW w:w="350" w:type="pct"/>
          </w:tcPr>
          <w:p w14:paraId="4A5AFD62" w14:textId="77777777" w:rsidR="00036108" w:rsidRDefault="00036108" w:rsidP="00527900"/>
        </w:tc>
        <w:tc>
          <w:tcPr>
            <w:tcW w:w="4300" w:type="pct"/>
          </w:tcPr>
          <w:p w14:paraId="1FB77A03" w14:textId="77F7FF31" w:rsidR="00036108" w:rsidRPr="00C97492" w:rsidRDefault="00036108" w:rsidP="00365358">
            <w:pPr>
              <w:spacing w:line="360" w:lineRule="auto"/>
            </w:pPr>
            <m:oMathPara>
              <m:oMath>
                <m:r>
                  <w:rPr>
                    <w:rFonts w:ascii="Cambria Math" w:hAnsi="Cambria Math"/>
                  </w:rPr>
                  <m:t>Accuracy</m:t>
                </m:r>
                <m:r>
                  <m:rPr>
                    <m:aln/>
                  </m:rPr>
                  <w:rPr>
                    <w:rFonts w:ascii="Cambria Math" w:hAnsi="Cambria Math"/>
                  </w:rPr>
                  <m:t>=</m:t>
                </m:r>
                <m:f>
                  <m:fPr>
                    <m:ctrlPr>
                      <w:rPr>
                        <w:rFonts w:ascii="Cambria Math" w:hAnsi="Cambria Math"/>
                      </w:rPr>
                    </m:ctrlPr>
                  </m:fPr>
                  <m:num>
                    <m:r>
                      <m:rPr>
                        <m:sty m:val="p"/>
                      </m:rPr>
                      <w:rPr>
                        <w:rFonts w:ascii="Cambria Math" w:hAnsi="Cambria Math"/>
                      </w:rPr>
                      <m:t>Total Correct Predictions</m:t>
                    </m:r>
                    <m:ctrlPr>
                      <w:rPr>
                        <w:rFonts w:ascii="Cambria Math" w:hAnsi="Cambria Math"/>
                        <w:i/>
                      </w:rPr>
                    </m:ctrlPr>
                  </m:num>
                  <m:den>
                    <m:r>
                      <m:rPr>
                        <m:sty m:val="p"/>
                      </m:rPr>
                      <w:rPr>
                        <w:rFonts w:ascii="Cambria Math" w:hAnsi="Cambria Math"/>
                      </w:rPr>
                      <m:t>Total Predictions</m:t>
                    </m:r>
                    <m:ctrlPr>
                      <w:rPr>
                        <w:rFonts w:ascii="Cambria Math" w:hAnsi="Cambria Math"/>
                        <w:i/>
                      </w:rPr>
                    </m:ctrlPr>
                  </m:den>
                </m:f>
                <m:r>
                  <m:rPr>
                    <m:sty m:val="p"/>
                  </m:rPr>
                  <w:br/>
                </m:r>
              </m:oMath>
              <m:oMath>
                <m:r>
                  <m:rPr>
                    <m:aln/>
                  </m:rP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tc>
        <w:tc>
          <w:tcPr>
            <w:tcW w:w="350" w:type="pct"/>
          </w:tcPr>
          <w:p w14:paraId="5CD07DA9" w14:textId="77777777" w:rsidR="00036108" w:rsidRDefault="00036108" w:rsidP="00527900">
            <w:pPr>
              <w:jc w:val="right"/>
            </w:pPr>
          </w:p>
          <w:p w14:paraId="45719B8E" w14:textId="77777777" w:rsidR="00036108" w:rsidRDefault="00036108" w:rsidP="00527900">
            <w:pPr>
              <w:jc w:val="right"/>
            </w:pPr>
          </w:p>
          <w:p w14:paraId="4CBC5351" w14:textId="77777777" w:rsidR="00365358" w:rsidRDefault="00365358" w:rsidP="00527900">
            <w:pPr>
              <w:jc w:val="right"/>
            </w:pPr>
          </w:p>
          <w:p w14:paraId="3269644A" w14:textId="0D66DE2D" w:rsidR="00036108" w:rsidRDefault="00036108" w:rsidP="00527900">
            <w:pPr>
              <w:jc w:val="right"/>
            </w:pPr>
            <w:r>
              <w:t xml:space="preserve"> (</w:t>
            </w:r>
            <w:r>
              <w:fldChar w:fldCharType="begin"/>
            </w:r>
            <w:r>
              <w:instrText xml:space="preserve"> SEQ Equation \* ARABIC </w:instrText>
            </w:r>
            <w:r>
              <w:fldChar w:fldCharType="separate"/>
            </w:r>
            <w:r w:rsidR="007A7577">
              <w:rPr>
                <w:noProof/>
              </w:rPr>
              <w:t>5</w:t>
            </w:r>
            <w:r>
              <w:rPr>
                <w:noProof/>
              </w:rPr>
              <w:fldChar w:fldCharType="end"/>
            </w:r>
            <w:r>
              <w:t>)</w:t>
            </w:r>
          </w:p>
        </w:tc>
      </w:tr>
    </w:tbl>
    <w:p w14:paraId="5D3AD300" w14:textId="2BC67C2A" w:rsidR="008B256E" w:rsidRDefault="0029163F" w:rsidP="00F75143">
      <w:pPr>
        <w:ind w:firstLine="720"/>
      </w:pPr>
      <w:r w:rsidRPr="00D64690">
        <w:rPr>
          <w:b/>
          <w:bCs/>
        </w:rPr>
        <w:t>Accuracy</w:t>
      </w:r>
      <w:r>
        <w:t xml:space="preserve"> quantifies overall model performance by measuring the rate of correct predictions, as defined in </w:t>
      </w:r>
      <w:r w:rsidRPr="009E0C37">
        <w:rPr>
          <w:b/>
          <w:bCs/>
        </w:rPr>
        <w:t xml:space="preserve">Equation </w:t>
      </w:r>
      <w:r w:rsidR="00003637">
        <w:rPr>
          <w:b/>
          <w:bCs/>
        </w:rPr>
        <w:t>(</w:t>
      </w:r>
      <w:r w:rsidRPr="009E0C37">
        <w:rPr>
          <w:b/>
          <w:bCs/>
        </w:rPr>
        <w:t>5</w:t>
      </w:r>
      <w:r w:rsidR="00003637">
        <w:rPr>
          <w:b/>
          <w:bCs/>
        </w:rPr>
        <w:t>)</w:t>
      </w:r>
      <w:r>
        <w:t xml:space="preserve">, with TP (true positives), TN (true negatives), FP (false positives), and FN (false negatives) defining the respective outcomes. With a 0.5 threshold in this example, the accuracy stands at 0.60. This figure might suggest modest efficacy, marginally surpassing random chance, </w:t>
      </w:r>
      <w:r w:rsidR="005D3FA6">
        <w:t>with</w:t>
      </w:r>
      <w:r>
        <w:t xml:space="preserve"> an accuracy of 0.</w:t>
      </w:r>
      <w:r w:rsidRPr="00FC3D8F">
        <w:t xml:space="preserve">50. Nonetheless, the same accuracy level could be achieved by classifying every sample as negative in an imbalanced dataset where negatives are predominant. </w:t>
      </w:r>
      <w:r w:rsidR="00FC3D8F" w:rsidRPr="00FC3D8F">
        <w:t>Hence, relying solely on accuracy to assess models can be misleading, indicating the need for additional metrics to ensure robust evaluation.</w:t>
      </w:r>
    </w:p>
    <w:p w14:paraId="34BD9645" w14:textId="7D43C0E3" w:rsidR="008B256E" w:rsidRDefault="00445735" w:rsidP="00091B5C">
      <w:pPr>
        <w:pStyle w:val="Heading3"/>
      </w:pPr>
      <w:r>
        <w:lastRenderedPageBreak/>
        <w:t>Precision, Recall, and Precision-Recall Curve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00454" w14:paraId="53904AAA" w14:textId="77777777" w:rsidTr="009E2E37">
        <w:tc>
          <w:tcPr>
            <w:tcW w:w="350" w:type="pct"/>
          </w:tcPr>
          <w:p w14:paraId="27FCBDA2" w14:textId="77777777" w:rsidR="00500454" w:rsidRDefault="00500454" w:rsidP="00527900"/>
        </w:tc>
        <w:tc>
          <w:tcPr>
            <w:tcW w:w="4300" w:type="pct"/>
          </w:tcPr>
          <w:p w14:paraId="6498C1B6" w14:textId="77777777" w:rsidR="00500454" w:rsidRPr="00955078" w:rsidRDefault="00500454" w:rsidP="00527900">
            <w:pPr>
              <w:spacing w:line="360" w:lineRule="auto"/>
            </w:pPr>
            <m:oMathPara>
              <m:oMath>
                <m:r>
                  <w:rPr>
                    <w:rFonts w:ascii="Cambria Math" w:hAnsi="Cambria Math"/>
                  </w:rPr>
                  <m:t>Precision</m:t>
                </m:r>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Predicted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2603AF9E" w14:textId="7FFDECB7" w:rsidR="00955078" w:rsidRPr="00C97492" w:rsidRDefault="00AA373F" w:rsidP="001370A3">
            <w:pPr>
              <w:spacing w:before="240" w:line="360" w:lineRule="auto"/>
            </w:pPr>
            <m:oMathPara>
              <m:oMath>
                <m:r>
                  <w:rPr>
                    <w:rFonts w:ascii="Cambria Math" w:hAnsi="Cambria Math"/>
                  </w:rPr>
                  <m:t>Recall</m:t>
                </m:r>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Actual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tc>
        <w:tc>
          <w:tcPr>
            <w:tcW w:w="350" w:type="pct"/>
          </w:tcPr>
          <w:p w14:paraId="767509FA" w14:textId="77777777" w:rsidR="00500454" w:rsidRDefault="00500454" w:rsidP="00527900">
            <w:pPr>
              <w:jc w:val="right"/>
            </w:pPr>
          </w:p>
          <w:p w14:paraId="030CA3E6" w14:textId="77777777" w:rsidR="00500454" w:rsidRDefault="00500454" w:rsidP="00527900">
            <w:pPr>
              <w:jc w:val="right"/>
            </w:pPr>
          </w:p>
          <w:p w14:paraId="069252F6" w14:textId="77777777" w:rsidR="00365358" w:rsidRDefault="00500454" w:rsidP="00527900">
            <w:pPr>
              <w:jc w:val="right"/>
            </w:pPr>
            <w:r>
              <w:t xml:space="preserve"> </w:t>
            </w:r>
          </w:p>
          <w:p w14:paraId="692CF711" w14:textId="1037DD7E" w:rsidR="00500454" w:rsidRDefault="00500454" w:rsidP="00527900">
            <w:pPr>
              <w:jc w:val="right"/>
            </w:pPr>
            <w:r>
              <w:t>(</w:t>
            </w:r>
            <w:r>
              <w:fldChar w:fldCharType="begin"/>
            </w:r>
            <w:r>
              <w:instrText xml:space="preserve"> SEQ Equation \* ARABIC </w:instrText>
            </w:r>
            <w:r>
              <w:fldChar w:fldCharType="separate"/>
            </w:r>
            <w:r w:rsidR="007A7577">
              <w:rPr>
                <w:noProof/>
              </w:rPr>
              <w:t>6</w:t>
            </w:r>
            <w:r>
              <w:rPr>
                <w:noProof/>
              </w:rPr>
              <w:fldChar w:fldCharType="end"/>
            </w:r>
            <w:r>
              <w:t>)</w:t>
            </w:r>
          </w:p>
          <w:p w14:paraId="49D6788F" w14:textId="77777777" w:rsidR="00955078" w:rsidRDefault="00955078" w:rsidP="00527900">
            <w:pPr>
              <w:jc w:val="right"/>
            </w:pPr>
          </w:p>
          <w:p w14:paraId="66EE257D" w14:textId="77777777" w:rsidR="00955078" w:rsidRDefault="00955078" w:rsidP="00527900">
            <w:pPr>
              <w:jc w:val="right"/>
            </w:pPr>
          </w:p>
          <w:p w14:paraId="68323AC8" w14:textId="77777777" w:rsidR="00955078" w:rsidRDefault="00955078" w:rsidP="00527900">
            <w:pPr>
              <w:jc w:val="right"/>
            </w:pPr>
          </w:p>
          <w:p w14:paraId="05120924" w14:textId="77777777" w:rsidR="00955078" w:rsidRDefault="00955078" w:rsidP="00527900">
            <w:pPr>
              <w:jc w:val="right"/>
            </w:pPr>
          </w:p>
          <w:p w14:paraId="16F86D92" w14:textId="0219F4DE" w:rsidR="00955078" w:rsidRDefault="00955078" w:rsidP="00527900">
            <w:pPr>
              <w:jc w:val="right"/>
            </w:pPr>
            <w:r>
              <w:t>(</w:t>
            </w:r>
            <w:r>
              <w:fldChar w:fldCharType="begin"/>
            </w:r>
            <w:r>
              <w:instrText xml:space="preserve"> SEQ Equation \* ARABIC </w:instrText>
            </w:r>
            <w:r>
              <w:fldChar w:fldCharType="separate"/>
            </w:r>
            <w:r w:rsidR="007A7577">
              <w:rPr>
                <w:noProof/>
              </w:rPr>
              <w:t>7</w:t>
            </w:r>
            <w:r>
              <w:rPr>
                <w:noProof/>
              </w:rPr>
              <w:fldChar w:fldCharType="end"/>
            </w:r>
            <w:r>
              <w:t>)</w:t>
            </w:r>
          </w:p>
        </w:tc>
      </w:tr>
    </w:tbl>
    <w:p w14:paraId="1F3BD98B" w14:textId="3983A4E4" w:rsidR="00A40851" w:rsidRDefault="00FA6395" w:rsidP="0020337D">
      <w:pPr>
        <w:ind w:firstLine="720"/>
      </w:pPr>
      <w:r w:rsidRPr="00D64690">
        <w:rPr>
          <w:b/>
          <w:bCs/>
        </w:rPr>
        <w:t>Precision</w:t>
      </w:r>
      <w:r>
        <w:t xml:space="preserve"> and </w:t>
      </w:r>
      <w:r w:rsidRPr="00D64690">
        <w:rPr>
          <w:b/>
          <w:bCs/>
        </w:rPr>
        <w:t>recall</w:t>
      </w:r>
      <w:r>
        <w:t xml:space="preserve"> refine the assessment of a classification model by offering insights that accuracy alone may overlook. Precision calculates the fraction of true positives among all positive predictions, essentially measuring the trustworthiness of positive predictions made by the model</w:t>
      </w:r>
      <w:r w:rsidR="00D85D06">
        <w:t xml:space="preserve"> </w:t>
      </w:r>
      <w:r w:rsidR="00002A81">
        <w:t>(</w:t>
      </w:r>
      <w:r w:rsidR="00D85D06" w:rsidRPr="00002A81">
        <w:rPr>
          <w:b/>
          <w:bCs/>
        </w:rPr>
        <w:t>Equation</w:t>
      </w:r>
      <w:r w:rsidR="00002A81" w:rsidRPr="00002A81">
        <w:rPr>
          <w:b/>
          <w:bCs/>
        </w:rPr>
        <w:t xml:space="preserve"> </w:t>
      </w:r>
      <w:r w:rsidR="00603ADE">
        <w:rPr>
          <w:b/>
          <w:bCs/>
        </w:rPr>
        <w:t>(</w:t>
      </w:r>
      <w:r w:rsidR="00D85D06" w:rsidRPr="00002A81">
        <w:rPr>
          <w:b/>
          <w:bCs/>
        </w:rPr>
        <w:t>6</w:t>
      </w:r>
      <w:r w:rsidR="00603ADE">
        <w:rPr>
          <w:b/>
          <w:bCs/>
        </w:rPr>
        <w:t>)</w:t>
      </w:r>
      <w:r w:rsidR="00D85D06" w:rsidRPr="00002A81">
        <w:rPr>
          <w:rFonts w:hint="eastAsia"/>
        </w:rPr>
        <w:t>)</w:t>
      </w:r>
      <w:r>
        <w:t xml:space="preserve">. High precision is crucial in scenarios where false positives incur significant </w:t>
      </w:r>
      <w:r w:rsidR="00A32370">
        <w:t>costs</w:t>
      </w:r>
      <w:r>
        <w:t xml:space="preserve">, and false negatives are more tolerable. For instance, in contexts where clinical treatments and culling are expensive, such as detecting bovine tuberculosis </w:t>
      </w:r>
      <w:r>
        <w:fldChar w:fldCharType="begin"/>
      </w:r>
      <w:r w:rsidR="00874531">
        <w:instrText xml:space="preserve"> ADDIN ZOTERO_ITEM CSL_CITATION {"citationID":"ai7kq16j22","properties":{"formattedCitation":"(Denholm et al., 2020)","plainCitation":"(Denholm et al., 2020)","noteIndex":0},"citationItems":[{"id":3638,"uris":["http://zotero.org/users/5933671/items/GIYINX3D"],"itemData":{"id":3638,"type":"article-journal","abstract":"Bovine tuberculosis (bTB) is a zoonotic disease in cattle that is transmissible to humans, distributed worldwide, and considered endemic throughout much of England and Wales. Mid-infrared (MIR) analysis of milk is used routinely to predict fat and protein concentration, and is also a robust predictor of several other economically important traits including individual fatty acids and body energy. This study predicted bTB status of UK dairy cows using their MIR spectral profiles collected as part of routine milk recording. Bovine tuberculosis data were collected as part of the national bTB testing program for Scotland, England, and Wales; these data provided information from over 40,500 bTB herd breakdowns. Corresponding individual cow life–history data were also available and provided information on births, movements, and deaths of all cows in the study. Data relating to single intradermal comparative cervical tuberculin (SICCT) skin-test results, culture, slaughter status, and presence of lesions were combined to create a binary bTB phenotype labeled 0 to represent nonresponders (i.e., healthy cows) and 1 to represent responders (i.e., bTB-affected cows). Contemporaneous individual milk MIR spectral data were collected as part of monthly routine milk recording and matched to bTB status of individual animals on the single intradermal comparative cervical tuberculin test date (±15 d). Deep learning, a sub-branch of machine learning, was used to train artificial neural networks and develop a prediction pipeline for subsequent use in national herds as part of routine milk recording. Spectra were first converted to 53 × 20-pixel PNG images, then used to train a deep convolutional neural network. Deep convolutional neural networks resulted in a bTB prediction accuracy (i.e., the number of correct predictions divided by the total number of predictions) of 71% after training for 278 epochs. This was accompanied by both a low validation loss (0.71) and moderate sensitivity and specificity (0.79 and 0.65, respectively). To balance data in each class, additional training data were synthesized using the synthetic minority over sampling technique. Accuracy was further increased to 95% (after 295 epochs), with corresponding validation loss minimized (0.26), when synthesized data were included during training of the network. Sensitivity and specificity also saw a 1.22- and 1.45-fold increase to 0.96 and 0.94, respectively, when synthesized data were included during training. We believe this study to be the first of its kind to predict bTB status from milk MIR spectral data. We also believe it to be the first study to use milk MIR spectral data to predict a disease phenotype, and posit that the automated prediction of bTB status at routine milk recording could provide farmers with a robust tool that enables them to make early management decisions on potential reactor cows, and thus help slow the spread of bTB.","container-title":"Journal of Dairy Science","DOI":"10.3168/jds.2020-18328","ISSN":"0022-0302","issue":"10","journalAbbreviation":"Journal of Dairy Science","page":"9355-9367","source":"ScienceDirect","title":"Predicting bovine tuberculosis status of dairy cows from mid-infrared spectral data of milk using deep learning","volume":"103","author":[{"family":"Denholm","given":"S. J."},{"family":"Brand","given":"W."},{"family":"Mitchell","given":"A. P."},{"family":"Wells","given":"A. T."},{"family":"Krzyzelewski","given":"T."},{"family":"Smith","given":"S. L."},{"family":"Wall","given":"E."},{"family":"Coffey","given":"M. P."}],"issued":{"date-parts":[["2020",10,1]]}}}],"schema":"https://github.com/citation-style-language/schema/raw/master/csl-citation.json"} </w:instrText>
      </w:r>
      <w:r>
        <w:fldChar w:fldCharType="separate"/>
      </w:r>
      <w:r w:rsidR="00874531" w:rsidRPr="00874531">
        <w:rPr>
          <w:kern w:val="0"/>
        </w:rPr>
        <w:t>(Denholm et al., 2020)</w:t>
      </w:r>
      <w:r>
        <w:fldChar w:fldCharType="end"/>
      </w:r>
      <w:r>
        <w:t xml:space="preserve"> or mastitis </w:t>
      </w:r>
      <w:r w:rsidR="00F53424">
        <w:fldChar w:fldCharType="begin"/>
      </w:r>
      <w:r w:rsidR="00874531">
        <w:instrText xml:space="preserve"> ADDIN ZOTERO_ITEM CSL_CITATION {"citationID":"a23tr789ahs","properties":{"formattedCitation":"(Kandeel et al., 2019)","plainCitation":"(Kandeel et al., 2019)","noteIndex":0},"citationItems":[{"id":3623,"uris":["http://zotero.org/users/5933671/items/8G3NLE42"],"itemData":{"id":3623,"type":"article-journal","abstract":"Milk pH is increased in lactating dairy cattle with subclinical mastitis (SCM) and intramammary infection (IMI). We hypothesized that milk pH testing provides an accurate, low-cost, and practical on-farm method for diagnosing SCM and IMI. The main objective was to evaluate the clinical utility of measuring milk pH using 3 tests of increasing pH resolution: Multistix 10 SG Reagent Strips for Urinalysis (Multistix strips, Bayer HealthCare Inc., Elkhart, IN), pH Hydrion paper (Microessential Laboratory, Brooklyn, NY), and Piccolo plus pH meter (Hanna Instruments, Woonsocket, RI), for diagnosing SCM and IMI in dairy cattle. Quarter foremilk samples were collected from 115 dairy cows at dry off and 92 fresh cows within 4 to 7 d postcalving. Quarter somatic cell count (SCC) was measured using a DeLaval cell counter (DeLaval, Tumba, Sweden), with SCM defined as SCC &gt;200,000 cells/mL and IMI defined as SCC &gt;100,000 cells/mL and the presence of microorganisms at ≥10 cfu/mL of milk. Milk pH was measured at 37°C using the 3 test methods. The Hydrion pH paper performed poorly in diagnosing SCM and IMI. Receiver operating curve analysis provided optimal pH cutpoints for diagnosing SCM for the pH meter (dry off, ≥6.67; freshening, ≥6.52) and Multistix strips (dry off and freshening, ≥7.0). Test performance of the pH meter and Multistix strips was poor to fair based on area under the receiver operating curve, sensitivity, specificity, positive likelihood ratio, and kappa coefficient. The pH meter and Multistix strips performed poorly in diagnosing IMI at dry off and freshening. We concluded that milk pH does not provide a clinically useful method for diagnosing SCM or IMI in dairy cattle.","container-title":"Journal of Dairy Science","DOI":"10.3168/jds.2018-14993","ISSN":"00220302","issue":"2","journalAbbreviation":"Journal of Dairy Science","language":"en","page":"1417-1427","source":"DOI.org (Crossref)","title":"Ability of milk pH to predict subclinical mastitis and intramammary infection in quarters from lactating dairy cattle","volume":"102","author":[{"family":"Kandeel","given":"S.A."},{"family":"Megahed","given":"A.A."},{"family":"Ebeid","given":"M.H."},{"family":"Constable","given":"P.D."}],"issued":{"date-parts":[["2019",2]]}}}],"schema":"https://github.com/citation-style-language/schema/raw/master/csl-citation.json"} </w:instrText>
      </w:r>
      <w:r w:rsidR="00F53424">
        <w:fldChar w:fldCharType="separate"/>
      </w:r>
      <w:r w:rsidR="00874531" w:rsidRPr="00874531">
        <w:rPr>
          <w:kern w:val="0"/>
        </w:rPr>
        <w:t>(</w:t>
      </w:r>
      <w:proofErr w:type="spellStart"/>
      <w:r w:rsidR="00874531" w:rsidRPr="00874531">
        <w:rPr>
          <w:kern w:val="0"/>
        </w:rPr>
        <w:t>Kandeel</w:t>
      </w:r>
      <w:proofErr w:type="spellEnd"/>
      <w:r w:rsidR="00874531" w:rsidRPr="00874531">
        <w:rPr>
          <w:kern w:val="0"/>
        </w:rPr>
        <w:t xml:space="preserve"> et al., 2019)</w:t>
      </w:r>
      <w:r w:rsidR="00F53424">
        <w:fldChar w:fldCharType="end"/>
      </w:r>
      <w:r>
        <w:t xml:space="preserve"> using non-invasive methods, a high-precision model is crucial to minimize unnecessary costs and interventions from false positives.</w:t>
      </w:r>
      <w:r w:rsidR="0027628A">
        <w:t xml:space="preserve"> </w:t>
      </w:r>
      <w:r>
        <w:t xml:space="preserve">On the other hand, recall, also </w:t>
      </w:r>
      <w:r w:rsidR="007F2DC1">
        <w:t>known</w:t>
      </w:r>
      <w:r>
        <w:t xml:space="preserve"> as sensitivity, quantifies the ratio of true positives to all actual positives, assessing the model's ability to identify positive cases</w:t>
      </w:r>
      <w:r w:rsidR="00EA1F23">
        <w:t xml:space="preserve"> (</w:t>
      </w:r>
      <w:r w:rsidR="00EA1F23" w:rsidRPr="00002A81">
        <w:rPr>
          <w:b/>
          <w:bCs/>
        </w:rPr>
        <w:t xml:space="preserve">Equation </w:t>
      </w:r>
      <w:r w:rsidR="00EA1F23">
        <w:rPr>
          <w:b/>
          <w:bCs/>
        </w:rPr>
        <w:t>(7)</w:t>
      </w:r>
      <w:r w:rsidR="00EA1F23" w:rsidRPr="00002A81">
        <w:rPr>
          <w:rFonts w:hint="eastAsia"/>
        </w:rPr>
        <w:t>)</w:t>
      </w:r>
      <w:r>
        <w:t>. High recall is essential where missing a positive case has serious consequences, or where false positives are easily rectifiable. For instance, detecting lameness or abnormal gait is crucial, as these can indicate underlying pathologies</w:t>
      </w:r>
      <w:r w:rsidR="007F2DC1">
        <w:t xml:space="preserve"> </w:t>
      </w:r>
      <w:r w:rsidR="007F2DC1">
        <w:fldChar w:fldCharType="begin"/>
      </w:r>
      <w:r w:rsidR="00874531">
        <w:instrText xml:space="preserve"> ADDIN ZOTERO_ITEM CSL_CITATION {"citationID":"aji52hog7h","properties":{"formattedCitation":"(O\\uc0\\u8217{}Leary et al., 2020)","plainCitation":"(O’Leary et al., 2020)","noteIndex":0},"citationItems":[{"id":3713,"uris":["http://zotero.org/users/5933671/items/LUTTXU33"],"itemData":{"id":3713,"type":"article-journal","abstract":"Locomotion scoring is time consuming and is not commonly completed on farms. Farmers also underestimate their herds' lameness prevalence, a knowledge gap that impedes lameness management. Automation of lameness detection could address this knowledge gap and facilitate improved lameness management. The literature pertinent to adding lameness detection to accelerometers is reviewed in this paper. Options for lameness detection systems are examined including the choice of sensor, raw data collected, variables extracted, and statistical classification methods used. Two categories of variables derived from accelerometer-based systems are examined. These categories are behavior measures such as lying and measures of gait. For example, one measure of gait is the time a leg is swinging during a gait cycle. Some behavior-focused studies have reported accuracy levels of greater than 80%. Cow gait measures have been investigated to a lesser extent than behavior. However, classification accuracies as high as 91% using gait measures have been reported with hardware likely to be practical for commercial farms. The need for even higher accuracy and potential barriers to adoption are discussed. Significant progress is still required to realize a system with sufficient specificity and sensitivity. Lameness detection systems using 1 accelerometer per cow and a resolution lower than 100 Hz with gait measurement functions are suggested to balance cost and data requirements. However, gait measurement using accelerometers is rather underdeveloped. Therefore, a high priority should be given to the development of novel gait measures and testing their ability to differentiate lame from nonlame cows.","container-title":"Journal of Dairy Science","DOI":"10.3168/jds.2019-17123","ISSN":"0022-0302","issue":"5","journalAbbreviation":"Journal of Dairy Science","page":"3895-3911","source":"ScienceDirect","title":"Invited review: Cattle lameness detection with accelerometers","title-short":"Invited review","volume":"103","author":[{"family":"O'Leary","given":"N. W."},{"family":"Byrne","given":"D. T."},{"family":"O'Connor","given":"A. H."},{"family":"Shalloo","given":"L."}],"issued":{"date-parts":[["2020",5,1]]}}}],"schema":"https://github.com/citation-style-language/schema/raw/master/csl-citation.json"} </w:instrText>
      </w:r>
      <w:r w:rsidR="007F2DC1">
        <w:fldChar w:fldCharType="separate"/>
      </w:r>
      <w:r w:rsidR="00874531" w:rsidRPr="00874531">
        <w:rPr>
          <w:kern w:val="0"/>
        </w:rPr>
        <w:t>(O’Leary et al., 2020)</w:t>
      </w:r>
      <w:r w:rsidR="007F2DC1">
        <w:fldChar w:fldCharType="end"/>
      </w:r>
      <w:r>
        <w:t xml:space="preserve"> and impact welfare-related transport decisions</w:t>
      </w:r>
      <w:r w:rsidR="007F2DC1">
        <w:t xml:space="preserve"> </w:t>
      </w:r>
      <w:r w:rsidR="007F2DC1">
        <w:fldChar w:fldCharType="begin"/>
      </w:r>
      <w:r w:rsidR="00874531">
        <w:instrText xml:space="preserve"> ADDIN ZOTERO_ITEM CSL_CITATION {"citationID":"a2jfknomoes","properties":{"formattedCitation":"(Stojkov et al., 2018)","plainCitation":"(Stojkov et al., 2018)","noteIndex":0},"citationItems":[{"id":3718,"uris":["http://zotero.org/users/5933671/items/NYR3KY33"],"itemData":{"id":3718,"type":"article-journal","abstract":"Many cull dairy cows enter the marketing system and travel to widely dispersed and specialized slaughter plants, and they may experience multiple handling events (e.g., loading, unloading, mixing), change of ownership among dealers, and feed and water deprivation during transport and at livestock markets. The objectives of this study were to describe the diverse management of cull dairy cows in Canada and establish consensus on ways to achieve improvements. A 2-day expert consultation meeting was convened, involving farmers, veterinarians, regulators, and experts in animal transport, livestock auction, and slaughter. The 15 participants, recruited from across Canada, discussed regional management practices for cull cattle, related risk factors, animal welfare problems, and recommendations. An audio recording of the meeting was used to extract descriptive data on cull cattle management and identify points of agreement. Eight consensus points were reached: (1) to assemble information on travel times and delays from farm to slaughter; (2) to increase awareness among producers and herd veterinarians of potential travel distances and delays; (3) to promote pro-active culling; (4) to improve the ability of personnel to assess animal condition before loading; (5) to identify local options for slaughter of cull dairy cows; (6) to investigate different management options such as emergency slaughter and mobile slaughter; (7) to ensure that all farms and auctions have, or can access, personnel trained and equipped for euthanasia; and (8) to promote cooperation among enforcement agencies and wider adoption of beneficial regulatory options.","container-title":"Journal of Dairy Science","DOI":"10.3168/jds.2018-14919","ISSN":"0022-0302","issue":"12","journalAbbreviation":"Journal of Dairy Science","page":"11170-11174","source":"ScienceDirect","title":"Hot topic: Management of cull dairy cows—Consensus of an expert consultation in Canada","title-short":"Hot topic","volume":"101","author":[{"family":"Stojkov","given":"J."},{"family":"Bowers","given":"G."},{"family":"Draper","given":"M."},{"family":"Duffield","given":"T."},{"family":"Duivenvoorden","given":"P."},{"family":"Groleau","given":"M."},{"family":"Haupstein","given":"D."},{"family":"Peters","given":"R."},{"family":"Pritchard","given":"J."},{"family":"Radom","given":"C."},{"family":"Sillett","given":"N."},{"family":"Skippon","given":"W."},{"family":"Trépanier","given":"H."},{"family":"Fraser","given":"D."}],"issued":{"date-parts":[["2018",12,1]]}}}],"schema":"https://github.com/citation-style-language/schema/raw/master/csl-citation.json"} </w:instrText>
      </w:r>
      <w:r w:rsidR="007F2DC1">
        <w:fldChar w:fldCharType="separate"/>
      </w:r>
      <w:r w:rsidR="00874531" w:rsidRPr="00874531">
        <w:rPr>
          <w:kern w:val="0"/>
        </w:rPr>
        <w:t>(</w:t>
      </w:r>
      <w:proofErr w:type="spellStart"/>
      <w:r w:rsidR="00874531" w:rsidRPr="00874531">
        <w:rPr>
          <w:kern w:val="0"/>
        </w:rPr>
        <w:t>Stojkov</w:t>
      </w:r>
      <w:proofErr w:type="spellEnd"/>
      <w:r w:rsidR="00874531" w:rsidRPr="00874531">
        <w:rPr>
          <w:kern w:val="0"/>
        </w:rPr>
        <w:t xml:space="preserve"> et al., 2018)</w:t>
      </w:r>
      <w:r w:rsidR="007F2DC1">
        <w:fldChar w:fldCharType="end"/>
      </w:r>
      <w:r w:rsidR="00556131">
        <w:t>.</w:t>
      </w:r>
      <w:r>
        <w:t xml:space="preserve"> An automated detection system</w:t>
      </w:r>
      <w:r w:rsidR="00556131">
        <w:t xml:space="preserve"> </w:t>
      </w:r>
      <w:r w:rsidR="00556131">
        <w:fldChar w:fldCharType="begin"/>
      </w:r>
      <w:r w:rsidR="00874531">
        <w:instrText xml:space="preserve"> ADDIN ZOTERO_ITEM CSL_CITATION {"citationID":"a8bi0fl7l8","properties":{"formattedCitation":"(Alsaaod et al., 2019; Kang et al., 2020; O\\uc0\\u8217{}Leary et al., 2020)","plainCitation":"(Alsaaod et al., 2019; Kang et al., 2020; O’Leary et al., 2020)","noteIndex":0},"citationItems":[{"id":3712,"uris":["http://zotero.org/users/5933671/items/ZUM4VSE3"],"itemData":{"id":3712,"type":"article-journal","abstract":"There is an increasing demand for health and welfare monitoring in modern dairy farming. The development of various innovative techniques aims at improving animal behaviour monitoring and thus animal welfare indicators on-farm. Automated lameness detection systems have to be valid, reliable and practicable to be applied in veterinary practice or under farm conditions. The objective of this literature review was to describe the current automated systems for detection of lameness in cattle, which have been recently developed and investigated for application in dairy research and practice. The automatic methods of lameness detection broadly fall into three categories: kinematic, kinetic and indirect methods. The performance of the methods were compared with the reference standard (locomotion score and/or lesion score) and evaluated based on level-based scheme defining the degree of development (level I, sensor technique; level II, validation of algorithm; level III, performance for detection of lameness and/or lesion; level IV, decision support with early warning system). Many scientific studies have been performed on levels I–III, but there are no studies of level IV technology. The adoption rate of automated lameness detection systems by herd managers mainly yields returns on investment by the early identification of lame cows. Long-term studies, using validated automated lameness detection systems aiming at early lameness detection, are still needed in order to improve welfare and production under field conditions.","container-title":"The Veterinary Journal","DOI":"10.1016/j.tvjl.2019.01.005","ISSN":"1090-0233","journalAbbreviation":"The Veterinary Journal","page":"35-44","source":"ScienceDirect","title":"Automatic lameness detection in cattle","volume":"246","author":[{"family":"Alsaaod","given":"Maher"},{"family":"Fadul","given":"Mahmoud"},{"family":"Steiner","given":"Adrian"}],"issued":{"date-parts":[["2019",4,1]]}}},{"id":3710,"uris":["http://zotero.org/users/5933671/items/YEJE7A9W"],"itemData":{"id":3710,"type":"article-journal","abstract":"Lameness has a considerable influence on the welfare and health of dairy cows. Many attempts have been made to develop automatic lameness detection systems using computer vision technology. However, these detection methods are easily affected by the characteristics of individual cows, resulting in inaccurate detection of lameness. Therefore, this study explores an individualized lameness detection method for dairy cattle based on the supporting phase using computer vision. This approach is applied to eliminate the influence of the characteristics of individual cows and to detect lame cows and lame hooves. In this paper, the correlation coefficient between lameness and the supporting phase is calculated, a lameness detection algorithm based on the supporting phase is proposed, and the accuracy of the algorithm is verified. Additionally, the reliability of this method using computer vision technology is verified based on deep learning. One hundred naturally walking cows are selected from video data for analysis. The results show that the correlation between lameness and the supporting phase was 0.864; 96% of cows were correctly classified, and 93% of lame hooves were correctly detected using the supporting phase–based lameness detection algorithm. The mean average precision is 87.0%, and the number of frames per second is 83.3 when the Receptive Field Block Net Single Shot Detector deep learning network was used to detect the locations of cow hooves in the video. The results show that the supporting phase–based lameness detection method proposed in this paper can be used for the detection and classification of cow lameness and the detection of lame hooves with high accuracy. This approach eliminates the influence of individual cow characteristics and could be integrated into an automatic detection system and widely applied for the detection of cow lameness.","container-title":"Journal of Dairy Science","DOI":"10.3168/jds.2020-18288","ISSN":"0022-0302","issue":"11","journalAbbreviation":"Journal of Dairy Science","page":"10628-10638","source":"ScienceDirect","title":"Accurate detection of lameness in dairy cattle with computer vision: A new and individualized detection strategy based on the analysis of the supporting phase","title-short":"Accurate detection of lameness in dairy cattle with computer vision","volume":"103","author":[{"family":"Kang","given":"X."},{"family":"Zhang","given":"X. D."},{"family":"Liu","given":"G."}],"issued":{"date-parts":[["2020",11,1]]}}},{"id":3713,"uris":["http://zotero.org/users/5933671/items/LUTTXU33"],"itemData":{"id":3713,"type":"article-journal","abstract":"Locomotion scoring is time consuming and is not commonly completed on farms. Farmers also underestimate their herds' lameness prevalence, a knowledge gap that impedes lameness management. Automation of lameness detection could address this knowledge gap and facilitate improved lameness management. The literature pertinent to adding lameness detection to accelerometers is reviewed in this paper. Options for lameness detection systems are examined including the choice of sensor, raw data collected, variables extracted, and statistical classification methods used. Two categories of variables derived from accelerometer-based systems are examined. These categories are behavior measures such as lying and measures of gait. For example, one measure of gait is the time a leg is swinging during a gait cycle. Some behavior-focused studies have reported accuracy levels of greater than 80%. Cow gait measures have been investigated to a lesser extent than behavior. However, classification accuracies as high as 91% using gait measures have been reported with hardware likely to be practical for commercial farms. The need for even higher accuracy and potential barriers to adoption are discussed. Significant progress is still required to realize a system with sufficient specificity and sensitivity. Lameness detection systems using 1 accelerometer per cow and a resolution lower than 100 Hz with gait measurement functions are suggested to balance cost and data requirements. However, gait measurement using accelerometers is rather underdeveloped. Therefore, a high priority should be given to the development of novel gait measures and testing their ability to differentiate lame from nonlame cows.","container-title":"Journal of Dairy Science","DOI":"10.3168/jds.2019-17123","ISSN":"0022-0302","issue":"5","journalAbbreviation":"Journal of Dairy Science","page":"3895-3911","source":"ScienceDirect","title":"Invited review: Cattle lameness detection with accelerometers","title-short":"Invited review","volume":"103","author":[{"family":"O'Leary","given":"N. W."},{"family":"Byrne","given":"D. T."},{"family":"O'Connor","given":"A. H."},{"family":"Shalloo","given":"L."}],"issued":{"date-parts":[["2020",5,1]]}}}],"schema":"https://github.com/citation-style-language/schema/raw/master/csl-citation.json"} </w:instrText>
      </w:r>
      <w:r w:rsidR="00556131">
        <w:fldChar w:fldCharType="separate"/>
      </w:r>
      <w:r w:rsidR="00874531" w:rsidRPr="00874531">
        <w:rPr>
          <w:kern w:val="0"/>
        </w:rPr>
        <w:t>(</w:t>
      </w:r>
      <w:proofErr w:type="spellStart"/>
      <w:r w:rsidR="00874531" w:rsidRPr="00874531">
        <w:rPr>
          <w:kern w:val="0"/>
        </w:rPr>
        <w:t>Alsaaod</w:t>
      </w:r>
      <w:proofErr w:type="spellEnd"/>
      <w:r w:rsidR="00874531" w:rsidRPr="00874531">
        <w:rPr>
          <w:kern w:val="0"/>
        </w:rPr>
        <w:t xml:space="preserve"> et al., 2019; Kang et al., 2020; O’Leary et al., 2020)</w:t>
      </w:r>
      <w:r w:rsidR="00556131">
        <w:fldChar w:fldCharType="end"/>
      </w:r>
      <w:r>
        <w:t xml:space="preserve"> with high recall can mitigate economic losses by flagging at-risk cows. The benefit here lies in the feasibility of re-examining false positives, thus preventing more severe outcomes from undetected cases.</w:t>
      </w:r>
      <w:r w:rsidR="0027628A">
        <w:t xml:space="preserve"> </w:t>
      </w:r>
    </w:p>
    <w:p w14:paraId="6AF47C5D" w14:textId="40E68977" w:rsidR="006C6B24" w:rsidRPr="006C6B24" w:rsidRDefault="003E12CA" w:rsidP="006C6B24">
      <w:pPr>
        <w:ind w:firstLine="720"/>
      </w:pPr>
      <w:r w:rsidRPr="003E12CA">
        <w:t xml:space="preserve">In the hypothetical example, setting a threshold of 0.5 yields precision and recall values of 0.5 and 0.25, respectively. These metrics deliver </w:t>
      </w:r>
      <w:r w:rsidR="008B7E98">
        <w:t>more interpretable information</w:t>
      </w:r>
      <w:r w:rsidRPr="003E12CA">
        <w:t xml:space="preserve"> that only half of the positive predictions are correct, and just a quarter of the actual positives are detected. This contrasts with an accuracy of 0.6, which may appear misleadingly high due to the abundance of negative samples.</w:t>
      </w:r>
      <w:r w:rsidR="00A40851">
        <w:t xml:space="preserve"> </w:t>
      </w:r>
      <w:r w:rsidR="001E5001">
        <w:t>The chosen confidence threshold significantly impacts precision and recall. While the trade-off between these two metrics is not always linear, it is generally observed that a higher threshold increases precision but decreases recall, and vice versa. A high threshold indicates a conservative approach in predicting positives, reducing false positives</w:t>
      </w:r>
      <w:r w:rsidR="00EF4D6E">
        <w:t>,</w:t>
      </w:r>
      <w:r w:rsidR="001E5001">
        <w:t xml:space="preserve"> and thus enhancing precision. However, this often leads to missing actual positive cases, lowering recall.</w:t>
      </w:r>
      <w:r w:rsidR="006C6B24">
        <w:t xml:space="preserve"> </w:t>
      </w:r>
      <w:r w:rsidR="001517F1">
        <w:t>Hence, t</w:t>
      </w:r>
      <w:r w:rsidR="006C6B24" w:rsidRPr="006C6B24">
        <w:t>he Precision-Recall (</w:t>
      </w:r>
      <w:r w:rsidR="006C6B24" w:rsidRPr="006C6B24">
        <w:rPr>
          <w:b/>
          <w:bCs/>
        </w:rPr>
        <w:t>PR</w:t>
      </w:r>
      <w:r w:rsidR="006C6B24" w:rsidRPr="006C6B24">
        <w:t>) curve is an essential tool for evaluating model performance across various thresholds. Plotted with recall on the x-axis and precision on the y-axis, this curve is derived by computing these metrics at different thresholds (</w:t>
      </w:r>
      <w:r w:rsidR="006C6B24" w:rsidRPr="006C6B24">
        <w:rPr>
          <w:b/>
          <w:bCs/>
        </w:rPr>
        <w:t>Figure 3, Left</w:t>
      </w:r>
      <w:r w:rsidR="006C6B24" w:rsidRPr="006C6B24">
        <w:t>). The Area Under the Curve (</w:t>
      </w:r>
      <w:r w:rsidR="006C6B24" w:rsidRPr="006C6B24">
        <w:rPr>
          <w:b/>
          <w:bCs/>
        </w:rPr>
        <w:t>AUC</w:t>
      </w:r>
      <w:r w:rsidR="006C6B24" w:rsidRPr="006C6B24">
        <w:t xml:space="preserve">) provides a summary measure of the PR curve's overall performance. A model's effectiveness is generally indicated by how close a point on the PR curve is to the top-right corner. For example, at a threshold of 0.25, which is positioned near the top-right of the PR curve, the model demonstrates impressive performance with an accuracy of 0.90, precision </w:t>
      </w:r>
      <w:r w:rsidR="00B14D06">
        <w:t>of</w:t>
      </w:r>
      <w:r w:rsidR="006C6B24" w:rsidRPr="006C6B24">
        <w:t xml:space="preserve"> 0.80, and recall at 1.00.</w:t>
      </w:r>
    </w:p>
    <w:p w14:paraId="2FAFA5EA" w14:textId="6A4DEE52" w:rsidR="00C045F4" w:rsidRDefault="00463548" w:rsidP="00C045F4">
      <w:pPr>
        <w:ind w:firstLine="720"/>
      </w:pPr>
      <w:r>
        <w:lastRenderedPageBreak/>
        <w:t>However, it is worth re-emphasizing that precision and recall focus predominantly on positive samples. Inappropriately assigning a predominant background event as the positive class can lead to skewed interpretations. This pitfall is demonstrated in this example by inverting the labels. At a threshold of 0.50, precision increases from 0.50 to 0.63, and recall jumps from 0.25 to 0.83. With the threshold set at 0.25, precision drops to 0.66 from 0.80, while recall remains unchanged. The PR AUC also rises from 0.76 to 0.94. Such shifts in metrics, driven merely by label rearrangement unrelated to the data or model characteristics, underscore the importance of label-invariant metrics that remain unaffected by label assignments.</w:t>
      </w:r>
    </w:p>
    <w:p w14:paraId="007CCDFD" w14:textId="77777777" w:rsidR="00C045F4" w:rsidRDefault="00C045F4" w:rsidP="00C045F4">
      <w:pPr>
        <w:keepNext/>
      </w:pPr>
      <w:r w:rsidRPr="00D35580">
        <w:rPr>
          <w:noProof/>
        </w:rPr>
        <w:drawing>
          <wp:inline distT="0" distB="0" distL="0" distR="0" wp14:anchorId="7930D97A" wp14:editId="621424CA">
            <wp:extent cx="5943600" cy="3229610"/>
            <wp:effectExtent l="0" t="0" r="0" b="0"/>
            <wp:docPr id="14164550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55005" name="Picture 1" descr="A screenshot of a graph&#10;&#10;Description automatically generated"/>
                    <pic:cNvPicPr/>
                  </pic:nvPicPr>
                  <pic:blipFill>
                    <a:blip r:embed="rId11"/>
                    <a:stretch>
                      <a:fillRect/>
                    </a:stretch>
                  </pic:blipFill>
                  <pic:spPr>
                    <a:xfrm>
                      <a:off x="0" y="0"/>
                      <a:ext cx="5943600" cy="3229610"/>
                    </a:xfrm>
                    <a:prstGeom prst="rect">
                      <a:avLst/>
                    </a:prstGeom>
                  </pic:spPr>
                </pic:pic>
              </a:graphicData>
            </a:graphic>
          </wp:inline>
        </w:drawing>
      </w:r>
    </w:p>
    <w:p w14:paraId="61A8E48A" w14:textId="19ED3383" w:rsidR="00C42568" w:rsidRDefault="00C045F4" w:rsidP="00C045F4">
      <w:pPr>
        <w:pStyle w:val="Caption"/>
      </w:pPr>
      <w:r w:rsidRPr="00B22541">
        <w:rPr>
          <w:b/>
          <w:bCs/>
        </w:rPr>
        <w:t xml:space="preserve">Figure </w:t>
      </w:r>
      <w:r w:rsidRPr="00B22541">
        <w:rPr>
          <w:b/>
          <w:bCs/>
        </w:rPr>
        <w:fldChar w:fldCharType="begin"/>
      </w:r>
      <w:r w:rsidRPr="00B22541">
        <w:rPr>
          <w:b/>
          <w:bCs/>
        </w:rPr>
        <w:instrText xml:space="preserve"> SEQ Figure \* ARABIC </w:instrText>
      </w:r>
      <w:r w:rsidRPr="00B22541">
        <w:rPr>
          <w:b/>
          <w:bCs/>
        </w:rPr>
        <w:fldChar w:fldCharType="separate"/>
      </w:r>
      <w:r w:rsidR="007A7577">
        <w:rPr>
          <w:b/>
          <w:bCs/>
          <w:noProof/>
        </w:rPr>
        <w:t>3</w:t>
      </w:r>
      <w:r w:rsidRPr="00B22541">
        <w:rPr>
          <w:b/>
          <w:bCs/>
        </w:rPr>
        <w:fldChar w:fldCharType="end"/>
      </w:r>
      <w:r w:rsidRPr="00B22541">
        <w:rPr>
          <w:b/>
          <w:bCs/>
        </w:rPr>
        <w:t>.</w:t>
      </w:r>
      <w:r>
        <w:t xml:space="preserve"> </w:t>
      </w:r>
      <w:r w:rsidRPr="00EE6018">
        <w:rPr>
          <w:b/>
          <w:bCs/>
        </w:rPr>
        <w:t>(Left)</w:t>
      </w:r>
      <w:r w:rsidRPr="00EE6018">
        <w:t xml:space="preserve"> Precision-recall (PR) curve and (</w:t>
      </w:r>
      <w:r w:rsidRPr="00EE6018">
        <w:rPr>
          <w:b/>
          <w:bCs/>
        </w:rPr>
        <w:t>Right</w:t>
      </w:r>
      <w:r w:rsidRPr="00EE6018">
        <w:t xml:space="preserve">) Receiver operating characteristic (ROC) curve for the </w:t>
      </w:r>
      <w:r>
        <w:t>hypothetical</w:t>
      </w:r>
      <w:r w:rsidRPr="00EE6018">
        <w:t xml:space="preserve"> example are displayed. The performance at confidence thresholds of 0.25 and 0.50 is highlighted. Original labels are marked in green, while inverted labels appear in orange. The Area Under the Curve (AUC) is depicted at the center of each curve.</w:t>
      </w:r>
    </w:p>
    <w:p w14:paraId="4B1D81E6" w14:textId="725BAAA2" w:rsidR="00B57799" w:rsidRDefault="00445735" w:rsidP="00AC5A8E">
      <w:pPr>
        <w:pStyle w:val="Heading3"/>
      </w:pPr>
      <w:r>
        <w:t>Receiver Operating Characteristic (ROC) Curve</w:t>
      </w:r>
    </w:p>
    <w:p w14:paraId="5E4B81FA" w14:textId="309633A0" w:rsidR="00FA5826" w:rsidRDefault="00B57799" w:rsidP="00C045F4">
      <w:pPr>
        <w:ind w:firstLine="720"/>
      </w:pPr>
      <w:r>
        <w:t>The Receiver Operating Characteristic (</w:t>
      </w:r>
      <w:r w:rsidRPr="00D778FB">
        <w:rPr>
          <w:b/>
          <w:bCs/>
        </w:rPr>
        <w:t>ROC</w:t>
      </w:r>
      <w:r>
        <w:t xml:space="preserve">) curve is another crucial tool for assessing a model's performance across various thresholds, plotting one minus </w:t>
      </w:r>
      <w:r w:rsidRPr="00B57799">
        <w:rPr>
          <w:b/>
          <w:bCs/>
        </w:rPr>
        <w:t>specificity</w:t>
      </w:r>
      <w:r>
        <w:t xml:space="preserve"> against </w:t>
      </w:r>
      <w:r w:rsidRPr="00B57799">
        <w:rPr>
          <w:b/>
          <w:bCs/>
        </w:rPr>
        <w:t>sensitivity</w:t>
      </w:r>
      <w:r>
        <w:t>. The equations for specificity and sensitivity are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87C54" w14:paraId="348C84DA" w14:textId="77777777" w:rsidTr="00D778FB">
        <w:tc>
          <w:tcPr>
            <w:tcW w:w="350" w:type="pct"/>
          </w:tcPr>
          <w:p w14:paraId="1A925C31" w14:textId="77777777" w:rsidR="00787C54" w:rsidRDefault="00787C54" w:rsidP="00527900"/>
        </w:tc>
        <w:tc>
          <w:tcPr>
            <w:tcW w:w="4300" w:type="pct"/>
          </w:tcPr>
          <w:p w14:paraId="7BE77DA4" w14:textId="2BA83E29" w:rsidR="00787C54" w:rsidRPr="00955078" w:rsidRDefault="00E45318" w:rsidP="00527900">
            <w:pPr>
              <w:spacing w:line="360" w:lineRule="auto"/>
            </w:pPr>
            <m:oMathPara>
              <m:oMath>
                <m:r>
                  <w:rPr>
                    <w:rFonts w:ascii="Cambria Math" w:hAnsi="Cambria Math"/>
                  </w:rPr>
                  <m:t>Specificity</m:t>
                </m:r>
                <m:r>
                  <m:rPr>
                    <m:aln/>
                  </m:rPr>
                  <w:rPr>
                    <w:rFonts w:ascii="Cambria Math" w:hAnsi="Cambria Math"/>
                  </w:rPr>
                  <m:t xml:space="preserve">= </m:t>
                </m:r>
                <m:f>
                  <m:fPr>
                    <m:ctrlPr>
                      <w:rPr>
                        <w:rFonts w:ascii="Cambria Math" w:hAnsi="Cambria Math"/>
                      </w:rPr>
                    </m:ctrlPr>
                  </m:fPr>
                  <m:num>
                    <m:r>
                      <w:rPr>
                        <w:rFonts w:ascii="Cambria Math" w:hAnsi="Cambria Math"/>
                      </w:rPr>
                      <m:t>TN</m:t>
                    </m:r>
                    <m:ctrlPr>
                      <w:rPr>
                        <w:rFonts w:ascii="Cambria Math" w:hAnsi="Cambria Math"/>
                        <w:i/>
                      </w:rPr>
                    </m:ctrlPr>
                  </m:num>
                  <m:den>
                    <m:r>
                      <m:rPr>
                        <m:sty m:val="p"/>
                      </m:rPr>
                      <w:rPr>
                        <w:rFonts w:ascii="Cambria Math" w:hAnsi="Cambria Math"/>
                      </w:rPr>
                      <m:t>Total Actual Negative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TN</m:t>
                    </m:r>
                    <m:ctrlPr>
                      <w:rPr>
                        <w:rFonts w:ascii="Cambria Math" w:hAnsi="Cambria Math"/>
                        <w:i/>
                      </w:rPr>
                    </m:ctrlPr>
                  </m:num>
                  <m:den>
                    <m:r>
                      <w:rPr>
                        <w:rFonts w:ascii="Cambria Math" w:hAnsi="Cambria Math"/>
                      </w:rPr>
                      <m:t>FP + TN</m:t>
                    </m:r>
                    <m:ctrlPr>
                      <w:rPr>
                        <w:rFonts w:ascii="Cambria Math" w:hAnsi="Cambria Math"/>
                        <w:i/>
                      </w:rPr>
                    </m:ctrlPr>
                  </m:den>
                </m:f>
              </m:oMath>
            </m:oMathPara>
          </w:p>
          <w:p w14:paraId="7ACC0578" w14:textId="551500E6" w:rsidR="00787C54" w:rsidRPr="00C97492" w:rsidRDefault="00E45318" w:rsidP="00527900">
            <w:pPr>
              <w:spacing w:before="240" w:line="360" w:lineRule="auto"/>
            </w:pPr>
            <m:oMathPara>
              <m:oMath>
                <m:r>
                  <w:rPr>
                    <w:rFonts w:ascii="Cambria Math" w:hAnsi="Cambria Math"/>
                  </w:rPr>
                  <m:t xml:space="preserve">Sensitivity </m:t>
                </m:r>
                <m:r>
                  <m:rPr>
                    <m:aln/>
                  </m:rPr>
                  <w:rPr>
                    <w:rFonts w:ascii="Cambria Math" w:hAnsi="Cambria Math"/>
                  </w:rPr>
                  <m:t>= Recall</m:t>
                </m:r>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Actual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tc>
        <w:tc>
          <w:tcPr>
            <w:tcW w:w="350" w:type="pct"/>
          </w:tcPr>
          <w:p w14:paraId="7FFAC766" w14:textId="77777777" w:rsidR="00787C54" w:rsidRDefault="00787C54" w:rsidP="00527900">
            <w:pPr>
              <w:jc w:val="right"/>
            </w:pPr>
          </w:p>
          <w:p w14:paraId="52C0892B" w14:textId="77777777" w:rsidR="00787C54" w:rsidRDefault="00787C54" w:rsidP="00527900">
            <w:pPr>
              <w:jc w:val="right"/>
            </w:pPr>
          </w:p>
          <w:p w14:paraId="3F5B0CDD" w14:textId="77777777" w:rsidR="00787C54" w:rsidRDefault="00787C54" w:rsidP="00527900">
            <w:pPr>
              <w:jc w:val="right"/>
            </w:pPr>
            <w:r>
              <w:t xml:space="preserve"> </w:t>
            </w:r>
          </w:p>
          <w:p w14:paraId="230956C0" w14:textId="3B842361" w:rsidR="00787C54" w:rsidRDefault="00787C54" w:rsidP="00527900">
            <w:pPr>
              <w:jc w:val="right"/>
            </w:pPr>
            <w:r>
              <w:t>(</w:t>
            </w:r>
            <w:r>
              <w:fldChar w:fldCharType="begin"/>
            </w:r>
            <w:r>
              <w:instrText xml:space="preserve"> SEQ Equation \* ARABIC </w:instrText>
            </w:r>
            <w:r>
              <w:fldChar w:fldCharType="separate"/>
            </w:r>
            <w:r w:rsidR="007A7577">
              <w:rPr>
                <w:noProof/>
              </w:rPr>
              <w:t>8</w:t>
            </w:r>
            <w:r>
              <w:rPr>
                <w:noProof/>
              </w:rPr>
              <w:fldChar w:fldCharType="end"/>
            </w:r>
            <w:r>
              <w:t>)</w:t>
            </w:r>
          </w:p>
          <w:p w14:paraId="3851BCC5" w14:textId="77777777" w:rsidR="00787C54" w:rsidRDefault="00787C54" w:rsidP="00527900">
            <w:pPr>
              <w:jc w:val="right"/>
            </w:pPr>
          </w:p>
          <w:p w14:paraId="32C3B42C" w14:textId="77777777" w:rsidR="00787C54" w:rsidRDefault="00787C54" w:rsidP="00527900">
            <w:pPr>
              <w:jc w:val="right"/>
            </w:pPr>
          </w:p>
          <w:p w14:paraId="18E3D753" w14:textId="77777777" w:rsidR="00787C54" w:rsidRDefault="00787C54" w:rsidP="00527900">
            <w:pPr>
              <w:jc w:val="right"/>
            </w:pPr>
          </w:p>
          <w:p w14:paraId="77C84EBC" w14:textId="77777777" w:rsidR="00787C54" w:rsidRDefault="00787C54" w:rsidP="00527900">
            <w:pPr>
              <w:jc w:val="right"/>
            </w:pPr>
          </w:p>
          <w:p w14:paraId="6C8E83BC" w14:textId="77777777" w:rsidR="001B7B15" w:rsidRDefault="001B7B15" w:rsidP="00527900">
            <w:pPr>
              <w:jc w:val="right"/>
            </w:pPr>
          </w:p>
          <w:p w14:paraId="3CEC7F3C" w14:textId="77777777" w:rsidR="00CB563D" w:rsidRDefault="00CB563D" w:rsidP="00527900">
            <w:pPr>
              <w:jc w:val="right"/>
            </w:pPr>
          </w:p>
          <w:p w14:paraId="5A817C5B" w14:textId="7AE345B1" w:rsidR="00787C54" w:rsidRDefault="00787C54" w:rsidP="00527900">
            <w:pPr>
              <w:jc w:val="right"/>
            </w:pPr>
            <w:r>
              <w:t>(</w:t>
            </w:r>
            <w:r>
              <w:fldChar w:fldCharType="begin"/>
            </w:r>
            <w:r>
              <w:instrText xml:space="preserve"> SEQ Equation \* ARABIC </w:instrText>
            </w:r>
            <w:r>
              <w:fldChar w:fldCharType="separate"/>
            </w:r>
            <w:r w:rsidR="007A7577">
              <w:rPr>
                <w:noProof/>
              </w:rPr>
              <w:t>9</w:t>
            </w:r>
            <w:r>
              <w:rPr>
                <w:noProof/>
              </w:rPr>
              <w:fldChar w:fldCharType="end"/>
            </w:r>
            <w:r>
              <w:t>)</w:t>
            </w:r>
          </w:p>
        </w:tc>
      </w:tr>
    </w:tbl>
    <w:p w14:paraId="1A1089A8" w14:textId="7114C105" w:rsidR="00D05BCA" w:rsidRDefault="00D778FB" w:rsidP="006802B8">
      <w:pPr>
        <w:ind w:firstLine="720"/>
      </w:pPr>
      <w:r>
        <w:lastRenderedPageBreak/>
        <w:t xml:space="preserve">Unlike metrics </w:t>
      </w:r>
      <w:r w:rsidR="00683743">
        <w:t>focusing</w:t>
      </w:r>
      <w:r>
        <w:t xml:space="preserve"> solely on positive samples, the ROC curve accounts for both positive and negative samples, making it a label-invariant metric. Specificity is plotted on the x-axis and sensitivity on the y-axis, calculated at different thresholds (</w:t>
      </w:r>
      <w:r w:rsidRPr="00D778FB">
        <w:rPr>
          <w:b/>
          <w:bCs/>
        </w:rPr>
        <w:t>Figure 3, Right</w:t>
      </w:r>
      <w:r w:rsidRPr="00D778FB">
        <w:t>).</w:t>
      </w:r>
    </w:p>
    <w:p w14:paraId="7D8C92B1" w14:textId="0092F54E" w:rsidR="008B256E" w:rsidRDefault="00D05BCA" w:rsidP="00D05BCA">
      <w:pPr>
        <w:ind w:firstLine="720"/>
      </w:pPr>
      <w:r>
        <w:t xml:space="preserve">A </w:t>
      </w:r>
      <w:r w:rsidR="00683743">
        <w:t>model's effectiveness, as depicted on the ROC curve,</w:t>
      </w:r>
      <w:r>
        <w:t xml:space="preserve"> is gauged by how closely a point on the curve approaches the top-left corner. A steep ascent from the left side of the curve signifies the model's ability to correctly identify most true positives while incurring a low rate of false positives. A random guess, with a 50% chance of correct prediction, corresponds to a diagonal line on the ROC curve. In dairy science, the ROC curve has been extensively utilized, for example, in predicting mastitis from milk composition </w:t>
      </w:r>
      <w:r>
        <w:fldChar w:fldCharType="begin"/>
      </w:r>
      <w:r w:rsidR="00874531">
        <w:instrText xml:space="preserve"> ADDIN ZOTERO_ITEM CSL_CITATION {"citationID":"a29e8esrb7k","properties":{"formattedCitation":"(Jensen et al., 2016)","plainCitation":"(Jensen et al., 2016)","noteIndex":0},"citationItems":[{"id":3640,"uris":["http://zotero.org/users/5933671/items/IDTJ3MGB"],"itemData":{"id":3640,"type":"article-journal","abstract":"Rapid detection of dairy cow mastitis is important so corrective action can be taken as soon as possible. Automatically collected sensor data used to monitor the performance and the health state of the cow could be useful for rapid detection of mastitis while reducing the labor needs for monitoring. The state of the art in combining sensor data to predict clinical mastitis still does not perform well enough to be applied in practice. Our objective was to combine a multivariate dynamic linear model (DLM) with a naïve Bayesian classifier (NBC) in a novel method using sensor and nonsensor data to detect clinical cases of mastitis. We also evaluated reductions in the number of sensors for detecting mastitis. With the DLM, we co-modeled 7 sources of sensor data (milk yield, fat, protein, lactose, conductivity, blood, body weight) collected at each milking for individual cows to produce one-step-ahead forecasts for each sensor. The observations were subsequently categorized according to the errors of the forecasted values and the estimated forecast variance. The categorized sensor data were combined with other data pertaining to the cow (week in milk, parity, mastitis history, somatic cell count category, and season) using Bayes’ theorem, which produced a combined probability of the cow having clinical mastitis. If this probability was above a set threshold, the cow was classified as mastitis positive. To illustrate the performance of our method, we used sensor data from 1,003,207 milkings from the University of Florida Dairy Unit collected from 2008 to 2014. Of these, 2,907 milkings were associated with recorded cases of clinical mastitis. Using the DLM/NBC method, we reached an area under the receiver operating characteristic curve of 0.89, with a specificity of 0.81 when the sensitivity was set at 0.80. Specificities with omissions of sensor data ranged from 0.58 to 0.81. These results are comparable to other studies, but differences in data quality, definitions of clinical mastitis, and time windows make comparisons across studies difficult. We found the DLM/NBC method to be a flexible method for combining multiple sensor and nonsensor data sources to predict clinical mastitis and accommodate missing observations. Further research is needed before practical implementation is possible. In particular, the performance of our method needs to be improved in the first 2 wk of lactation. The DLM method produces forecasts that are based on continuously estimated multivariate normal distributions, which makes forecasts and forecast errors easy to interpret, and new sensors can easily be added.","container-title":"Journal of Dairy Science","DOI":"10.3168/jds.2015-10060","ISSN":"0022-0302","issue":"9","journalAbbreviation":"Journal of Dairy Science","page":"7344-7361","source":"ScienceDirect","title":"Bayesian integration of sensor information and a multivariate dynamic linear model for prediction of dairy cow mastitis","volume":"99","author":[{"family":"Jensen","given":"Dan B."},{"family":"Hogeveen","given":"Henk"},{"family":"De Vries","given":"Albert"}],"issued":{"date-parts":[["2016",9,1]]}}}],"schema":"https://github.com/citation-style-language/schema/raw/master/csl-citation.json"} </w:instrText>
      </w:r>
      <w:r>
        <w:fldChar w:fldCharType="separate"/>
      </w:r>
      <w:r w:rsidR="00874531" w:rsidRPr="00874531">
        <w:rPr>
          <w:kern w:val="0"/>
        </w:rPr>
        <w:t>(Jensen et al., 2016)</w:t>
      </w:r>
      <w:r>
        <w:fldChar w:fldCharType="end"/>
      </w:r>
      <w:r>
        <w:t xml:space="preserve"> and diagnosing pregnancy using spectroscopy technology</w:t>
      </w:r>
      <w:r w:rsidR="005569D2">
        <w:t xml:space="preserve"> </w:t>
      </w:r>
      <w:r w:rsidR="005569D2">
        <w:fldChar w:fldCharType="begin"/>
      </w:r>
      <w:r w:rsidR="00874531">
        <w:instrText xml:space="preserve"> ADDIN ZOTERO_ITEM CSL_CITATION {"citationID":"a1b0dqprm7a","properties":{"formattedCitation":"(Delhez et al., 2020)","plainCitation":"(Delhez et al., 2020)","noteIndex":0},"citationItems":[{"id":3725,"uris":["http://zotero.org/users/5933671/items/VGFMTZF5"],"itemData":{"id":3725,"type":"article-journal","container-title":"Journal of Dairy Science","DOI":"10.3168/jds.2019-17473","ISSN":"00220302","issue":"4","journalAbbreviation":"Journal of Dairy Science","language":"en","page":"3264-3274","source":"DOI.org (Crossref)","title":"Diagnosing the pregnancy status of dairy cows: How useful is milk mid-infrared spectroscopy?","title-short":"Diagnosing the pregnancy status of dairy cows","volume":"103","author":[{"family":"Delhez","given":"P."},{"family":"Ho","given":"P.N."},{"family":"Gengler","given":"N."},{"family":"Soyeurt","given":"H."},{"family":"Pryce","given":"J.E."}],"issued":{"date-parts":[["2020",4]]}}}],"schema":"https://github.com/citation-style-language/schema/raw/master/csl-citation.json"} </w:instrText>
      </w:r>
      <w:r w:rsidR="005569D2">
        <w:fldChar w:fldCharType="separate"/>
      </w:r>
      <w:r w:rsidR="00874531" w:rsidRPr="00874531">
        <w:rPr>
          <w:kern w:val="0"/>
        </w:rPr>
        <w:t>(</w:t>
      </w:r>
      <w:proofErr w:type="spellStart"/>
      <w:r w:rsidR="00874531" w:rsidRPr="00874531">
        <w:rPr>
          <w:kern w:val="0"/>
        </w:rPr>
        <w:t>Delhez</w:t>
      </w:r>
      <w:proofErr w:type="spellEnd"/>
      <w:r w:rsidR="00874531" w:rsidRPr="00874531">
        <w:rPr>
          <w:kern w:val="0"/>
        </w:rPr>
        <w:t xml:space="preserve"> et al., 2020)</w:t>
      </w:r>
      <w:r w:rsidR="005569D2">
        <w:fldChar w:fldCharType="end"/>
      </w:r>
      <w:r>
        <w:t xml:space="preserve">. In this hypothetical example, the ROC curve also demonstrates robustness and label-invariance with a consistent </w:t>
      </w:r>
      <w:r w:rsidR="003E3ED7">
        <w:t xml:space="preserve">AUC </w:t>
      </w:r>
      <w:r>
        <w:t>of 0.875, regardless of whether the original or inverted labels are used.</w:t>
      </w:r>
    </w:p>
    <w:p w14:paraId="5DB188C2" w14:textId="445536C0" w:rsidR="00513615" w:rsidRDefault="00513615" w:rsidP="00091B5C">
      <w:pPr>
        <w:pStyle w:val="Heading3"/>
      </w:pPr>
      <w:r w:rsidRPr="00513615">
        <w:t>Matthews Correlation Coefficient (MCC)</w:t>
      </w:r>
    </w:p>
    <w:p w14:paraId="728F85EA" w14:textId="48385E0D" w:rsidR="008B256E" w:rsidRDefault="0031038B" w:rsidP="00A17909">
      <w:pPr>
        <w:ind w:firstLine="720"/>
      </w:pPr>
      <w:r w:rsidRPr="0031038B">
        <w:t>The Matthews Correlation Coefficient (</w:t>
      </w:r>
      <w:r w:rsidRPr="00405CAF">
        <w:rPr>
          <w:b/>
          <w:bCs/>
        </w:rPr>
        <w:t>MCC</w:t>
      </w:r>
      <w:r w:rsidRPr="0031038B">
        <w:t xml:space="preserve">) is a robust metric for evaluating binary classification models. Unlike other metrics, the MCC </w:t>
      </w:r>
      <w:r w:rsidR="007F506D">
        <w:t>considers</w:t>
      </w:r>
      <w:r w:rsidRPr="0031038B">
        <w:t xml:space="preserve"> both positive and negative samples in the dataset, providing a balanced measure of a model's performance</w:t>
      </w:r>
      <w:r w:rsidR="00696405">
        <w:t xml:space="preserve"> </w:t>
      </w:r>
      <w:r>
        <w:t xml:space="preserve"> </w:t>
      </w:r>
      <w:r>
        <w:fldChar w:fldCharType="begin"/>
      </w:r>
      <w:r w:rsidR="00874531">
        <w:instrText xml:space="preserve"> ADDIN ZOTERO_ITEM CSL_CITATION {"citationID":"aj3obkcsj4","properties":{"formattedCitation":"(Chicco and Jurman, 2020)","plainCitation":"(Chicco and Jurman, 2020)","noteIndex":0},"citationItems":[{"id":3676,"uris":["http://zotero.org/users/5933671/items/H443U93B"],"itemData":{"id":3676,"type":"article-journal","abstract":"To evaluate binary classifications and their confusion matrices, scientific researchers can employ several statistical rates, accordingly to the goal of the experiment they are investigating. Despite being a crucial issue in machine learning, no widespread consensus has been reached on a unified elective chosen measure yet. Accuracy and F1 score computed on confusion matrices have been (and still are) among the most popular adopted metrics in binary classification tasks. However, these statistical measures can dangerously show overoptimistic inflated results, especially on imbalanced datasets.","container-title":"BMC Genomics","DOI":"10.1186/s12864-019-6413-7","ISSN":"1471-2164","issue":"1","journalAbbreviation":"BMC Genomics","page":"6","source":"BioMed Central","title":"The advantages of the Matthews correlation coefficient (MCC) over F1 score and accuracy in binary classification evaluation","volume":"21","author":[{"family":"Chicco","given":"Davide"},{"family":"Jurman","given":"Giuseppe"}],"issued":{"date-parts":[["2020",1,2]]}}}],"schema":"https://github.com/citation-style-language/schema/raw/master/csl-citation.json"} </w:instrText>
      </w:r>
      <w:r>
        <w:fldChar w:fldCharType="separate"/>
      </w:r>
      <w:r w:rsidR="00874531" w:rsidRPr="00874531">
        <w:rPr>
          <w:kern w:val="0"/>
        </w:rPr>
        <w:t xml:space="preserve">(Chicco and </w:t>
      </w:r>
      <w:proofErr w:type="spellStart"/>
      <w:r w:rsidR="00874531" w:rsidRPr="00874531">
        <w:rPr>
          <w:kern w:val="0"/>
        </w:rPr>
        <w:t>Jurman</w:t>
      </w:r>
      <w:proofErr w:type="spellEnd"/>
      <w:r w:rsidR="00874531" w:rsidRPr="00874531">
        <w:rPr>
          <w:kern w:val="0"/>
        </w:rPr>
        <w:t>, 2020)</w:t>
      </w:r>
      <w:r>
        <w:fldChar w:fldCharType="end"/>
      </w:r>
      <w:r>
        <w:t xml:space="preserve">. </w:t>
      </w:r>
      <w:r w:rsidRPr="0031038B">
        <w:t>It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05B4" w14:paraId="7CAAF3BC" w14:textId="77777777" w:rsidTr="0031038B">
        <w:tc>
          <w:tcPr>
            <w:tcW w:w="350" w:type="pct"/>
          </w:tcPr>
          <w:p w14:paraId="50B03527" w14:textId="77777777" w:rsidR="002B05B4" w:rsidRDefault="002B05B4" w:rsidP="00527900"/>
        </w:tc>
        <w:tc>
          <w:tcPr>
            <w:tcW w:w="4300" w:type="pct"/>
          </w:tcPr>
          <w:p w14:paraId="12F3FF13" w14:textId="53B75381" w:rsidR="002B05B4" w:rsidRPr="002B05B4" w:rsidRDefault="002B05B4" w:rsidP="00527900">
            <w:pPr>
              <w:spacing w:line="360" w:lineRule="auto"/>
            </w:pPr>
            <m:oMathPara>
              <m:oMath>
                <m:r>
                  <m:rPr>
                    <m:sty m:val="p"/>
                  </m:rPr>
                  <w:rPr>
                    <w:rFonts w:ascii="Cambria Math" w:hAnsi="Cambria Math"/>
                  </w:rPr>
                  <m:t>MCC=</m:t>
                </m:r>
                <m:f>
                  <m:fPr>
                    <m:ctrlPr>
                      <w:rPr>
                        <w:rFonts w:ascii="Cambria Math" w:hAnsi="Cambria Math"/>
                      </w:rPr>
                    </m:ctrlPr>
                  </m:fPr>
                  <m:num>
                    <m:r>
                      <m:rPr>
                        <m:sty m:val="p"/>
                      </m:rPr>
                      <w:rPr>
                        <w:rFonts w:ascii="Cambria Math" w:hAnsi="Cambria Math"/>
                      </w:rPr>
                      <m:t>TP×TN-FP×FN</m:t>
                    </m: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m:rPr>
                                <m:sty m:val="p"/>
                              </m:rPr>
                              <w:rPr>
                                <w:rFonts w:ascii="Cambria Math" w:hAnsi="Cambria Math"/>
                              </w:rPr>
                              <m:t>TP+FP</m:t>
                            </m:r>
                          </m:e>
                        </m:d>
                        <m:d>
                          <m:dPr>
                            <m:ctrlPr>
                              <w:rPr>
                                <w:rFonts w:ascii="Cambria Math" w:hAnsi="Cambria Math"/>
                              </w:rPr>
                            </m:ctrlPr>
                          </m:dPr>
                          <m:e>
                            <m:r>
                              <m:rPr>
                                <m:sty m:val="p"/>
                              </m:rPr>
                              <w:rPr>
                                <w:rFonts w:ascii="Cambria Math" w:hAnsi="Cambria Math"/>
                              </w:rPr>
                              <m:t>TP+FN</m:t>
                            </m:r>
                          </m:e>
                        </m:d>
                        <m:d>
                          <m:dPr>
                            <m:ctrlPr>
                              <w:rPr>
                                <w:rFonts w:ascii="Cambria Math" w:hAnsi="Cambria Math"/>
                              </w:rPr>
                            </m:ctrlPr>
                          </m:dPr>
                          <m:e>
                            <m:r>
                              <m:rPr>
                                <m:sty m:val="p"/>
                              </m:rPr>
                              <w:rPr>
                                <w:rFonts w:ascii="Cambria Math" w:hAnsi="Cambria Math"/>
                              </w:rPr>
                              <m:t>TN+FP</m:t>
                            </m:r>
                          </m:e>
                        </m:d>
                        <m:d>
                          <m:dPr>
                            <m:ctrlPr>
                              <w:rPr>
                                <w:rFonts w:ascii="Cambria Math" w:hAnsi="Cambria Math"/>
                              </w:rPr>
                            </m:ctrlPr>
                          </m:dPr>
                          <m:e>
                            <m:r>
                              <m:rPr>
                                <m:sty m:val="p"/>
                              </m:rPr>
                              <w:rPr>
                                <w:rFonts w:ascii="Cambria Math" w:hAnsi="Cambria Math"/>
                              </w:rPr>
                              <m:t>TN+FN</m:t>
                            </m:r>
                          </m:e>
                        </m:d>
                      </m:e>
                    </m:rad>
                  </m:den>
                </m:f>
              </m:oMath>
            </m:oMathPara>
          </w:p>
        </w:tc>
        <w:tc>
          <w:tcPr>
            <w:tcW w:w="350" w:type="pct"/>
          </w:tcPr>
          <w:p w14:paraId="358D3094" w14:textId="77777777" w:rsidR="002B05B4" w:rsidRDefault="002B05B4" w:rsidP="00527900">
            <w:pPr>
              <w:jc w:val="right"/>
            </w:pPr>
          </w:p>
          <w:p w14:paraId="406EFB49" w14:textId="6E0171E2" w:rsidR="002B05B4" w:rsidRDefault="002B05B4" w:rsidP="00527900">
            <w:pPr>
              <w:jc w:val="right"/>
            </w:pPr>
            <w:r>
              <w:t>(</w:t>
            </w:r>
            <w:r>
              <w:fldChar w:fldCharType="begin"/>
            </w:r>
            <w:r>
              <w:instrText xml:space="preserve"> SEQ Equation \* ARABIC </w:instrText>
            </w:r>
            <w:r>
              <w:fldChar w:fldCharType="separate"/>
            </w:r>
            <w:r w:rsidR="007A7577">
              <w:rPr>
                <w:noProof/>
              </w:rPr>
              <w:t>10</w:t>
            </w:r>
            <w:r>
              <w:rPr>
                <w:noProof/>
              </w:rPr>
              <w:fldChar w:fldCharType="end"/>
            </w:r>
            <w:r>
              <w:t>)</w:t>
            </w:r>
          </w:p>
        </w:tc>
      </w:tr>
    </w:tbl>
    <w:p w14:paraId="2E47CD79" w14:textId="77777777" w:rsidR="0031038B" w:rsidRDefault="0031038B" w:rsidP="0031038B"/>
    <w:p w14:paraId="70418F9B" w14:textId="71436358" w:rsidR="0031038B" w:rsidRDefault="0031038B" w:rsidP="00CB29DB">
      <w:pPr>
        <w:ind w:firstLine="720"/>
      </w:pPr>
      <w:r w:rsidRPr="0031038B">
        <w:rPr>
          <w:b/>
          <w:bCs/>
        </w:rPr>
        <w:t>Equation (10)</w:t>
      </w:r>
      <w:r>
        <w:t xml:space="preserve"> symmetrically incorporates all four components (i.e., TP, TN, FP, and FN) of the confusion matrix. This symmetry makes MCC invariant to class distribution changes. The coefficient ranges from -1 to 1, where 1 indicates perfect classification, 0 indicates </w:t>
      </w:r>
      <w:r w:rsidR="009857B2">
        <w:t>no better performance</w:t>
      </w:r>
      <w:r>
        <w:t xml:space="preserve"> than random guessing, and -1 signifies total disagreement between prediction and observation.</w:t>
      </w:r>
      <w:r w:rsidR="00A17909">
        <w:t xml:space="preserve"> </w:t>
      </w:r>
      <w:r w:rsidR="003A0909">
        <w:t xml:space="preserve">In a case study </w:t>
      </w:r>
      <w:r w:rsidR="0007203F">
        <w:t xml:space="preserve">that </w:t>
      </w:r>
      <w:r w:rsidR="003A0909">
        <w:t>used feeding and daily activity behaviors to diagnose Bovine Respiratory Disease in dairy calves, MCC proved particularly insightful</w:t>
      </w:r>
      <w:r w:rsidR="00490E04">
        <w:t xml:space="preserve"> </w:t>
      </w:r>
      <w:r w:rsidR="00490E04">
        <w:fldChar w:fldCharType="begin"/>
      </w:r>
      <w:r w:rsidR="00874531">
        <w:instrText xml:space="preserve"> ADDIN ZOTERO_ITEM CSL_CITATION {"citationID":"a2b4fjch4po","properties":{"formattedCitation":"(Bowen et al., 2021)","plainCitation":"(Bowen et al., 2021)","noteIndex":0},"citationItems":[{"id":3645,"uris":["http://zotero.org/users/5933671/items/PINII49W"],"itemData":{"id":3645,"type":"article-journal","abstract":"Bovine respiratory disease (BRD) represents one of the major disease challenges affecting preweaning dairy-bred calves. Previous studies have shown that differences in feeding and activity behaviors exist between healthy and diseased calves affected by BRD. The aim of this study was to develop and assess the accuracy of models designed to predict BRD from feeding and activity behaviors. Feeding and activity behaviors were recorded for 100 male preweaning calves between ~8 to 42 d of age. Calves were group housed with ad libitum access to milk via automatic milk feeders, water, starter diet, and straw. Activity was monitored via a leg-mounted accelerometer. Health status of individual calves was monitored daily using an adapted version of the Wisconsin Scoring System to identify BRD. Three models were created to predict disease: (1) deviation from normal lying time based on moving averages (MA); (2) random forest (RF), a machine learning technique based on feeding and activity variables; and (3) a combination of RF and MA output. For the MA model, lying time was predicted based on behavior over previous days (3- and 7-d MA) and the expected value for the current day (based on calf age; measured using accelerometers). Data were not split into training and test data sets. Occasions when the actual lying time increased &gt;9% of predicted lying time were classified as a deviation from normal and a disease alert was provided. Both feeding and activity behaviors were included within the RF model. Data were split into training (70%) and test (30%) data sets based on disease events. Events were classified as 2 d before, the day(s) of the disease event, and 2 d after the event. Accuracy of models was assessed using sensitivity, specificity, balanced accuracy, and Matthews correlation coefficient (MCC). If a positive disease prediction agreed with an actual disease event within a 3-d rolling window, it was classified as a true positive. Stand-alone models (RF; MA) showed high specificity (0.95; 0.97), moderate sensitivity (0.35; 0.43), balanced accuracy (0.65; 0.64), and MCC (0.25; 0.29). Combining outputs increased accuracy (specificity = 0.95, sensitivity = 0.54, balanced accuracy = 0.75, MCC = 0.36). The work presented is the first to demonstrate the use of modeling data derived from precision livestock farming techniques that monitor feeding and activity behaviors for early detection of BRD in preweaning calves, offering a significant advance in health management of youngstock.","container-title":"Journal of Dairy Science","DOI":"10.3168/jds.2021-20373","ISSN":"0022-0302","issue":"11","journalAbbreviation":"Journal of Dairy Science","page":"12009-12018","source":"ScienceDirect","title":"Early prediction of respiratory disease in preweaning dairy calves using feeding and activity behaviors","volume":"104","author":[{"family":"Bowen","given":"J. M."},{"family":"Haskell","given":"M. J."},{"family":"Miller","given":"G. A."},{"family":"Mason","given":"C. S."},{"family":"Bell","given":"D. J."},{"family":"Duthie","given":"C-A."}],"issued":{"date-parts":[["2021",11,1]]}}}],"schema":"https://github.com/citation-style-language/schema/raw/master/csl-citation.json"} </w:instrText>
      </w:r>
      <w:r w:rsidR="00490E04">
        <w:fldChar w:fldCharType="separate"/>
      </w:r>
      <w:r w:rsidR="00874531" w:rsidRPr="00874531">
        <w:rPr>
          <w:kern w:val="0"/>
        </w:rPr>
        <w:t>(Bowen et al., 2021)</w:t>
      </w:r>
      <w:r w:rsidR="00490E04">
        <w:fldChar w:fldCharType="end"/>
      </w:r>
      <w:r w:rsidR="003A0909">
        <w:t>. The models in this study exhibited strong performance on negative samples (i.e., healthy calves), which were more prevalent, resulting in high specificity. However, sensitivity was relatively low at 0.54. In this context, MCC, with a value of 0.36, provided a more nuanced and representative measure of model performance, especially given the skew towards negative samples.</w:t>
      </w:r>
    </w:p>
    <w:p w14:paraId="417767A9" w14:textId="676EFBE2" w:rsidR="0007203F" w:rsidRDefault="00592CF0" w:rsidP="004305F2">
      <w:pPr>
        <w:ind w:firstLine="720"/>
      </w:pPr>
      <w:r>
        <w:t>Considering</w:t>
      </w:r>
      <w:r w:rsidR="0007203F">
        <w:t xml:space="preserve"> MCC's balanced approach to evaluating model performance, this review introduces the concept of an MCC curve. This curve, which plots the MCC value against various threshold levels (</w:t>
      </w:r>
      <w:r w:rsidR="0007203F" w:rsidRPr="00D51AD3">
        <w:rPr>
          <w:b/>
          <w:bCs/>
        </w:rPr>
        <w:t>Figure 4</w:t>
      </w:r>
      <w:r w:rsidR="0007203F">
        <w:t xml:space="preserve">), serves as a powerful tool for identifying the optimal confidence thresholds for model predictions. By examining this curve, one can determine the specific threshold at which the MCC value peaks, thereby optimizing the model's performance. For example, when applied to the hypothetical example, the optimum MCC value of 0.82 was attained at a threshold of 0.25. This </w:t>
      </w:r>
      <w:proofErr w:type="gramStart"/>
      <w:r w:rsidR="0007203F">
        <w:t>particular threshold</w:t>
      </w:r>
      <w:proofErr w:type="gramEnd"/>
      <w:r w:rsidR="0007203F">
        <w:t xml:space="preserve"> corresponded to accuracy, precision, and recall values of 0.90, 0.75, and 1.00, respectively. Notably, the MCC curve retains its symmetry even when labels are reversed, affirming its status as a label-invariant measure. In scenarios with inverted labels, the maximum MCC value observed was 0.83, achieved at a threshold of 0.75, leading to accuracy, precision, and recall values of 0.90, 1.00, and 0.83, respectively. Such findings underscore the MCC's ability to provide a balanced and comprehensive assessment of both positive and </w:t>
      </w:r>
      <w:r w:rsidR="0007203F">
        <w:lastRenderedPageBreak/>
        <w:t>negative samples, thereby reinforcing its utility as a versatile and effective metric for thorough model evaluation.</w:t>
      </w:r>
    </w:p>
    <w:p w14:paraId="68B61246" w14:textId="77777777" w:rsidR="00C045F4" w:rsidRDefault="00C045F4" w:rsidP="00C045F4"/>
    <w:p w14:paraId="6C3FB9B7" w14:textId="77777777" w:rsidR="00C045F4" w:rsidRDefault="00C045F4" w:rsidP="00C045F4">
      <w:pPr>
        <w:keepNext/>
      </w:pPr>
      <w:r w:rsidRPr="004305F2">
        <w:rPr>
          <w:noProof/>
        </w:rPr>
        <w:drawing>
          <wp:inline distT="0" distB="0" distL="0" distR="0" wp14:anchorId="091F8C77" wp14:editId="1A5C55A6">
            <wp:extent cx="5943600" cy="3689985"/>
            <wp:effectExtent l="0" t="0" r="0" b="5715"/>
            <wp:docPr id="899869603" name="Picture 1" descr="A graph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69603" name="Picture 1" descr="A graph with numbers and labels&#10;&#10;Description automatically generated"/>
                    <pic:cNvPicPr/>
                  </pic:nvPicPr>
                  <pic:blipFill>
                    <a:blip r:embed="rId12"/>
                    <a:stretch>
                      <a:fillRect/>
                    </a:stretch>
                  </pic:blipFill>
                  <pic:spPr>
                    <a:xfrm>
                      <a:off x="0" y="0"/>
                      <a:ext cx="5943600" cy="3689985"/>
                    </a:xfrm>
                    <a:prstGeom prst="rect">
                      <a:avLst/>
                    </a:prstGeom>
                  </pic:spPr>
                </pic:pic>
              </a:graphicData>
            </a:graphic>
          </wp:inline>
        </w:drawing>
      </w:r>
    </w:p>
    <w:p w14:paraId="63C49F49" w14:textId="1C9FD340" w:rsidR="00C045F4" w:rsidRPr="0007203F" w:rsidRDefault="00C045F4" w:rsidP="00C045F4">
      <w:pPr>
        <w:pStyle w:val="Caption"/>
        <w:rPr>
          <w:color w:val="FF0000"/>
        </w:rPr>
      </w:pPr>
      <w:r w:rsidRPr="00662B25">
        <w:rPr>
          <w:b/>
          <w:bCs/>
        </w:rPr>
        <w:t xml:space="preserve">Figure </w:t>
      </w:r>
      <w:r w:rsidRPr="00662B25">
        <w:rPr>
          <w:b/>
          <w:bCs/>
        </w:rPr>
        <w:fldChar w:fldCharType="begin"/>
      </w:r>
      <w:r w:rsidRPr="00662B25">
        <w:rPr>
          <w:b/>
          <w:bCs/>
        </w:rPr>
        <w:instrText xml:space="preserve"> SEQ Figure \* ARABIC </w:instrText>
      </w:r>
      <w:r w:rsidRPr="00662B25">
        <w:rPr>
          <w:b/>
          <w:bCs/>
        </w:rPr>
        <w:fldChar w:fldCharType="separate"/>
      </w:r>
      <w:r w:rsidR="007A7577">
        <w:rPr>
          <w:b/>
          <w:bCs/>
          <w:noProof/>
        </w:rPr>
        <w:t>4</w:t>
      </w:r>
      <w:r w:rsidRPr="00662B25">
        <w:rPr>
          <w:b/>
          <w:bCs/>
        </w:rPr>
        <w:fldChar w:fldCharType="end"/>
      </w:r>
      <w:r w:rsidRPr="00662B25">
        <w:rPr>
          <w:b/>
          <w:bCs/>
        </w:rPr>
        <w:t>.</w:t>
      </w:r>
      <w:r w:rsidRPr="00662B25">
        <w:t xml:space="preserve"> Matthews Correlation Coefficient (MCC) curve</w:t>
      </w:r>
      <w:r>
        <w:t>. A line chart plotting MCC</w:t>
      </w:r>
      <w:r w:rsidRPr="00662B25">
        <w:t xml:space="preserve"> </w:t>
      </w:r>
      <w:r>
        <w:t>at</w:t>
      </w:r>
      <w:r w:rsidRPr="00662B25">
        <w:t xml:space="preserve"> different thresholds for the hypothetical example. The optimal threshold is highlighted </w:t>
      </w:r>
      <w:r>
        <w:t xml:space="preserve">by the dot marks </w:t>
      </w:r>
      <w:r w:rsidRPr="00662B25">
        <w:t>in green and orange for the original and inverted labels, respectively. The confusion matrix at the optimal threshold is displayed in the right panel.</w:t>
      </w:r>
    </w:p>
    <w:p w14:paraId="56FAF32C" w14:textId="77777777" w:rsidR="00C045F4" w:rsidRDefault="00C045F4" w:rsidP="004305F2">
      <w:pPr>
        <w:ind w:firstLine="720"/>
      </w:pPr>
    </w:p>
    <w:p w14:paraId="456D0873" w14:textId="73243D11" w:rsidR="009A23BA" w:rsidRDefault="00E11C73" w:rsidP="009A23BA">
      <w:pPr>
        <w:pStyle w:val="Heading3"/>
      </w:pPr>
      <w:r>
        <w:t xml:space="preserve">Section </w:t>
      </w:r>
      <w:r w:rsidR="00676E40">
        <w:t>Conclusion</w:t>
      </w:r>
    </w:p>
    <w:p w14:paraId="1CD1C56E" w14:textId="6021D0E5" w:rsidR="00CE2256" w:rsidRDefault="009A23BA" w:rsidP="00B40428">
      <w:pPr>
        <w:ind w:firstLine="720"/>
      </w:pPr>
      <w:r>
        <w:t xml:space="preserve">Binary classification models are often evaluated using metrics </w:t>
      </w:r>
      <w:r w:rsidR="00263AA9">
        <w:t>focusing</w:t>
      </w:r>
      <w:r>
        <w:t xml:space="preserve"> on positive samples, such as precision and recall. It </w:t>
      </w:r>
      <w:r w:rsidR="00EB1509">
        <w:t xml:space="preserve">is </w:t>
      </w:r>
      <w:r>
        <w:t xml:space="preserve">generally advisable to designate the event of interest as the positive class. </w:t>
      </w:r>
      <w:r w:rsidR="00EB1509">
        <w:t>Otherwise</w:t>
      </w:r>
      <w:r>
        <w:t>, these metrics can be misleading when the more common</w:t>
      </w:r>
      <w:r w:rsidR="00263AA9">
        <w:t xml:space="preserve"> but less significant</w:t>
      </w:r>
      <w:r>
        <w:t xml:space="preserve"> background event is mistakenly marked as the positive class.</w:t>
      </w:r>
      <w:r w:rsidR="00BC4B22">
        <w:t xml:space="preserve"> </w:t>
      </w:r>
      <w:r>
        <w:t xml:space="preserve">To circumvent this potential bias, adopting label-invariant metrics is recommended. These metrics offer a more balanced and reliable assessment of model performance. Notable examples of such metrics include the ROC curve and the </w:t>
      </w:r>
      <w:r w:rsidR="00BC4B22">
        <w:t xml:space="preserve">proposed </w:t>
      </w:r>
      <w:r>
        <w:t>MCC curve</w:t>
      </w:r>
      <w:r w:rsidR="00C62F98">
        <w:t xml:space="preserve"> by this review</w:t>
      </w:r>
      <w:r>
        <w:t>, both of which are unaffected by the choice of positive and negative class labels</w:t>
      </w:r>
      <w:r w:rsidR="00323934">
        <w:t xml:space="preserve"> </w:t>
      </w:r>
      <w:r w:rsidR="00323934" w:rsidRPr="00323934">
        <w:t>and are thus robust for a thorough model evaluation</w:t>
      </w:r>
      <w:r w:rsidR="00934808">
        <w:t>.</w:t>
      </w:r>
      <w:r w:rsidR="00CE2256">
        <w:br w:type="page"/>
      </w:r>
    </w:p>
    <w:p w14:paraId="6AA702CC" w14:textId="1A355ACF" w:rsidR="00546CF3" w:rsidRDefault="00E408A6" w:rsidP="002815DC">
      <w:pPr>
        <w:pStyle w:val="Heading1"/>
      </w:pPr>
      <w:r>
        <w:lastRenderedPageBreak/>
        <w:t xml:space="preserve">3. </w:t>
      </w:r>
      <w:r w:rsidR="00546CF3">
        <w:t>Model Validation</w:t>
      </w:r>
    </w:p>
    <w:p w14:paraId="242329FF" w14:textId="66E4D302" w:rsidR="00546CF3" w:rsidRDefault="00546CF3" w:rsidP="002C3517">
      <w:pPr>
        <w:ind w:firstLine="720"/>
      </w:pPr>
      <w:r>
        <w:t>Model validation aims to evaluate how well a given model generalizes to an independent dataset that it has not seen during the training process. The most common methods for model validation are K-fold cross-validation (</w:t>
      </w:r>
      <w:r w:rsidRPr="00D90593">
        <w:rPr>
          <w:b/>
          <w:bCs/>
        </w:rPr>
        <w:t>K-fold CV</w:t>
      </w:r>
      <w:r>
        <w:t xml:space="preserve">). To implement </w:t>
      </w:r>
      <w:r w:rsidR="004E336C">
        <w:t xml:space="preserve">the </w:t>
      </w:r>
      <w:r>
        <w:t xml:space="preserve">K-fold CV, the available dataset, denoted as </w:t>
      </w:r>
      <m:oMath>
        <m:r>
          <m:rPr>
            <m:scr m:val="script"/>
          </m:rPr>
          <w:rPr>
            <w:rFonts w:ascii="Cambria Math" w:hAnsi="Cambria Math"/>
          </w:rPr>
          <m:t>D</m:t>
        </m:r>
      </m:oMath>
      <w:r>
        <w:t xml:space="preserve">, is partitioned into </w:t>
      </w:r>
      <m:oMath>
        <m:r>
          <w:rPr>
            <w:rFonts w:ascii="Cambria Math" w:hAnsi="Cambria Math"/>
          </w:rPr>
          <m:t>K</m:t>
        </m:r>
      </m:oMath>
      <w:r w:rsidR="004E336C">
        <w:t xml:space="preserve"> equally sized</w:t>
      </w:r>
      <w:r>
        <w:t xml:space="preserve"> folds. </w:t>
      </w:r>
      <w:r w:rsidR="00FA4462">
        <w:t>We can express</w:t>
      </w:r>
      <w:r>
        <w:t xml:space="preserve"> the dataset as</w:t>
      </w:r>
      <w:r w:rsidR="00D4133F">
        <w:t xml:space="preserve"> below</w:t>
      </w:r>
      <w:r>
        <w:t>:</w:t>
      </w:r>
    </w:p>
    <w:p w14:paraId="740EE5F6"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6764E" w14:paraId="78F5603A" w14:textId="77777777" w:rsidTr="007A659A">
        <w:tc>
          <w:tcPr>
            <w:tcW w:w="350" w:type="pct"/>
          </w:tcPr>
          <w:p w14:paraId="4388E8C9" w14:textId="77777777" w:rsidR="0096764E" w:rsidRDefault="0096764E" w:rsidP="00527900"/>
        </w:tc>
        <w:tc>
          <w:tcPr>
            <w:tcW w:w="4300" w:type="pct"/>
          </w:tcPr>
          <w:p w14:paraId="765731E9" w14:textId="331BA451" w:rsidR="009870CA" w:rsidRPr="00C97492" w:rsidRDefault="0096764E" w:rsidP="00527900">
            <w:pPr>
              <w:spacing w:line="360" w:lineRule="auto"/>
            </w:pPr>
            <m:oMathPara>
              <m:oMath>
                <m:r>
                  <m:rPr>
                    <m:scr m:val="script"/>
                  </m:rPr>
                  <w:rPr>
                    <w:rFonts w:ascii="Cambria Math" w:hAnsi="Cambria Math"/>
                  </w:rPr>
                  <m:t>D</m:t>
                </m:r>
                <m:r>
                  <m:rPr>
                    <m:aln/>
                  </m:rPr>
                  <w:rPr>
                    <w:rFonts w:ascii="Cambria Math" w:hAnsi="Cambria Math"/>
                  </w:rPr>
                  <m:t>=</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r>
                  <m:rPr>
                    <m:sty m:val="p"/>
                  </m:rPr>
                  <w:br/>
                </m:r>
              </m:oMath>
              <m:oMath>
                <m:r>
                  <m:rPr>
                    <m:aln/>
                  </m:rPr>
                  <w:rPr>
                    <w:rFonts w:ascii="Cambria Math" w:hAnsi="Cambria Math"/>
                  </w:rPr>
                  <m:t>=</m:t>
                </m:r>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m:rPr>
                    <m:lit/>
                  </m:rPr>
                  <w:rPr>
                    <w:rFonts w:ascii="Cambria Math" w:hAnsi="Cambria Math"/>
                  </w:rPr>
                  <m:t>}</m:t>
                </m:r>
              </m:oMath>
            </m:oMathPara>
          </w:p>
        </w:tc>
        <w:tc>
          <w:tcPr>
            <w:tcW w:w="350" w:type="pct"/>
          </w:tcPr>
          <w:p w14:paraId="470F0648" w14:textId="77777777" w:rsidR="009870CA" w:rsidRDefault="009870CA" w:rsidP="00475A4E">
            <w:pPr>
              <w:spacing w:line="276" w:lineRule="auto"/>
              <w:jc w:val="right"/>
            </w:pPr>
          </w:p>
          <w:p w14:paraId="4B3986CE" w14:textId="26A2231C" w:rsidR="0096764E" w:rsidRDefault="0096764E" w:rsidP="00475A4E">
            <w:pPr>
              <w:spacing w:line="360" w:lineRule="auto"/>
              <w:jc w:val="right"/>
            </w:pPr>
            <w:r>
              <w:t>(</w:t>
            </w:r>
            <w:r>
              <w:fldChar w:fldCharType="begin"/>
            </w:r>
            <w:r>
              <w:instrText xml:space="preserve"> SEQ Equation \* ARABIC </w:instrText>
            </w:r>
            <w:r>
              <w:fldChar w:fldCharType="separate"/>
            </w:r>
            <w:r w:rsidR="007A7577">
              <w:rPr>
                <w:noProof/>
              </w:rPr>
              <w:t>11</w:t>
            </w:r>
            <w:r>
              <w:rPr>
                <w:noProof/>
              </w:rPr>
              <w:fldChar w:fldCharType="end"/>
            </w:r>
            <w:r>
              <w:t>)</w:t>
            </w:r>
          </w:p>
        </w:tc>
      </w:tr>
    </w:tbl>
    <w:p w14:paraId="6D43E8C2" w14:textId="472239D4" w:rsidR="00546CF3" w:rsidRPr="00B67E4D" w:rsidRDefault="00546CF3" w:rsidP="00B87660">
      <w:r>
        <w:t>where</w:t>
      </w:r>
      <w:r w:rsidR="00B67E4D">
        <w:t xml:space="preserve"> </w:t>
      </w:r>
      <m:oMath>
        <m:r>
          <w:rPr>
            <w:rFonts w:ascii="Cambria Math" w:hAnsi="Cambria Math"/>
          </w:rPr>
          <m:t>X</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p</m:t>
            </m:r>
          </m:sup>
        </m:sSup>
      </m:oMath>
      <w:r>
        <w:t xml:space="preserve"> represents the input features, and</w:t>
      </w:r>
      <w:r w:rsidR="00AF5A28">
        <w:t xml:space="preserve"> </w:t>
      </w:r>
      <m:oMath>
        <m:r>
          <w:rPr>
            <w:rFonts w:ascii="Cambria Math" w:hAnsi="Cambria Math"/>
          </w:rPr>
          <m:t>Y</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m:rPr>
                <m:sty m:val="p"/>
              </m:rPr>
              <w:rPr>
                <w:rFonts w:ascii="Cambria Math" w:hAnsi="Cambria Math"/>
              </w:rPr>
              <m:t>×1</m:t>
            </m:r>
          </m:sup>
        </m:sSup>
      </m:oMath>
      <w:r>
        <w:t xml:space="preserve"> symbolizes the ground truth labels</w:t>
      </w:r>
      <w:r w:rsidR="007B3178">
        <w:t xml:space="preserve"> </w:t>
      </w:r>
      <w:r w:rsidR="00673EAC">
        <w:t>for a single target</w:t>
      </w:r>
      <w:r w:rsidR="00717B9A">
        <w:t xml:space="preserve"> variable</w:t>
      </w:r>
      <w:r w:rsidR="007B3178">
        <w:t>.</w:t>
      </w:r>
      <w:r w:rsidR="00512BFD">
        <w:t xml:space="preserve"> </w:t>
      </w:r>
      <w:r w:rsidR="003C44EB">
        <w:t>The</w:t>
      </w:r>
      <w:r w:rsidR="00AE1BB8">
        <w:t xml:space="preserve"> value of</w:t>
      </w:r>
      <w:r w:rsidR="003C44EB">
        <w:t xml:space="preserve"> </w:t>
      </w:r>
      <m:oMath>
        <m:r>
          <w:rPr>
            <w:rFonts w:ascii="Cambria Math" w:hAnsi="Cambria Math"/>
          </w:rPr>
          <m:t xml:space="preserve">n </m:t>
        </m:r>
      </m:oMath>
      <w:r w:rsidR="00AE1BB8">
        <w:t xml:space="preserve">corresponds to the </w:t>
      </w:r>
      <w:r>
        <w:t>total number of samples, while</w:t>
      </w:r>
      <w:r w:rsidR="003C44EB">
        <w:t xml:space="preserve"> </w:t>
      </w:r>
      <m:oMath>
        <m:r>
          <w:rPr>
            <w:rFonts w:ascii="Cambria Math" w:hAnsi="Cambria Math"/>
          </w:rPr>
          <m:t>p</m:t>
        </m:r>
      </m:oMath>
      <w:r w:rsidR="003C44EB">
        <w:t xml:space="preserve"> </w:t>
      </w:r>
      <w:r w:rsidR="00AE1BB8">
        <w:t>represents</w:t>
      </w:r>
      <w:r>
        <w:t xml:space="preserve"> the number of features. In each iteration of the K-fold CV, </w:t>
      </w:r>
      <w:r w:rsidR="008163F8">
        <w:t>a single</w:t>
      </w:r>
      <w:r>
        <w:t xml:space="preserve"> fold is reserved as the test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oMath>
      <w:r>
        <w:t xml:space="preserve"> (or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to act as unseen data, while the remaining folds make up the training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oMath>
      <w:r w:rsidR="00A52698">
        <w:t xml:space="preserve"> </w:t>
      </w:r>
      <w:r>
        <w:t xml:space="preserve">(or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w:t>
      </w:r>
    </w:p>
    <w:p w14:paraId="2AF19FE4" w14:textId="77777777" w:rsidR="00BD1F9E" w:rsidRDefault="00BD1F9E"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5D94" w14:paraId="26D305F8" w14:textId="77777777" w:rsidTr="00527900">
        <w:tc>
          <w:tcPr>
            <w:tcW w:w="350" w:type="pct"/>
          </w:tcPr>
          <w:p w14:paraId="39002476" w14:textId="77777777" w:rsidR="00445D94" w:rsidRDefault="00445D94" w:rsidP="00527900"/>
        </w:tc>
        <w:tc>
          <w:tcPr>
            <w:tcW w:w="4300" w:type="pct"/>
          </w:tcPr>
          <w:p w14:paraId="5583973C" w14:textId="0EC8720C" w:rsidR="00BD2E51" w:rsidRPr="00BD2E51" w:rsidRDefault="00000000" w:rsidP="00BD2E51">
            <w:pPr>
              <w:spacing w:line="360" w:lineRule="auto"/>
            </w:pPr>
            <m:oMathPara>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sty m:val="p"/>
                  </m:rP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r>
                  <m:rPr>
                    <m:sty m:val="p"/>
                  </m:rPr>
                  <w:br/>
                </m:r>
              </m:oMath>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sty m:val="p"/>
                  </m:rP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1667" w:type="pct"/>
          </w:tcPr>
          <w:p w14:paraId="4004F110" w14:textId="77777777" w:rsidR="006422BB" w:rsidRDefault="006422BB" w:rsidP="00475A4E">
            <w:pPr>
              <w:spacing w:line="360" w:lineRule="auto"/>
              <w:jc w:val="right"/>
            </w:pPr>
          </w:p>
          <w:p w14:paraId="68538A6B" w14:textId="5F312AC0" w:rsidR="00445D94" w:rsidRDefault="00445D94" w:rsidP="00527900">
            <w:pPr>
              <w:jc w:val="right"/>
            </w:pPr>
            <w:r>
              <w:t>(</w:t>
            </w:r>
            <w:r>
              <w:fldChar w:fldCharType="begin"/>
            </w:r>
            <w:r>
              <w:instrText xml:space="preserve"> SEQ Equation \* ARABIC </w:instrText>
            </w:r>
            <w:r>
              <w:fldChar w:fldCharType="separate"/>
            </w:r>
            <w:r w:rsidR="007A7577">
              <w:rPr>
                <w:noProof/>
              </w:rPr>
              <w:t>12</w:t>
            </w:r>
            <w:r>
              <w:rPr>
                <w:noProof/>
              </w:rPr>
              <w:fldChar w:fldCharType="end"/>
            </w:r>
            <w:r>
              <w:t>)</w:t>
            </w:r>
          </w:p>
          <w:p w14:paraId="4E857F6E" w14:textId="77777777" w:rsidR="006422BB" w:rsidRDefault="006422BB" w:rsidP="00527900">
            <w:pPr>
              <w:jc w:val="right"/>
            </w:pPr>
          </w:p>
          <w:p w14:paraId="400FF0ED" w14:textId="77777777" w:rsidR="006422BB" w:rsidRDefault="006422BB" w:rsidP="00527900">
            <w:pPr>
              <w:jc w:val="right"/>
            </w:pPr>
          </w:p>
          <w:p w14:paraId="344DC6DE" w14:textId="26AAA186" w:rsidR="006422BB" w:rsidRDefault="006422BB" w:rsidP="00527900">
            <w:pPr>
              <w:jc w:val="right"/>
            </w:pPr>
            <w:r>
              <w:t>(</w:t>
            </w:r>
            <w:r>
              <w:fldChar w:fldCharType="begin"/>
            </w:r>
            <w:r>
              <w:instrText xml:space="preserve"> SEQ Equation \* ARABIC </w:instrText>
            </w:r>
            <w:r>
              <w:fldChar w:fldCharType="separate"/>
            </w:r>
            <w:r w:rsidR="007A7577">
              <w:rPr>
                <w:noProof/>
              </w:rPr>
              <w:t>13</w:t>
            </w:r>
            <w:r>
              <w:rPr>
                <w:noProof/>
              </w:rPr>
              <w:fldChar w:fldCharType="end"/>
            </w:r>
            <w:r>
              <w:t>)</w:t>
            </w:r>
          </w:p>
        </w:tc>
      </w:tr>
    </w:tbl>
    <w:p w14:paraId="4E59A652" w14:textId="77777777" w:rsidR="000963FF" w:rsidRDefault="000963FF" w:rsidP="000963FF"/>
    <w:p w14:paraId="27EEF9AC" w14:textId="456E0743" w:rsidR="00546CF3" w:rsidRDefault="00546CF3" w:rsidP="00FC0277">
      <w:pPr>
        <w:ind w:firstLine="720"/>
      </w:pPr>
      <w:r>
        <w:t>After splitting the dataset into</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and</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4538EE">
        <w:t xml:space="preserve"> </w:t>
      </w:r>
      <w:r>
        <w:t>, the examined model</w:t>
      </w:r>
      <w:r w:rsidR="008460F2">
        <w:t xml:space="preserve"> </w:t>
      </w:r>
      <m:oMath>
        <m:r>
          <w:rPr>
            <w:rFonts w:ascii="Cambria Math" w:hAnsi="Cambria Math"/>
            <w:color w:val="000000"/>
            <w:sz w:val="26"/>
            <w:szCs w:val="26"/>
          </w:rPr>
          <m:t>f</m:t>
        </m:r>
      </m:oMath>
      <w:r w:rsidR="00D54DD0">
        <w:rPr>
          <w:color w:val="000000"/>
          <w:sz w:val="26"/>
          <w:szCs w:val="26"/>
        </w:rPr>
        <w:t xml:space="preserve"> </w:t>
      </w:r>
      <w:r>
        <w:t xml:space="preserve">is trained on the training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7C13B1">
        <w:t xml:space="preserve"> </w:t>
      </w:r>
      <w:r>
        <w:t>and denoted as</w:t>
      </w:r>
      <m:oMath>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oMath>
      <w:r w:rsidR="00143871">
        <w:t xml:space="preserve">. </w:t>
      </w:r>
      <w:r>
        <w:t>The hold-out test set</w:t>
      </w:r>
      <w:r w:rsidR="00891CA8">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is then used to evaluate the model performance</w:t>
      </w:r>
      <w:r w:rsidR="00CF07DF">
        <w:t xml:space="preserve"> </w:t>
      </w:r>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w:r w:rsidR="00CF07DF">
        <w:t xml:space="preserve">, </w:t>
      </w:r>
      <w:r>
        <w:rPr>
          <w:rFonts w:hint="eastAsia"/>
        </w:rPr>
        <w:t>w</w:t>
      </w:r>
      <w:r>
        <w:t>hich is defined by comparing the predicted labels</w:t>
      </w:r>
      <w:r w:rsidR="00B16384">
        <w:t xml:space="preserve"> </w:t>
      </w:r>
      <m:oMath>
        <m:sSub>
          <m:sSubPr>
            <m:ctrlPr>
              <w:rPr>
                <w:rFonts w:ascii="Cambria Math" w:hAnsi="Cambria Math"/>
              </w:rPr>
            </m:ctrlPr>
          </m:sSubPr>
          <m:e>
            <m:r>
              <w:rPr>
                <w:rFonts w:ascii="Cambria Math" w:hAnsi="Cambria Math"/>
                <w:color w:val="000000"/>
                <w:sz w:val="26"/>
                <w:szCs w:val="26"/>
              </w:rPr>
              <m:t xml:space="preserve"> </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w:r>
        <w:t xml:space="preserve"> with the true labels </w:t>
      </w:r>
      <m:oMath>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oMath>
      <w:r w:rsidR="00B73BC9">
        <w:t xml:space="preserve"> </w:t>
      </w:r>
      <w:r>
        <w:t xml:space="preserve">using a performance metric </w:t>
      </w:r>
      <m:oMath>
        <m:r>
          <m:rPr>
            <m:scr m:val="script"/>
          </m:rPr>
          <w:rPr>
            <w:rFonts w:ascii="Cambria Math" w:hAnsi="Cambria Math"/>
            <w:color w:val="000000"/>
            <w:sz w:val="26"/>
            <w:szCs w:val="26"/>
          </w:rPr>
          <m:t>L</m:t>
        </m:r>
      </m:oMath>
      <w:r w:rsidR="0063151E">
        <w:t xml:space="preserve"> (e.g., </w:t>
      </w:r>
      <w:r w:rsidR="007B482F">
        <w:t>RMSE</w:t>
      </w:r>
      <w:r>
        <w:t xml:space="preserve"> 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3151E">
        <w:t>)</w:t>
      </w:r>
      <w:r>
        <w:t>:</w:t>
      </w:r>
    </w:p>
    <w:p w14:paraId="5F847159" w14:textId="77777777" w:rsidR="005F3D65" w:rsidRDefault="005F3D65" w:rsidP="000963FF"/>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869E7" w14:paraId="737B7088" w14:textId="77777777" w:rsidTr="00BD1F9E">
        <w:tc>
          <w:tcPr>
            <w:tcW w:w="350" w:type="pct"/>
          </w:tcPr>
          <w:p w14:paraId="6D6E153D" w14:textId="77777777" w:rsidR="00C869E7" w:rsidRDefault="00C869E7" w:rsidP="00527900"/>
        </w:tc>
        <w:tc>
          <w:tcPr>
            <w:tcW w:w="4300" w:type="pct"/>
          </w:tcPr>
          <w:p w14:paraId="3331C909" w14:textId="4FCB4D45" w:rsidR="00C869E7" w:rsidRPr="00C97492" w:rsidRDefault="00000000" w:rsidP="00C869E7">
            <m:oMathPara>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r>
                  <m:rPr>
                    <m:scr m:val="script"/>
                    <m:aln/>
                  </m:rPr>
                  <w:rPr>
                    <w:rFonts w:ascii="Cambria Math" w:hAnsi="Cambria Math"/>
                    <w:color w:val="000000"/>
                    <w:sz w:val="26"/>
                    <w:szCs w:val="26"/>
                  </w:rPr>
                  <m:t>=L</m:t>
                </m:r>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e>
                </m:d>
                <m:r>
                  <m:rPr>
                    <m:sty m:val="p"/>
                  </m:rPr>
                  <w:rPr>
                    <w:color w:val="000000"/>
                    <w:sz w:val="26"/>
                    <w:szCs w:val="26"/>
                  </w:rPr>
                  <w:br/>
                </m:r>
              </m:oMath>
              <m:oMath>
                <m:r>
                  <m:rPr>
                    <m:scr m:val="script"/>
                    <m:aln/>
                  </m:rPr>
                  <w:rPr>
                    <w:rFonts w:ascii="Cambria Math" w:hAnsi="Cambria Math"/>
                    <w:color w:val="000000"/>
                    <w:sz w:val="26"/>
                    <w:szCs w:val="26"/>
                  </w:rPr>
                  <m:t>=L(</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350" w:type="pct"/>
          </w:tcPr>
          <w:p w14:paraId="17FA2C1F" w14:textId="18882B52" w:rsidR="00C869E7" w:rsidRDefault="00C869E7" w:rsidP="00857D81">
            <w:pPr>
              <w:spacing w:line="360" w:lineRule="auto"/>
              <w:jc w:val="right"/>
            </w:pPr>
            <w:r>
              <w:t xml:space="preserve"> (</w:t>
            </w:r>
            <w:r>
              <w:fldChar w:fldCharType="begin"/>
            </w:r>
            <w:r>
              <w:instrText xml:space="preserve"> SEQ Equation \* ARABIC </w:instrText>
            </w:r>
            <w:r>
              <w:fldChar w:fldCharType="separate"/>
            </w:r>
            <w:r w:rsidR="007A7577">
              <w:rPr>
                <w:noProof/>
              </w:rPr>
              <w:t>14</w:t>
            </w:r>
            <w:r>
              <w:rPr>
                <w:noProof/>
              </w:rPr>
              <w:fldChar w:fldCharType="end"/>
            </w:r>
            <w:r>
              <w:t>)</w:t>
            </w:r>
          </w:p>
        </w:tc>
      </w:tr>
    </w:tbl>
    <w:p w14:paraId="61371422" w14:textId="2E3094E4" w:rsidR="00BF1C58" w:rsidRDefault="00950AF7" w:rsidP="00D34483">
      <w:pPr>
        <w:ind w:firstLine="720"/>
      </w:pPr>
      <w:r>
        <w:rPr>
          <w:shd w:val="clear" w:color="auto" w:fill="FFFFFF"/>
        </w:rPr>
        <w:t>To estimate the generalization performance of a model</w:t>
      </w:r>
      <w:r w:rsidR="00A76ACD">
        <w:rPr>
          <w:shd w:val="clear" w:color="auto" w:fill="FFFFFF"/>
        </w:rPr>
        <w:t xml:space="preserve">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Pr>
          <w:shd w:val="clear" w:color="auto" w:fill="FFFFFF"/>
        </w:rPr>
        <w:t>, the K-fold</w:t>
      </w:r>
      <w:r w:rsidR="00A76ACD">
        <w:rPr>
          <w:shd w:val="clear" w:color="auto" w:fill="FFFFFF"/>
        </w:rPr>
        <w:t xml:space="preserve"> CV</w:t>
      </w:r>
      <w:r>
        <w:rPr>
          <w:shd w:val="clear" w:color="auto" w:fill="FFFFFF"/>
        </w:rPr>
        <w:t xml:space="preserve"> procedure is repeated </w:t>
      </w:r>
      <m:oMath>
        <m:r>
          <w:rPr>
            <w:rFonts w:ascii="Cambria Math" w:hAnsi="Cambria Math"/>
          </w:rPr>
          <m:t>K</m:t>
        </m:r>
      </m:oMath>
      <w:r w:rsidR="000F1464">
        <w:rPr>
          <w:shd w:val="clear" w:color="auto" w:fill="FFFFFF"/>
        </w:rPr>
        <w:t xml:space="preserve"> </w:t>
      </w:r>
      <w:r>
        <w:rPr>
          <w:shd w:val="clear" w:color="auto" w:fill="FFFFFF"/>
        </w:rPr>
        <w:t xml:space="preserve">times until each fold has been used as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A76ACD">
        <w:t xml:space="preserve"> </w:t>
      </w:r>
      <w:r>
        <w:rPr>
          <w:shd w:val="clear" w:color="auto" w:fill="FFFFFF"/>
        </w:rPr>
        <w:t xml:space="preserve">once. The entire dataset </w:t>
      </w:r>
      <m:oMath>
        <m:r>
          <m:rPr>
            <m:scr m:val="script"/>
          </m:rPr>
          <w:rPr>
            <w:rFonts w:ascii="Cambria Math" w:hAnsi="Cambria Math"/>
            <w:color w:val="000000"/>
            <w:sz w:val="26"/>
            <w:szCs w:val="26"/>
          </w:rPr>
          <m:t>D</m:t>
        </m:r>
      </m:oMath>
      <w:r w:rsidR="00973FAA">
        <w:rPr>
          <w:shd w:val="clear" w:color="auto" w:fill="FFFFFF"/>
        </w:rPr>
        <w:t xml:space="preserve"> </w:t>
      </w:r>
      <w:r>
        <w:rPr>
          <w:shd w:val="clear" w:color="auto" w:fill="FFFFFF"/>
        </w:rPr>
        <w:t xml:space="preserve">is leveraged to calculate the average prediction performance over all </w:t>
      </w:r>
      <m:oMath>
        <m:r>
          <w:rPr>
            <w:rFonts w:ascii="Cambria Math" w:hAnsi="Cambria Math"/>
          </w:rPr>
          <m:t>K</m:t>
        </m:r>
      </m:oMath>
      <w:r w:rsidR="000F1464">
        <w:rPr>
          <w:shd w:val="clear" w:color="auto" w:fill="FFFFFF"/>
        </w:rPr>
        <w:t xml:space="preserve"> </w:t>
      </w:r>
      <w:r>
        <w:rPr>
          <w:shd w:val="clear" w:color="auto" w:fill="FFFFFF"/>
        </w:rPr>
        <w:t xml:space="preserve">folds. </w:t>
      </w:r>
      <w:r w:rsidR="000F26BA">
        <w:rPr>
          <w:shd w:val="clear" w:color="auto" w:fill="FFFFFF"/>
        </w:rPr>
        <w:t>T</w:t>
      </w:r>
      <w:r>
        <w:rPr>
          <w:shd w:val="clear" w:color="auto" w:fill="FFFFFF"/>
        </w:rPr>
        <w:t xml:space="preserve">he model's </w:t>
      </w:r>
      <w:r w:rsidR="000F26BA">
        <w:rPr>
          <w:shd w:val="clear" w:color="auto" w:fill="FFFFFF"/>
        </w:rPr>
        <w:t xml:space="preserve">generalization </w:t>
      </w:r>
      <w:r>
        <w:rPr>
          <w:shd w:val="clear" w:color="auto" w:fill="FFFFFF"/>
        </w:rPr>
        <w:t>performance</w:t>
      </w:r>
      <w:r w:rsidR="000F26BA">
        <w:rPr>
          <w:shd w:val="clear" w:color="auto" w:fill="FFFFFF"/>
        </w:rPr>
        <w:t xml:space="preserve"> </w:t>
      </w:r>
      <w:r w:rsidR="002D5D8A">
        <w:rPr>
          <w:shd w:val="clear" w:color="auto" w:fill="FFFFFF"/>
        </w:rPr>
        <w:t>can be expressed as:</w:t>
      </w:r>
      <w:r>
        <w:rPr>
          <w:shd w:val="clear" w:color="auto" w:fill="FFFFFF"/>
        </w:rPr>
        <w:t xml:space="preserve"> </w:t>
      </w:r>
    </w:p>
    <w:p w14:paraId="7177913C" w14:textId="77777777" w:rsidR="000F1464" w:rsidRDefault="000F1464" w:rsidP="00D34483">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61A2" w14:paraId="2D5BB578" w14:textId="77777777" w:rsidTr="008E1791">
        <w:tc>
          <w:tcPr>
            <w:tcW w:w="350" w:type="pct"/>
          </w:tcPr>
          <w:p w14:paraId="49072C7A" w14:textId="77777777" w:rsidR="00FA61A2" w:rsidRDefault="00FA61A2" w:rsidP="00527900"/>
        </w:tc>
        <w:tc>
          <w:tcPr>
            <w:tcW w:w="4300" w:type="pct"/>
          </w:tcPr>
          <w:p w14:paraId="33420DFA" w14:textId="5A7E4BB2" w:rsidR="00FA61A2" w:rsidRPr="00C97492" w:rsidRDefault="00FA61A2" w:rsidP="00527900">
            <w:pPr>
              <w:spacing w:line="360" w:lineRule="auto"/>
            </w:pPr>
            <m:oMathPara>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K</m:t>
                    </m:r>
                  </m:den>
                </m:f>
                <m:limUpp>
                  <m:limUppPr>
                    <m:ctrlPr>
                      <w:rPr>
                        <w:rFonts w:ascii="Cambria Math" w:hAnsi="Cambria Math"/>
                      </w:rPr>
                    </m:ctrlPr>
                  </m:limUppPr>
                  <m:e>
                    <m:limLow>
                      <m:limLowPr>
                        <m:ctrlPr>
                          <w:rPr>
                            <w:rFonts w:ascii="Cambria Math" w:hAnsi="Cambria Math"/>
                          </w:rPr>
                        </m:ctrlPr>
                      </m:limLowPr>
                      <m:e>
                        <m:r>
                          <w:rPr>
                            <w:rFonts w:ascii="Cambria Math" w:hAnsi="Cambria Math"/>
                            <w:color w:val="000000"/>
                            <w:sz w:val="26"/>
                            <w:szCs w:val="26"/>
                          </w:rPr>
                          <m:t>∑</m:t>
                        </m:r>
                      </m:e>
                      <m:lim>
                        <m:r>
                          <w:rPr>
                            <w:rFonts w:ascii="Cambria Math" w:hAnsi="Cambria Math"/>
                            <w:color w:val="000000"/>
                            <w:sz w:val="26"/>
                            <w:szCs w:val="26"/>
                          </w:rPr>
                          <m:t>k=1</m:t>
                        </m:r>
                      </m:lim>
                    </m:limLow>
                  </m:e>
                  <m:lim>
                    <m:r>
                      <w:rPr>
                        <w:rFonts w:ascii="Cambria Math" w:hAnsi="Cambria Math"/>
                        <w:color w:val="000000"/>
                        <w:sz w:val="26"/>
                        <w:szCs w:val="26"/>
                      </w:rPr>
                      <m:t>K</m:t>
                    </m:r>
                  </m:lim>
                </m:limUpp>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m:oMathPara>
          </w:p>
        </w:tc>
        <w:tc>
          <w:tcPr>
            <w:tcW w:w="350" w:type="pct"/>
          </w:tcPr>
          <w:p w14:paraId="7D6F2E9A" w14:textId="6DD5DF3B" w:rsidR="00FA61A2" w:rsidRDefault="00FA61A2" w:rsidP="00527900">
            <w:pPr>
              <w:jc w:val="right"/>
            </w:pPr>
            <w:r>
              <w:t xml:space="preserve"> (</w:t>
            </w:r>
            <w:r>
              <w:fldChar w:fldCharType="begin"/>
            </w:r>
            <w:r>
              <w:instrText xml:space="preserve"> SEQ Equation \* ARABIC </w:instrText>
            </w:r>
            <w:r>
              <w:fldChar w:fldCharType="separate"/>
            </w:r>
            <w:r w:rsidR="007A7577">
              <w:rPr>
                <w:noProof/>
              </w:rPr>
              <w:t>15</w:t>
            </w:r>
            <w:r>
              <w:rPr>
                <w:noProof/>
              </w:rPr>
              <w:fldChar w:fldCharType="end"/>
            </w:r>
            <w:r>
              <w:t>)</w:t>
            </w:r>
          </w:p>
        </w:tc>
      </w:tr>
    </w:tbl>
    <w:p w14:paraId="6FC5EC4E" w14:textId="7F3D398C" w:rsidR="00B550D6" w:rsidRDefault="008E1791" w:rsidP="007A659A">
      <w:pPr>
        <w:jc w:val="left"/>
        <w:rPr>
          <w:b/>
          <w:bCs/>
        </w:rPr>
      </w:pPr>
      <w:r>
        <w:t xml:space="preserve">It is noted that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xml:space="preserve"> is equivalent to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oMath>
      <w:r>
        <w:t xml:space="preserve"> in K-fold CV</w:t>
      </w:r>
      <w:r w:rsidR="00E62BD1">
        <w:t xml:space="preserve">. It is because </w:t>
      </w:r>
      <w:r>
        <w:t xml:space="preserve">the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xml:space="preserve"> is estimated by averaging all</w:t>
      </w:r>
      <w:r w:rsidR="00463A82">
        <w:t xml:space="preserve"> </w:t>
      </w:r>
      <m:oMath>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oMath>
      <w:r>
        <w:t xml:space="preserve"> over </w:t>
      </w:r>
      <m:oMath>
        <m:r>
          <w:rPr>
            <w:rFonts w:ascii="Cambria Math" w:hAnsi="Cambria Math"/>
          </w:rPr>
          <m:t>K</m:t>
        </m:r>
      </m:oMath>
      <w:r>
        <w:t xml:space="preserve"> folds, which is </w:t>
      </w:r>
      <w:r w:rsidR="00463A82">
        <w:t xml:space="preserve">also </w:t>
      </w:r>
      <w:r>
        <w:t xml:space="preserve">the definition of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oMath>
      <w:r w:rsidR="00463A82">
        <w:rPr>
          <w:color w:val="000000"/>
          <w:sz w:val="26"/>
          <w:szCs w:val="26"/>
        </w:rPr>
        <w:t>.</w:t>
      </w:r>
    </w:p>
    <w:p w14:paraId="63CF2CB1" w14:textId="4A75A5FD" w:rsidR="00594E48" w:rsidRDefault="00594E48" w:rsidP="00463A82">
      <w:pPr>
        <w:ind w:firstLine="720"/>
        <w:jc w:val="left"/>
        <w:rPr>
          <w:b/>
          <w:bCs/>
        </w:rPr>
      </w:pPr>
    </w:p>
    <w:p w14:paraId="00D4AAD5" w14:textId="1A28DBBA" w:rsidR="003B39E5" w:rsidRDefault="004B49BB" w:rsidP="00C51E4D">
      <w:pPr>
        <w:pStyle w:val="Heading2"/>
      </w:pPr>
      <w:r>
        <w:lastRenderedPageBreak/>
        <w:t xml:space="preserve">3. a </w:t>
      </w:r>
      <w:r w:rsidR="003B39E5">
        <w:t>Validation Bias and Variance</w:t>
      </w:r>
    </w:p>
    <w:p w14:paraId="01988E6E" w14:textId="45B8BC14" w:rsidR="000847F7" w:rsidRDefault="003B39E5" w:rsidP="00091B5C">
      <w:pPr>
        <w:pStyle w:val="Heading3"/>
      </w:pPr>
      <w:r>
        <w:t>Definition</w:t>
      </w:r>
    </w:p>
    <w:p w14:paraId="549CD386" w14:textId="3ED3C9F4" w:rsidR="000847F7" w:rsidRDefault="000847F7" w:rsidP="000840D7">
      <w:pPr>
        <w:ind w:firstLine="720"/>
      </w:pPr>
      <w:r>
        <w:t xml:space="preserve">The true generalization performance of the model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xml:space="preserve"> can only be approximated by averaging the performance metrics over infinite unseen datasets. However, in practice, the dataset</w:t>
      </w:r>
      <w:r w:rsidR="009627DA" w:rsidRPr="009627DA">
        <w:rPr>
          <w:rFonts w:ascii="Cambria Math" w:hAnsi="Cambria Math"/>
          <w:i/>
          <w:color w:val="000000"/>
          <w:sz w:val="26"/>
          <w:szCs w:val="26"/>
        </w:rPr>
        <w:t xml:space="preserve"> </w:t>
      </w:r>
      <m:oMath>
        <m:r>
          <m:rPr>
            <m:scr m:val="script"/>
          </m:rPr>
          <w:rPr>
            <w:rFonts w:ascii="Cambria Math" w:hAnsi="Cambria Math"/>
            <w:color w:val="000000"/>
            <w:sz w:val="26"/>
            <w:szCs w:val="26"/>
          </w:rPr>
          <m:t>D</m:t>
        </m:r>
      </m:oMath>
      <w:r>
        <w:t xml:space="preserve"> is finite and therefore</w:t>
      </w:r>
      <w:r w:rsidR="00610AFE">
        <w:t>,</w:t>
      </w:r>
      <w:r>
        <w:t xml:space="preserve"> there is always a bias </w:t>
      </w:r>
      <w:r w:rsidR="0004130D">
        <w:t xml:space="preserve">when </w:t>
      </w:r>
      <w:r w:rsidR="000840D7">
        <w:t>using a finite dataset to estimate</w:t>
      </w:r>
      <w:r>
        <w:t xml:space="preserve">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The</w:t>
      </w:r>
      <w:r w:rsidR="0004130D">
        <w:t xml:space="preserve"> bias is known as</w:t>
      </w:r>
      <w:r>
        <w:t xml:space="preserve"> validation bias:</w:t>
      </w:r>
    </w:p>
    <w:p w14:paraId="1F6B930D" w14:textId="2F5E4D1A"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31F60" w14:paraId="16D4D624" w14:textId="77777777" w:rsidTr="00527900">
        <w:tc>
          <w:tcPr>
            <w:tcW w:w="350" w:type="pct"/>
          </w:tcPr>
          <w:p w14:paraId="777E12CF" w14:textId="77777777" w:rsidR="00531F60" w:rsidRDefault="00531F60" w:rsidP="00527900"/>
        </w:tc>
        <w:tc>
          <w:tcPr>
            <w:tcW w:w="4300" w:type="pct"/>
          </w:tcPr>
          <w:p w14:paraId="3AA491E0" w14:textId="26F78D26" w:rsidR="00531F60" w:rsidRPr="00C97492" w:rsidRDefault="00531F60" w:rsidP="00527900">
            <w:pPr>
              <w:spacing w:line="360" w:lineRule="auto"/>
            </w:pPr>
            <m:oMathPara>
              <m:oMath>
                <m:r>
                  <m:rPr>
                    <m:nor/>
                  </m:rPr>
                  <w:rPr>
                    <w:rFonts w:ascii="Cambria Math" w:hAnsi="Cambria Math"/>
                    <w:i/>
                    <w:color w:val="000000"/>
                    <w:sz w:val="26"/>
                    <w:szCs w:val="26"/>
                  </w:rPr>
                  <m:t>Bias</m:t>
                </m:r>
                <m:r>
                  <m:rPr>
                    <m:scr m:val="double-struck"/>
                  </m:rPr>
                  <w:rPr>
                    <w:rFonts w:ascii="Cambria Math" w:hAnsi="Cambria Math"/>
                    <w:color w:val="000000"/>
                    <w:sz w:val="26"/>
                    <w:szCs w:val="26"/>
                  </w:rPr>
                  <m:t>=E[</m:t>
                </m:r>
                <m:acc>
                  <m:accPr>
                    <m:ctrlPr>
                      <w:rPr>
                        <w:rFonts w:ascii="Cambria Math" w:hAnsi="Cambria Math"/>
                        <w:i/>
                        <w:color w:val="000000"/>
                        <w:sz w:val="26"/>
                        <w:szCs w:val="26"/>
                      </w:rPr>
                    </m:ctrlPr>
                  </m:accPr>
                  <m:e>
                    <m:r>
                      <w:rPr>
                        <w:rFonts w:ascii="Cambria Math" w:hAnsi="Cambria Math"/>
                        <w:color w:val="000000"/>
                        <w:sz w:val="26"/>
                        <w:szCs w:val="26"/>
                      </w:rPr>
                      <m:t>g</m:t>
                    </m:r>
                  </m:e>
                </m:acc>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567D0FD2" w14:textId="4312B26B" w:rsidR="00531F60" w:rsidRDefault="00531F60" w:rsidP="00527900">
            <w:pPr>
              <w:jc w:val="right"/>
            </w:pPr>
            <w:r>
              <w:t>(</w:t>
            </w:r>
            <w:r>
              <w:fldChar w:fldCharType="begin"/>
            </w:r>
            <w:r>
              <w:instrText xml:space="preserve"> SEQ Equation \* ARABIC </w:instrText>
            </w:r>
            <w:r>
              <w:fldChar w:fldCharType="separate"/>
            </w:r>
            <w:r w:rsidR="007A7577">
              <w:rPr>
                <w:noProof/>
              </w:rPr>
              <w:t>16</w:t>
            </w:r>
            <w:r>
              <w:rPr>
                <w:noProof/>
              </w:rPr>
              <w:fldChar w:fldCharType="end"/>
            </w:r>
            <w:r>
              <w:t>)</w:t>
            </w:r>
          </w:p>
        </w:tc>
      </w:tr>
    </w:tbl>
    <w:p w14:paraId="1D4719F7" w14:textId="5E6AA149" w:rsidR="00627401" w:rsidRDefault="000847F7" w:rsidP="00251194">
      <w:pPr>
        <w:ind w:firstLine="720"/>
      </w:pPr>
      <w:r>
        <w:t xml:space="preserve">For example, if RMSE is used as the performance metric, a positive validation bias suggests that the model validation procedure concludes a pessimistic estimation of the model </w:t>
      </w:r>
      <w:r w:rsidR="00B4611B">
        <w:t>performance,</w:t>
      </w:r>
      <w:r>
        <w:t xml:space="preserve"> since the true performance is expected to be lower than the estimated performance.</w:t>
      </w:r>
    </w:p>
    <w:p w14:paraId="6A618E91" w14:textId="1BB238F6" w:rsidR="000847F7" w:rsidRDefault="000847F7" w:rsidP="00251194">
      <w:pPr>
        <w:ind w:firstLine="720"/>
      </w:pPr>
      <w:r>
        <w:t xml:space="preserve">Another aspect of model validation is the variance of the estimated performance. For example, in a 5-fold </w:t>
      </w:r>
      <w:r w:rsidR="003C1F66">
        <w:t>cross-validation</w:t>
      </w:r>
      <w:r>
        <w:t xml:space="preserve">, there are five estimates of the model performance. The variance among these five estimates is </w:t>
      </w:r>
      <w:r w:rsidR="0088108B">
        <w:t>known as</w:t>
      </w:r>
      <w:r>
        <w:t xml:space="preserve"> validation variance. A high validation variance suggests that the performance is sensitive to the choice of the test set</w:t>
      </w:r>
      <w:r w:rsidR="003C1F66">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which may be caused by </w:t>
      </w:r>
      <w:r w:rsidR="00C1356F">
        <w:t xml:space="preserve">a </w:t>
      </w:r>
      <w:r>
        <w:t xml:space="preserve">small sample size or </w:t>
      </w:r>
      <w:r w:rsidR="00C1356F">
        <w:t xml:space="preserve">an </w:t>
      </w:r>
      <w:r>
        <w:t>over-complex model. The validation variance can be defined as:</w:t>
      </w:r>
    </w:p>
    <w:p w14:paraId="3BA73A07"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23A8C" w14:paraId="0DD88239" w14:textId="77777777" w:rsidTr="00527900">
        <w:tc>
          <w:tcPr>
            <w:tcW w:w="350" w:type="pct"/>
          </w:tcPr>
          <w:p w14:paraId="4ECDE6AB" w14:textId="77777777" w:rsidR="00123A8C" w:rsidRDefault="00123A8C" w:rsidP="00527900"/>
        </w:tc>
        <w:tc>
          <w:tcPr>
            <w:tcW w:w="4300" w:type="pct"/>
          </w:tcPr>
          <w:p w14:paraId="4C171E70" w14:textId="03F2D05C" w:rsidR="00123A8C" w:rsidRPr="00C97492" w:rsidRDefault="00D24F7B" w:rsidP="00711E30">
            <w:pPr>
              <w:spacing w:line="360" w:lineRule="auto"/>
            </w:pPr>
            <m:oMathPara>
              <m:oMath>
                <m:r>
                  <m:rPr>
                    <m:nor/>
                  </m:rPr>
                  <w:rPr>
                    <w:rFonts w:ascii="Cambria Math" w:hAnsi="Cambria Math"/>
                    <w:i/>
                    <w:color w:val="000000"/>
                    <w:sz w:val="26"/>
                    <w:szCs w:val="26"/>
                  </w:rPr>
                  <m:t>Variance</m:t>
                </m:r>
                <m:r>
                  <m:rPr>
                    <m:scr m:val="double-struck"/>
                    <m:aln/>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w:rPr>
                        <w:rFonts w:ascii="Cambria Math" w:hAnsi="Cambria Math"/>
                        <w:color w:val="000000"/>
                        <w:sz w:val="26"/>
                        <w:szCs w:val="26"/>
                      </w:rPr>
                      <m:t>)</m:t>
                    </m:r>
                  </m:e>
                  <m:sup>
                    <m:r>
                      <w:rPr>
                        <w:rFonts w:ascii="Cambria Math" w:hAnsi="Cambria Math"/>
                        <w:color w:val="000000"/>
                        <w:sz w:val="26"/>
                        <w:szCs w:val="26"/>
                      </w:rPr>
                      <m:t>2</m:t>
                    </m:r>
                  </m:sup>
                </m:sSup>
                <m:r>
                  <w:rPr>
                    <w:rFonts w:ascii="Cambria Math" w:hAnsi="Cambria Math"/>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11CE234C" w14:textId="77777777" w:rsidR="00711E30" w:rsidRDefault="00711E30" w:rsidP="00527900">
            <w:pPr>
              <w:jc w:val="right"/>
            </w:pPr>
          </w:p>
          <w:p w14:paraId="50E4B164" w14:textId="77777777" w:rsidR="00711E30" w:rsidRDefault="00711E30" w:rsidP="00527900">
            <w:pPr>
              <w:jc w:val="right"/>
            </w:pPr>
          </w:p>
          <w:p w14:paraId="022F77C4" w14:textId="77777777" w:rsidR="00711E30" w:rsidRDefault="00711E30" w:rsidP="00527900">
            <w:pPr>
              <w:jc w:val="right"/>
            </w:pPr>
          </w:p>
          <w:p w14:paraId="45010974" w14:textId="77777777" w:rsidR="00711E30" w:rsidRDefault="00711E30" w:rsidP="00527900">
            <w:pPr>
              <w:jc w:val="right"/>
            </w:pPr>
          </w:p>
          <w:p w14:paraId="2DF7933E" w14:textId="7DF1663B" w:rsidR="00123A8C" w:rsidRDefault="00123A8C" w:rsidP="00527900">
            <w:pPr>
              <w:jc w:val="right"/>
            </w:pPr>
            <w:r>
              <w:t xml:space="preserve"> (</w:t>
            </w:r>
            <w:r>
              <w:fldChar w:fldCharType="begin"/>
            </w:r>
            <w:r>
              <w:instrText xml:space="preserve"> SEQ Equation \* ARABIC </w:instrText>
            </w:r>
            <w:r>
              <w:fldChar w:fldCharType="separate"/>
            </w:r>
            <w:r w:rsidR="007A7577">
              <w:rPr>
                <w:noProof/>
              </w:rPr>
              <w:t>17</w:t>
            </w:r>
            <w:r>
              <w:rPr>
                <w:noProof/>
              </w:rPr>
              <w:fldChar w:fldCharType="end"/>
            </w:r>
            <w:r>
              <w:t>)</w:t>
            </w:r>
          </w:p>
        </w:tc>
      </w:tr>
    </w:tbl>
    <w:p w14:paraId="5316E4F9" w14:textId="4C590384" w:rsidR="000847F7" w:rsidRDefault="000847F7" w:rsidP="00195CAF">
      <w:pPr>
        <w:ind w:firstLine="720"/>
      </w:pPr>
      <w:r>
        <w:t xml:space="preserve">Combining the </w:t>
      </w:r>
      <w:r w:rsidR="00EA2BE0">
        <w:rPr>
          <w:b/>
          <w:bCs/>
        </w:rPr>
        <w:t>E</w:t>
      </w:r>
      <w:r w:rsidR="00EA2BE0" w:rsidRPr="00EA2BE0">
        <w:rPr>
          <w:b/>
          <w:bCs/>
        </w:rPr>
        <w:t xml:space="preserve">quation (16) </w:t>
      </w:r>
      <w:r w:rsidR="00EA2BE0" w:rsidRPr="00EA2BE0">
        <w:t>and</w:t>
      </w:r>
      <w:r w:rsidR="00EA2BE0" w:rsidRPr="00EA2BE0">
        <w:rPr>
          <w:b/>
          <w:bCs/>
        </w:rPr>
        <w:t xml:space="preserve"> (17)</w:t>
      </w:r>
      <w:r>
        <w:t>, the mean squared error (</w:t>
      </w:r>
      <w:r w:rsidRPr="00064BB6">
        <w:rPr>
          <w:b/>
          <w:bCs/>
        </w:rPr>
        <w:t>MSE</w:t>
      </w:r>
      <w:r>
        <w:t xml:space="preserve">) of the model validation can be </w:t>
      </w:r>
      <w:r w:rsidR="004F6358">
        <w:t>decomposed</w:t>
      </w:r>
      <w:r>
        <w:t xml:space="preserve"> as:</w:t>
      </w:r>
    </w:p>
    <w:p w14:paraId="724464C9" w14:textId="77777777" w:rsidR="00711E30" w:rsidRDefault="00711E30"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435"/>
        <w:gridCol w:w="655"/>
      </w:tblGrid>
      <w:tr w:rsidR="00711E30" w14:paraId="3D016473" w14:textId="77777777" w:rsidTr="00F939A6">
        <w:tc>
          <w:tcPr>
            <w:tcW w:w="144" w:type="pct"/>
          </w:tcPr>
          <w:p w14:paraId="28CD8049" w14:textId="77777777" w:rsidR="00711E30" w:rsidRDefault="00711E30" w:rsidP="00527900"/>
        </w:tc>
        <w:tc>
          <w:tcPr>
            <w:tcW w:w="4506" w:type="pct"/>
          </w:tcPr>
          <w:p w14:paraId="6EBF4137" w14:textId="54FFD24A" w:rsidR="00F939A6" w:rsidRPr="00C97492" w:rsidRDefault="00F939A6" w:rsidP="00527900">
            <w:pPr>
              <w:spacing w:line="360" w:lineRule="auto"/>
            </w:pPr>
            <m:oMathPara>
              <m:oMath>
                <m:r>
                  <m:rPr>
                    <m:nor/>
                  </m:rPr>
                  <w:rPr>
                    <w:rFonts w:ascii="Cambria Math" w:hAnsi="Cambria Math"/>
                    <w:i/>
                    <w:color w:val="000000"/>
                    <w:sz w:val="25"/>
                    <w:szCs w:val="25"/>
                  </w:rPr>
                  <m:t xml:space="preserve"> MSE</m:t>
                </m:r>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m:t>
                </m:r>
                <m:r>
                  <m:rPr>
                    <m:sty m:val="p"/>
                  </m:rPr>
                  <w:rPr>
                    <w:color w:val="000000"/>
                    <w:sz w:val="26"/>
                    <w:szCs w:val="26"/>
                  </w:rPr>
                  <w:br/>
                </m:r>
              </m:oMath>
              <m:oMath>
                <m:r>
                  <m:rPr>
                    <m:scr m:val="double-struck"/>
                    <m:aln/>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m:rPr>
                    <m:sty m:val="p"/>
                  </m:rPr>
                  <w:rPr>
                    <w:color w:val="000000"/>
                    <w:sz w:val="25"/>
                    <w:szCs w:val="25"/>
                  </w:rPr>
                  <w:br/>
                </m:r>
              </m:oMath>
              <m:oMath>
                <m:r>
                  <w:rPr>
                    <w:rFonts w:ascii="Cambria Math" w:hAnsi="Cambria Math"/>
                  </w:rPr>
                  <m:t xml:space="preserve">                 </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 +</m:t>
                </m:r>
                <m:r>
                  <m:rPr>
                    <m:sty m:val="p"/>
                  </m:rPr>
                  <w:rPr>
                    <w:color w:val="000000"/>
                    <w:sz w:val="25"/>
                    <w:szCs w:val="25"/>
                  </w:rPr>
                  <w:br/>
                </m:r>
              </m:oMath>
              <m:oMath>
                <m:r>
                  <m:rPr>
                    <m:scr m:val="double-struck"/>
                  </m:rPr>
                  <w:rPr>
                    <w:rFonts w:ascii="Cambria Math" w:hAnsi="Cambria Math"/>
                    <w:color w:val="000000"/>
                    <w:sz w:val="25"/>
                    <w:szCs w:val="25"/>
                  </w:rPr>
                  <m:t xml:space="preserve">                (E[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 xml:space="preserve">  +(E[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m:rPr>
                    <m:sty m:val="p"/>
                  </m:rP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nor/>
                      </m:rPr>
                      <w:rPr>
                        <w:rFonts w:ascii="Cambria Math" w:hAnsi="Cambria Math"/>
                        <w:i/>
                        <w:color w:val="000000"/>
                        <w:sz w:val="25"/>
                        <w:szCs w:val="25"/>
                      </w:rPr>
                      <m:t>Bias</m:t>
                    </m:r>
                  </m:e>
                  <m:sup>
                    <m:r>
                      <w:rPr>
                        <w:rFonts w:ascii="Cambria Math" w:hAnsi="Cambria Math"/>
                        <w:color w:val="000000"/>
                        <w:sz w:val="25"/>
                        <w:szCs w:val="25"/>
                      </w:rPr>
                      <m:t>2</m:t>
                    </m:r>
                  </m:sup>
                </m:sSup>
                <m:r>
                  <w:rPr>
                    <w:rFonts w:ascii="Cambria Math" w:hAnsi="Cambria Math"/>
                    <w:color w:val="000000"/>
                    <w:sz w:val="25"/>
                    <w:szCs w:val="25"/>
                  </w:rPr>
                  <m:t>+</m:t>
                </m:r>
                <m:r>
                  <m:rPr>
                    <m:nor/>
                  </m:rPr>
                  <w:rPr>
                    <w:rFonts w:ascii="Cambria Math" w:hAnsi="Cambria Math"/>
                    <w:i/>
                    <w:color w:val="000000"/>
                    <w:sz w:val="25"/>
                    <w:szCs w:val="25"/>
                  </w:rPr>
                  <m:t>Variance</m:t>
                </m:r>
              </m:oMath>
            </m:oMathPara>
          </w:p>
        </w:tc>
        <w:tc>
          <w:tcPr>
            <w:tcW w:w="350" w:type="pct"/>
          </w:tcPr>
          <w:p w14:paraId="3C821A75" w14:textId="77777777" w:rsidR="004E7956" w:rsidRDefault="00711E30" w:rsidP="00527900">
            <w:pPr>
              <w:jc w:val="right"/>
            </w:pPr>
            <w:r>
              <w:t xml:space="preserve"> </w:t>
            </w:r>
          </w:p>
          <w:p w14:paraId="6D0AE582" w14:textId="77777777" w:rsidR="004E7956" w:rsidRDefault="004E7956" w:rsidP="00527900">
            <w:pPr>
              <w:jc w:val="right"/>
            </w:pPr>
          </w:p>
          <w:p w14:paraId="4B1B7185" w14:textId="77777777" w:rsidR="004E7956" w:rsidRDefault="004E7956" w:rsidP="00527900">
            <w:pPr>
              <w:jc w:val="right"/>
            </w:pPr>
          </w:p>
          <w:p w14:paraId="60C06D61" w14:textId="77777777" w:rsidR="004E7956" w:rsidRDefault="004E7956" w:rsidP="00527900">
            <w:pPr>
              <w:jc w:val="right"/>
            </w:pPr>
          </w:p>
          <w:p w14:paraId="609C4D6B" w14:textId="77777777" w:rsidR="004E7956" w:rsidRDefault="004E7956" w:rsidP="00527900">
            <w:pPr>
              <w:jc w:val="right"/>
            </w:pPr>
          </w:p>
          <w:p w14:paraId="71536052" w14:textId="77777777" w:rsidR="004E7956" w:rsidRDefault="004E7956" w:rsidP="00527900">
            <w:pPr>
              <w:jc w:val="right"/>
            </w:pPr>
          </w:p>
          <w:p w14:paraId="5A5B605E" w14:textId="77777777" w:rsidR="004E7956" w:rsidRDefault="004E7956" w:rsidP="00527900">
            <w:pPr>
              <w:jc w:val="right"/>
            </w:pPr>
          </w:p>
          <w:p w14:paraId="7C5E7FB5" w14:textId="77777777" w:rsidR="004E7956" w:rsidRDefault="004E7956" w:rsidP="00527900">
            <w:pPr>
              <w:jc w:val="right"/>
            </w:pPr>
          </w:p>
          <w:p w14:paraId="163CDACF" w14:textId="77777777" w:rsidR="004E7956" w:rsidRDefault="004E7956" w:rsidP="00527900">
            <w:pPr>
              <w:jc w:val="right"/>
            </w:pPr>
          </w:p>
          <w:p w14:paraId="00EF1691" w14:textId="77777777" w:rsidR="004E7956" w:rsidRDefault="004E7956" w:rsidP="007C2D3B">
            <w:pPr>
              <w:spacing w:line="276" w:lineRule="auto"/>
              <w:jc w:val="right"/>
            </w:pPr>
          </w:p>
          <w:p w14:paraId="4AFE8EDF" w14:textId="77777777" w:rsidR="00CD70DE" w:rsidRDefault="00CD70DE" w:rsidP="007C2D3B">
            <w:pPr>
              <w:spacing w:line="276" w:lineRule="auto"/>
              <w:jc w:val="right"/>
            </w:pPr>
          </w:p>
          <w:p w14:paraId="1A661EC7" w14:textId="77777777" w:rsidR="00CD70DE" w:rsidRDefault="00CD70DE" w:rsidP="007C2D3B">
            <w:pPr>
              <w:spacing w:line="276" w:lineRule="auto"/>
              <w:jc w:val="right"/>
            </w:pPr>
          </w:p>
          <w:p w14:paraId="3A35CCDF" w14:textId="4777BC56" w:rsidR="00711E30" w:rsidRDefault="00711E30" w:rsidP="007C2D3B">
            <w:pPr>
              <w:spacing w:line="276" w:lineRule="auto"/>
              <w:jc w:val="right"/>
            </w:pPr>
            <w:r>
              <w:t>(</w:t>
            </w:r>
            <w:r>
              <w:fldChar w:fldCharType="begin"/>
            </w:r>
            <w:r>
              <w:instrText xml:space="preserve"> SEQ Equation \* ARABIC </w:instrText>
            </w:r>
            <w:r>
              <w:fldChar w:fldCharType="separate"/>
            </w:r>
            <w:r w:rsidR="007A7577">
              <w:rPr>
                <w:noProof/>
              </w:rPr>
              <w:t>18</w:t>
            </w:r>
            <w:r>
              <w:rPr>
                <w:noProof/>
              </w:rPr>
              <w:fldChar w:fldCharType="end"/>
            </w:r>
            <w:r>
              <w:t>)</w:t>
            </w:r>
          </w:p>
        </w:tc>
      </w:tr>
    </w:tbl>
    <w:p w14:paraId="07A693CC" w14:textId="77777777" w:rsidR="008E1791" w:rsidRDefault="008E1791" w:rsidP="00091B5C">
      <w:pPr>
        <w:pStyle w:val="Heading3"/>
      </w:pPr>
    </w:p>
    <w:p w14:paraId="1E87AF96" w14:textId="1C80BBA6" w:rsidR="000847F7" w:rsidRDefault="000847F7" w:rsidP="00091B5C">
      <w:pPr>
        <w:pStyle w:val="Heading3"/>
      </w:pPr>
      <w:r>
        <w:lastRenderedPageBreak/>
        <w:t>Bias-Variance Trade-off</w:t>
      </w:r>
    </w:p>
    <w:p w14:paraId="0C8150EC" w14:textId="585B6446" w:rsidR="00D13351" w:rsidRDefault="00480D9C" w:rsidP="00D13351">
      <w:pPr>
        <w:ind w:firstLine="720"/>
      </w:pPr>
      <w:r w:rsidRPr="00480D9C">
        <w:rPr>
          <w:b/>
          <w:bCs/>
        </w:rPr>
        <w:t>Equation (18)</w:t>
      </w:r>
      <w:r w:rsidR="00C36D84">
        <w:t xml:space="preserve"> unveils</w:t>
      </w:r>
      <w:r w:rsidR="000847F7">
        <w:t xml:space="preserve"> a trade-off relationship between the bias and variance</w:t>
      </w:r>
      <w:r w:rsidR="00EF6452">
        <w:t xml:space="preserve"> </w:t>
      </w:r>
      <w:r w:rsidR="000847F7">
        <w:t xml:space="preserve">given a constant validation MSE. </w:t>
      </w:r>
      <w:r w:rsidR="008B1169">
        <w:t xml:space="preserve">When performing K-fold </w:t>
      </w:r>
      <w:r w:rsidR="00130962">
        <w:t>CV</w:t>
      </w:r>
      <w:r w:rsidR="008B1169">
        <w:t xml:space="preserve"> with a fixed sample size and model complexity, the choice of </w:t>
      </w:r>
      <m:oMath>
        <m:r>
          <w:rPr>
            <w:rFonts w:ascii="Cambria Math" w:hAnsi="Cambria Math"/>
          </w:rPr>
          <m:t>K</m:t>
        </m:r>
      </m:oMath>
      <w:r w:rsidR="008B1169">
        <w:t xml:space="preserve"> </w:t>
      </w:r>
      <w:r w:rsidR="002424B3">
        <w:t xml:space="preserve">is the pivotal element shaping </w:t>
      </w:r>
      <w:r w:rsidR="002549F5">
        <w:t xml:space="preserve">the </w:t>
      </w:r>
      <w:r w:rsidR="002424B3">
        <w:t>model</w:t>
      </w:r>
      <w:r w:rsidR="002549F5">
        <w:t xml:space="preserve"> validation</w:t>
      </w:r>
      <w:r w:rsidR="008B1169">
        <w:t>.</w:t>
      </w:r>
      <w:r w:rsidR="002549F5">
        <w:t xml:space="preserve"> </w:t>
      </w:r>
      <w:r w:rsidR="000847F7">
        <w:t>When the</w:t>
      </w:r>
      <w:r w:rsidR="002F30F8">
        <w:t xml:space="preserve"> </w:t>
      </w:r>
      <m:oMath>
        <m:r>
          <w:rPr>
            <w:rFonts w:ascii="Cambria Math" w:hAnsi="Cambria Math"/>
          </w:rPr>
          <m:t>K</m:t>
        </m:r>
      </m:oMath>
      <w:r w:rsidR="000847F7">
        <w:t xml:space="preserve"> is set </w:t>
      </w:r>
      <w:r w:rsidR="004D335B">
        <w:t xml:space="preserve">to a </w:t>
      </w:r>
      <w:r w:rsidR="000847F7">
        <w:t>larger</w:t>
      </w:r>
      <w:r w:rsidR="004D335B">
        <w:t xml:space="preserve"> value</w:t>
      </w:r>
      <w:r w:rsidR="002F30F8">
        <w:t>; each training set</w:t>
      </w:r>
      <w:r w:rsidR="001262FA">
        <w:t xml:space="preserve">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2F30F8">
        <w:t xml:space="preserve">  is larger in size, </w:t>
      </w:r>
      <w:r w:rsidR="004D335B">
        <w:t>resulting in a model trained</w:t>
      </w:r>
      <w:r w:rsidR="005733DE">
        <w:t xml:space="preserve"> on</w:t>
      </w:r>
      <w:r w:rsidR="004D335B">
        <w:t xml:space="preserve"> a</w:t>
      </w:r>
      <w:r w:rsidR="000847F7">
        <w:t xml:space="preserve"> more representative </w:t>
      </w:r>
      <w:r w:rsidR="00607711">
        <w:t xml:space="preserve">subset </w:t>
      </w:r>
      <w:r w:rsidR="000847F7">
        <w:t xml:space="preserve">of the population of interest, leading to lower bias. </w:t>
      </w:r>
      <w:r w:rsidR="00BE4D11">
        <w:t xml:space="preserve">However, a </w:t>
      </w:r>
      <w:r w:rsidR="00173802">
        <w:t xml:space="preserve">large </w:t>
      </w:r>
      <m:oMath>
        <m:r>
          <w:rPr>
            <w:rFonts w:ascii="Cambria Math" w:hAnsi="Cambria Math"/>
          </w:rPr>
          <m:t>K</m:t>
        </m:r>
      </m:oMath>
      <w:r w:rsidR="000847F7">
        <w:t xml:space="preserve"> </w:t>
      </w:r>
      <w:r w:rsidR="00D1237D">
        <w:t xml:space="preserve">comes with a trade-off: the corresponding test subset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D1237D">
        <w:t xml:space="preserve"> is compressed in size, </w:t>
      </w:r>
      <w:r w:rsidR="00095FC0" w:rsidRPr="00095FC0">
        <w:t xml:space="preserve">making </w:t>
      </w:r>
      <w:r w:rsidR="00B66485">
        <w:t>the tested model</w:t>
      </w:r>
      <w:r w:rsidR="00095FC0" w:rsidRPr="00095FC0">
        <w:t xml:space="preserve"> more sensitive to the specific data points</w:t>
      </w:r>
      <w:r w:rsidR="00DC25B7">
        <w:t>,</w:t>
      </w:r>
      <w:r w:rsidR="00095FC0" w:rsidRPr="00095FC0">
        <w:t xml:space="preserve"> and </w:t>
      </w:r>
      <w:r w:rsidR="00DC25B7">
        <w:t xml:space="preserve">thus </w:t>
      </w:r>
      <w:r w:rsidR="00095FC0" w:rsidRPr="00095FC0">
        <w:t>inflating the validation variance.</w:t>
      </w:r>
      <w:r w:rsidR="00095FC0">
        <w:t xml:space="preserve"> Conversely, a smaller </w:t>
      </w:r>
      <m:oMath>
        <m:r>
          <w:rPr>
            <w:rFonts w:ascii="Cambria Math" w:hAnsi="Cambria Math"/>
          </w:rPr>
          <m:t>K</m:t>
        </m:r>
      </m:oMath>
      <w:r w:rsidR="00DC25B7">
        <w:t xml:space="preserve">, </w:t>
      </w:r>
      <w:r w:rsidR="000338E3">
        <w:t xml:space="preserve">along with a minor </w:t>
      </w:r>
      <w:r w:rsidR="000847F7">
        <w:t xml:space="preserve">training set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DC25B7">
        <w:t xml:space="preserve"> </w:t>
      </w:r>
      <w:r w:rsidR="00600A4F">
        <w:t xml:space="preserve">, </w:t>
      </w:r>
      <w:r w:rsidR="00DC25B7">
        <w:t>reduces</w:t>
      </w:r>
      <w:r w:rsidR="005C4A80">
        <w:t xml:space="preserve"> their representativeness and </w:t>
      </w:r>
      <w:r w:rsidR="00970664">
        <w:t>increases</w:t>
      </w:r>
      <w:r w:rsidR="005C4A80">
        <w:t xml:space="preserve"> bias. </w:t>
      </w:r>
      <w:r w:rsidR="00970664">
        <w:t>Nevertheless</w:t>
      </w:r>
      <w:r w:rsidR="005C4A80">
        <w:t xml:space="preserve">, </w:t>
      </w:r>
      <w:r w:rsidR="00970664">
        <w:t>a</w:t>
      </w:r>
      <w:r w:rsidR="00DC0853">
        <w:t xml:space="preserve"> larger size of </w:t>
      </w:r>
      <w:r w:rsidR="00970664">
        <w:t xml:space="preserve">the </w:t>
      </w:r>
      <w:r w:rsidR="00DC0853">
        <w:t>test set</w:t>
      </w:r>
      <w:r w:rsidR="00FA46E2">
        <w:t xml:space="preserve">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DC0853">
        <w:t xml:space="preserve"> </w:t>
      </w:r>
      <w:r w:rsidR="00970664">
        <w:t>leads to more</w:t>
      </w:r>
      <w:r w:rsidR="00DC0853">
        <w:t xml:space="preserve"> consistent estimations across the folds </w:t>
      </w:r>
      <w:r w:rsidR="00C21BCF">
        <w:t>and</w:t>
      </w:r>
      <w:r w:rsidR="00970664">
        <w:t>,</w:t>
      </w:r>
      <w:r w:rsidR="00C21BCF">
        <w:t xml:space="preserve"> consequently</w:t>
      </w:r>
      <w:r w:rsidR="00970664">
        <w:t>,</w:t>
      </w:r>
      <w:r w:rsidR="00C21BCF">
        <w:t xml:space="preserve"> reduces the validation variance.</w:t>
      </w:r>
    </w:p>
    <w:p w14:paraId="36EA0465" w14:textId="79C9E131" w:rsidR="00C21BCF" w:rsidRDefault="00D13351" w:rsidP="00D13351">
      <w:pPr>
        <w:ind w:firstLine="720"/>
      </w:pPr>
      <w:r>
        <w:t xml:space="preserve">Leave-one-out </w:t>
      </w:r>
      <w:r w:rsidR="00713A4F">
        <w:t>cross-validation</w:t>
      </w:r>
      <w:r>
        <w:t xml:space="preserve"> (</w:t>
      </w:r>
      <w:r w:rsidRPr="00D13351">
        <w:rPr>
          <w:b/>
          <w:bCs/>
        </w:rPr>
        <w:t>LOOCV</w:t>
      </w:r>
      <w:r>
        <w:t xml:space="preserve">) is a variant of K-fold CV where </w:t>
      </w:r>
      <m:oMath>
        <m:r>
          <w:rPr>
            <w:rFonts w:ascii="Cambria Math" w:hAnsi="Cambria Math"/>
          </w:rPr>
          <m:t>K</m:t>
        </m:r>
      </m:oMath>
      <w:r>
        <w:t xml:space="preserve"> equals the sample size </w:t>
      </w:r>
      <m:oMath>
        <m:r>
          <w:rPr>
            <w:rFonts w:ascii="Cambria Math" w:hAnsi="Cambria Math"/>
          </w:rPr>
          <m:t>N</m:t>
        </m:r>
      </m:oMath>
      <w:r>
        <w:t xml:space="preserve">of the complete dataset </w:t>
      </w:r>
      <m:oMath>
        <m:r>
          <m:rPr>
            <m:scr m:val="script"/>
          </m:rPr>
          <w:rPr>
            <w:rFonts w:ascii="Cambria Math" w:hAnsi="Cambria Math"/>
            <w:color w:val="000000"/>
            <w:sz w:val="25"/>
            <w:szCs w:val="25"/>
          </w:rPr>
          <m:t>D</m:t>
        </m:r>
      </m:oMath>
      <w:r>
        <w:t>. It provides an unbiased estimation of model performance because the training set</w:t>
      </w:r>
      <w:r w:rsidR="00C37F16">
        <w:t xml:space="preserve">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t xml:space="preserve"> </w:t>
      </w:r>
      <w:r w:rsidR="00EE0664">
        <w:t xml:space="preserve"> </w:t>
      </w:r>
      <w:r>
        <w:t xml:space="preserve">closely resembles the unseen population of interest, given its size of </w:t>
      </w:r>
      <m:oMath>
        <m:r>
          <w:rPr>
            <w:rFonts w:ascii="Cambria Math" w:hAnsi="Cambria Math"/>
          </w:rPr>
          <m:t>N - 1</m:t>
        </m:r>
      </m:oMath>
      <w:r>
        <w:t xml:space="preserve">. However, as the trade-off discussion suggested, this method can lead to high validation </w:t>
      </w:r>
      <w:r w:rsidR="00F751BF">
        <w:t>variance</w:t>
      </w:r>
      <w:r>
        <w:t xml:space="preserve"> due to the </w:t>
      </w:r>
      <w:r w:rsidR="005501F9">
        <w:t>model is evaluated on</w:t>
      </w:r>
      <w:r>
        <w:t xml:space="preserve"> one sample at a time. The true unbiased nature of LOOCV is fully realized only when all </w:t>
      </w:r>
      <m:oMath>
        <m:r>
          <w:rPr>
            <w:rFonts w:ascii="Cambria Math" w:hAnsi="Cambria Math"/>
          </w:rPr>
          <m:t>K</m:t>
        </m:r>
      </m:oMath>
      <w:r>
        <w:t xml:space="preserve"> folds are utilized. Performing an incomplete LOOCV can introduce significant bias because of the inherent high validation variance, which often occurs when training each model iteration is prohibitively time-consuming or computationally demanding. In </w:t>
      </w:r>
      <w:r w:rsidR="00D02C67">
        <w:t>specific</w:t>
      </w:r>
      <w:r>
        <w:t xml:space="preserve"> contexts, such as genomic prediction, strategies like the one described by Cheng et al. leverage the matrix inverse lemma, which allows for computational savings by avoiding the inversion of large matrices in each fold. This technique significantly reduces the dependency of computational resources on </w:t>
      </w:r>
      <w:r w:rsidR="00713A4F">
        <w:t xml:space="preserve">the </w:t>
      </w:r>
      <w:r>
        <w:t>sample size</w:t>
      </w:r>
      <w:r w:rsidR="00596970">
        <w:t xml:space="preserve"> </w:t>
      </w:r>
      <w:r w:rsidR="003F176C">
        <w:fldChar w:fldCharType="begin"/>
      </w:r>
      <w:r w:rsidR="00874531">
        <w:instrText xml:space="preserve"> ADDIN ZOTERO_ITEM CSL_CITATION {"citationID":"a243utjd7m1","properties":{"formattedCitation":"(Cheng et al., 2017)","plainCitation":"(Cheng et al., 2017)","noteIndex":0},"citationItems":[{"id":3706,"uris":["http://zotero.org/users/5933671/items/3RWWF8SE"],"itemData":{"id":3706,"type":"article-journal","abstract":"A random multiple-regression model that simultaneously fit all allele substitution effects for additive markers or haplotypes as uncorrelated random effects was proposed for Best Linear Unbiased Prediction, using whole-genome data. Leave-one-out cross validation can be used to quantify the predictive ability of a statistical model.","container-title":"Journal of Animal Science and Biotechnology","DOI":"10.1186/s40104-017-0164-6","ISSN":"2049-1891","issue":"1","journalAbbreviation":"Journal of Animal Science and Biotechnology","page":"38","source":"BioMed Central","title":"Efficient strategies for leave-one-out cross validation for genomic best linear unbiased prediction","volume":"8","author":[{"family":"Cheng","given":"Hao"},{"family":"Garrick","given":"Dorian J."},{"family":"Fernando","given":"Rohan L."}],"issued":{"date-parts":[["2017",5,2]]}}}],"schema":"https://github.com/citation-style-language/schema/raw/master/csl-citation.json"} </w:instrText>
      </w:r>
      <w:r w:rsidR="003F176C">
        <w:fldChar w:fldCharType="separate"/>
      </w:r>
      <w:r w:rsidR="00874531" w:rsidRPr="00874531">
        <w:rPr>
          <w:kern w:val="0"/>
        </w:rPr>
        <w:t>(Cheng et al., 2017)</w:t>
      </w:r>
      <w:r w:rsidR="003F176C">
        <w:fldChar w:fldCharType="end"/>
      </w:r>
      <w:r>
        <w:t xml:space="preserve">. Van </w:t>
      </w:r>
      <w:proofErr w:type="spellStart"/>
      <w:r>
        <w:t>Dixhoorn</w:t>
      </w:r>
      <w:proofErr w:type="spellEnd"/>
      <w:r>
        <w:t xml:space="preserve"> et al. exemplify the use of LOOCV with a small dataset, aiming to predict cow resilience</w:t>
      </w:r>
      <w:r w:rsidR="00E37EAA">
        <w:t xml:space="preserve"> with limited</w:t>
      </w:r>
      <w:r w:rsidR="00C87772">
        <w:t xml:space="preserve"> data</w:t>
      </w:r>
      <w:r w:rsidR="00E37EAA">
        <w:t xml:space="preserve"> resources</w:t>
      </w:r>
      <w:r>
        <w:t xml:space="preserve"> </w:t>
      </w:r>
      <w:r w:rsidR="00273459">
        <w:fldChar w:fldCharType="begin"/>
      </w:r>
      <w:r w:rsidR="00874531">
        <w:instrText xml:space="preserve"> ADDIN ZOTERO_ITEM CSL_CITATION {"citationID":"a1eulejobpo","properties":{"formattedCitation":"(van Dixhoorn et al., 2018)","plainCitation":"(van Dixhoorn et al., 2018)","noteIndex":0},"citationItems":[{"id":3703,"uris":["http://zotero.org/users/5933671/items/HAQPEK9R"],"itemData":{"id":3703,"type":"article-journal","abstract":"The transition period is a demanding phase in the life of dairy cows. Metabolic and infectious disorders frequently occur in the first weeks after calving. To identify cows that are less able to cope with the transition period, physiologic or behavioral signals acquired with sensors might be useful. However, it is not yet clear which signals or combination of signals and which signal properties are most informative with respect to disease severity after calving. Sensor data on activity and behavior measurements as well as rumen and ear temperature data from 22 dairy cows were collected during a period starting 2 wk before expected parturition until 6 wk after parturition. During this period, the health status of each cow was clinically scored daily. A total deficit score (TDS) was calculated based on the clinical assessment, summarizing disease length and intensity for each cow. Different sensor data properties recorded during the period before calving as well as the period after calving were tested as a predictor for TDS using univariate analysis of covariance. To select the model with the best combination of signals and signal properties, we quantified the prediction accuracy for TDS in a multivariate model. Prediction accuracy for TDS increased when sensors were combined, using static and dynamic signal properties. Statistically, the most optimal linear combination of predictors consisted of average eating time, variance of daily ear temperature, and regularity of daily behavior patterns in the dry period. Our research indicates that a combination of static and dynamic sensor data properties could be used as indicators of cow resilience.","container-title":"Journal of Dairy Science","DOI":"10.3168/jds.2018-14779","ISSN":"0022-0302","issue":"11","journalAbbreviation":"Journal of Dairy Science","page":"10271-10282","source":"ScienceDirect","title":"Indicators of resilience during the transition period in dairy cows: A case study","title-short":"Indicators of resilience during the transition period in dairy cows","volume":"101","author":[{"family":"Dixhoorn","given":"I. D. E.","non-dropping-particle":"van"},{"family":"Mol","given":"R. M.","non-dropping-particle":"de"},{"family":"Werf","given":"J. T. N.","non-dropping-particle":"van der"},{"family":"Mourik","given":"S.","non-dropping-particle":"van"},{"family":"Reenen","given":"C. G.","non-dropping-particle":"van"}],"issued":{"date-parts":[["2018",11,1]]}}}],"schema":"https://github.com/citation-style-language/schema/raw/master/csl-citation.json"} </w:instrText>
      </w:r>
      <w:r w:rsidR="00273459">
        <w:fldChar w:fldCharType="separate"/>
      </w:r>
      <w:r w:rsidR="00874531" w:rsidRPr="00874531">
        <w:rPr>
          <w:kern w:val="0"/>
        </w:rPr>
        <w:t xml:space="preserve">(van </w:t>
      </w:r>
      <w:proofErr w:type="spellStart"/>
      <w:r w:rsidR="00874531" w:rsidRPr="00874531">
        <w:rPr>
          <w:kern w:val="0"/>
        </w:rPr>
        <w:t>Dixhoorn</w:t>
      </w:r>
      <w:proofErr w:type="spellEnd"/>
      <w:r w:rsidR="00874531" w:rsidRPr="00874531">
        <w:rPr>
          <w:kern w:val="0"/>
        </w:rPr>
        <w:t xml:space="preserve"> et al., 2018)</w:t>
      </w:r>
      <w:r w:rsidR="00273459">
        <w:fldChar w:fldCharType="end"/>
      </w:r>
      <w:r>
        <w:t xml:space="preserve">. Nevertheless, for large datasets, LOOCV is generally not recommended due to computational inefficiency. </w:t>
      </w:r>
      <w:r w:rsidR="008B3F5A">
        <w:t>Further details of</w:t>
      </w:r>
      <w:r>
        <w:t xml:space="preserve"> bias-variance trade-off </w:t>
      </w:r>
      <w:r w:rsidR="00C5315A">
        <w:t>have</w:t>
      </w:r>
      <w:r>
        <w:t xml:space="preserve"> been extensively explored in the statistical literature</w:t>
      </w:r>
      <w:r w:rsidR="00094A54">
        <w:t xml:space="preserve"> </w:t>
      </w:r>
      <w:r w:rsidR="00094A54">
        <w:fldChar w:fldCharType="begin"/>
      </w:r>
      <w:r w:rsidR="00870EA5">
        <w:instrText xml:space="preserve"> ADDIN ZOTERO_ITEM CSL_CITATION {"citationID":"a23nraq6psq","properties":{"formattedCitation":"(Hastie et al., 2009; Cawley and Talbot, 2010)","plainCitation":"(Hastie et al., 2009; Cawley and Talbot, 2010)","noteIndex":0},"citationItems":[{"id":3660,"uris":["http://zotero.org/users/5933671/items/2MKDDBUM"],"itemData":{"id":3660,"type":"book","collection-title":"Springer series in statistics","ISBN":"978-0-387-84884-6","note":"LCCN: 2008941148","publisher":"Springer","title":"The Elements of Statistical Learning: Data Mining, Inference, and Prediction","URL":"https://books.google.com/books?id=eBSgoAEACAAJ","author":[{"family":"Hastie","given":"T."},{"family":"Tibshirani","given":"R."},{"family":"Friedman","given":"J.H."}],"issued":{"date-parts":[["2009"]]}}},{"id":3597,"uris":["http://zotero.org/users/5933671/items/CPWMXIZM"],"itemData":{"id":3597,"type":"article-journal","abstract":"Model selection strategies for machine learning algorithms typically involve the numerical optimisation of an appropriate model selection criterion, often based on an estimator of generalisation performance, such as k-fold cross-validation. The error of such an estimator can be broken down into bias and variance components. While unbiasedness is often cited as a beneficial quality of a model selection criterion, we demonstrate that a low variance is at least as important, as a non-negligible variance introduces the potential for over-fitting in model selection as well as in training the model. While this observation is in hindsight perhaps rather obvious, the degradation in performance due to over-fitting the model selection criterion can be surprisingly large, an observation that appears to have received little attention in the machine learning literature to date. In this paper, we show that the effects of this form of over-fitting are often of comparable magnitude to differences in performance between learning algorithms, and thus cannot be ignored in empirical evaluation. Furthermore, we show that some common performance evaluation practices are susceptible to a form of selection bias as a result of this form of over-fitting and hence are unreliable. We discuss methods to avoid over-fitting in model selection and subsequent selection bias in performance evaluation, which we hope will be incorporated into best practice. While this study concentrates on cross-validation based model selection, the findings are quite general and apply to any model selection practice involving the optimisation of a model selection criterion evaluated over a finite sample of data, including maximisation of the Bayesian evidence and optimisation of performance bounds.","container-title":"The Journal of Machine Learning Research","ISSN":"1532-4435","journalAbbreviation":"J. Mach. Learn. Res.","page":"2079–2107","source":"ACM Digital Library","title":"On Over-fitting in Model Selection and Subsequent Selection Bias in Performance Evaluation","volume":"11","author":[{"family":"Cawley","given":"Gavin C."},{"family":"Talbot","given":"Nicola L.C."}],"issued":{"date-parts":[["2010",8,1]]}}}],"schema":"https://github.com/citation-style-language/schema/raw/master/csl-citation.json"} </w:instrText>
      </w:r>
      <w:r w:rsidR="00094A54">
        <w:fldChar w:fldCharType="separate"/>
      </w:r>
      <w:r w:rsidR="00870EA5" w:rsidRPr="00870EA5">
        <w:rPr>
          <w:kern w:val="0"/>
        </w:rPr>
        <w:t>(Hastie et al., 2009; Cawley and Talbot, 2010)</w:t>
      </w:r>
      <w:r w:rsidR="00094A54">
        <w:fldChar w:fldCharType="end"/>
      </w:r>
      <w:r w:rsidR="00C5315A">
        <w:t>.</w:t>
      </w:r>
    </w:p>
    <w:p w14:paraId="225F22D7" w14:textId="4E842D1C" w:rsidR="000847F7" w:rsidRDefault="000847F7" w:rsidP="00091B5C">
      <w:pPr>
        <w:pStyle w:val="Heading3"/>
      </w:pPr>
      <w:r>
        <w:t>Simulation Objectives and Hypothesis</w:t>
      </w:r>
    </w:p>
    <w:p w14:paraId="75BBD513" w14:textId="0D443530" w:rsidR="00733CC2" w:rsidRDefault="00894168" w:rsidP="00072B01">
      <w:pPr>
        <w:ind w:firstLine="720"/>
      </w:pPr>
      <w:r w:rsidRPr="00894168">
        <w:t xml:space="preserve">This simulation study </w:t>
      </w:r>
      <w:r w:rsidR="000908A9">
        <w:t>investigate</w:t>
      </w:r>
      <w:r w:rsidR="00BA371B">
        <w:t>d</w:t>
      </w:r>
      <w:r w:rsidRPr="00894168">
        <w:t xml:space="preserve"> the interplay between sample size and various performance estimators and their collective impact on bias and variance during model validation. It is hypothesized that increasing the sample size will reduce both bias and variance. Additionally, it is expected that the</w:t>
      </w:r>
      <w:r w:rsidR="00BC5D45">
        <w:t xml:space="preserve"> validation</w:t>
      </w:r>
      <w:r w:rsidRPr="00894168">
        <w:t xml:space="preserve"> variance will increase with the number of folds in the </w:t>
      </w:r>
      <w:r w:rsidR="00A85FA9">
        <w:t>CV</w:t>
      </w:r>
      <w:r w:rsidRPr="00894168">
        <w:t xml:space="preserve">, while simultaneously reducing bias. Since K-fold CV employs a fraction </w:t>
      </w:r>
      <w:r w:rsidR="00AC6F17">
        <w:t xml:space="preserve">(i.e., </w:t>
      </w:r>
      <m:oMath>
        <m:r>
          <w:rPr>
            <w:rFonts w:ascii="Cambria Math" w:hAnsi="Cambria Math"/>
          </w:rPr>
          <m:t>K-1</m:t>
        </m:r>
      </m:oMath>
      <w:r w:rsidR="00AC6F17">
        <w:t xml:space="preserve"> folds) </w:t>
      </w:r>
      <w:r w:rsidRPr="00894168">
        <w:t xml:space="preserve">of the data for training, it may provide a </w:t>
      </w:r>
      <w:r w:rsidR="002B07B7">
        <w:t>pessimistic</w:t>
      </w:r>
      <w:r w:rsidRPr="00894168">
        <w:t xml:space="preserve"> estimate of model performance. This study also seeks to measure the degree of performance underestimation for each cross-validation estimator.</w:t>
      </w:r>
    </w:p>
    <w:p w14:paraId="03986938" w14:textId="4DF317AC" w:rsidR="00733CC2" w:rsidRDefault="00733CC2">
      <w:pPr>
        <w:jc w:val="left"/>
      </w:pPr>
      <w:r>
        <w:br w:type="page"/>
      </w:r>
    </w:p>
    <w:p w14:paraId="6EA8F9EC" w14:textId="558FAACD" w:rsidR="000847F7" w:rsidRDefault="000847F7" w:rsidP="00091B5C">
      <w:pPr>
        <w:pStyle w:val="Heading3"/>
      </w:pPr>
      <w:r>
        <w:lastRenderedPageBreak/>
        <w:t>Simulation Design</w:t>
      </w:r>
    </w:p>
    <w:p w14:paraId="2B2807EC" w14:textId="3C8F7700" w:rsidR="00635371" w:rsidRDefault="00635371" w:rsidP="00605B61">
      <w:pPr>
        <w:ind w:firstLine="720"/>
      </w:pPr>
      <w:r w:rsidRPr="00635371">
        <w:t>The design of the simulation assesses performance estimators</w:t>
      </w:r>
      <w:r w:rsidR="00D17AF4">
        <w:t>,</w:t>
      </w:r>
      <w:r w:rsidRPr="00635371">
        <w:t xml:space="preserve"> including K-fold CV with </w:t>
      </w:r>
      <m:oMath>
        <m:r>
          <w:rPr>
            <w:rFonts w:ascii="Cambria Math" w:hAnsi="Cambria Math"/>
          </w:rPr>
          <m:t>K</m:t>
        </m:r>
      </m:oMath>
      <w:r w:rsidRPr="00635371">
        <w:t xml:space="preserve"> set to 2, 5, and 10, as well as LOOCV where </w:t>
      </w:r>
      <m:oMath>
        <m:r>
          <w:rPr>
            <w:rFonts w:ascii="Cambria Math" w:hAnsi="Cambria Math"/>
          </w:rPr>
          <m:t>K</m:t>
        </m:r>
      </m:oMath>
      <w:r w:rsidRPr="00635371">
        <w:t xml:space="preserve"> equals the sample size </w:t>
      </w:r>
      <m:oMath>
        <m:r>
          <w:rPr>
            <w:rFonts w:ascii="Cambria Math" w:hAnsi="Cambria Math"/>
          </w:rPr>
          <m:t>N</m:t>
        </m:r>
      </m:oMath>
      <w:r w:rsidRPr="00635371">
        <w:t xml:space="preserve">, and the "In-Sample" evaluation, which assesses model performance on the same dataset used for training, potentially leading to an overly optimistic bias. To gauge model performance, three metrics are employed: </w:t>
      </w:r>
      <m:oMath>
        <m:r>
          <w:rPr>
            <w:rFonts w:ascii="Cambria Math" w:hAnsi="Cambria Math"/>
          </w:rPr>
          <m:t>r</m:t>
        </m:r>
      </m:oMath>
      <w:r w:rsidR="002F5580">
        <w:t xml:space="preserve"> (</w:t>
      </w:r>
      <w:r w:rsidR="002F5580" w:rsidRPr="00726174">
        <w:rPr>
          <w:b/>
          <w:bCs/>
        </w:rPr>
        <w:t xml:space="preserve">Equation </w:t>
      </w:r>
      <w:r w:rsidR="007B5E1C">
        <w:rPr>
          <w:b/>
          <w:bCs/>
        </w:rPr>
        <w:t>(</w:t>
      </w:r>
      <w:r w:rsidR="002F5580" w:rsidRPr="00726174">
        <w:rPr>
          <w:b/>
          <w:bCs/>
        </w:rPr>
        <w:t>1</w:t>
      </w:r>
      <w:r w:rsidR="007B5E1C">
        <w:rPr>
          <w:b/>
          <w:bCs/>
        </w:rPr>
        <w:t>)</w:t>
      </w:r>
      <w:r w:rsidR="002F5580">
        <w:t>), RMSE (</w:t>
      </w:r>
      <w:r w:rsidR="002F5580" w:rsidRPr="00726174">
        <w:rPr>
          <w:b/>
          <w:bCs/>
        </w:rPr>
        <w:t xml:space="preserve">Equation </w:t>
      </w:r>
      <w:r w:rsidR="007B5E1C">
        <w:rPr>
          <w:b/>
          <w:bCs/>
        </w:rPr>
        <w:t>(</w:t>
      </w:r>
      <w:r w:rsidR="002F5580" w:rsidRPr="00726174">
        <w:rPr>
          <w:b/>
          <w:bCs/>
        </w:rPr>
        <w:t>2</w:t>
      </w:r>
      <w:r w:rsidR="007B5E1C">
        <w:rPr>
          <w:b/>
          <w:bCs/>
        </w:rPr>
        <w:t>)</w:t>
      </w:r>
      <w:r w:rsidR="002F5580">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F5580">
        <w:t xml:space="preserve"> (</w:t>
      </w:r>
      <w:r w:rsidR="002F5580" w:rsidRPr="00726174">
        <w:rPr>
          <w:b/>
          <w:bCs/>
        </w:rPr>
        <w:t xml:space="preserve">Equation </w:t>
      </w:r>
      <w:r w:rsidR="007B5E1C">
        <w:rPr>
          <w:b/>
          <w:bCs/>
        </w:rPr>
        <w:t>(</w:t>
      </w:r>
      <w:r w:rsidR="002F5580" w:rsidRPr="00726174">
        <w:rPr>
          <w:b/>
          <w:bCs/>
        </w:rPr>
        <w:t>3</w:t>
      </w:r>
      <w:r w:rsidR="007B5E1C">
        <w:rPr>
          <w:b/>
          <w:bCs/>
        </w:rPr>
        <w:t>)</w:t>
      </w:r>
      <w:r w:rsidR="002F5580">
        <w:t xml:space="preserve">). </w:t>
      </w:r>
      <w:r w:rsidRPr="00635371">
        <w:t>The validation model is a multivariate linear regression with ten input features and one output target, all drawn from a standard normal distribution</w:t>
      </w:r>
      <w:r w:rsidR="003A1EDF">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rsidRPr="00635371">
        <w:t>, implying no expected linear relationship between inputs and the target, with an expected</w:t>
      </w:r>
      <w:r w:rsidR="00203303">
        <w:t xml:space="preserve"> correlation</w:t>
      </w:r>
      <w:r w:rsidRPr="00635371">
        <w:t xml:space="preserve"> </w:t>
      </w:r>
      <m:oMath>
        <m:r>
          <w:rPr>
            <w:rFonts w:ascii="Cambria Math" w:hAnsi="Cambria Math"/>
          </w:rPr>
          <m:t>r</m:t>
        </m:r>
      </m:oMath>
      <w:r w:rsidRPr="00635371">
        <w:t xml:space="preserve"> of zero. </w:t>
      </w:r>
      <w:r w:rsidR="00203303">
        <w:t>The s</w:t>
      </w:r>
      <w:r w:rsidRPr="00635371">
        <w:t>ample sizes</w:t>
      </w:r>
      <w:r w:rsidR="00203303">
        <w:t xml:space="preserve"> </w:t>
      </w:r>
      <m:oMath>
        <m:r>
          <w:rPr>
            <w:rFonts w:ascii="Cambria Math" w:hAnsi="Cambria Math"/>
          </w:rPr>
          <m:t>N</m:t>
        </m:r>
      </m:oMath>
      <w:r w:rsidRPr="00635371">
        <w:t xml:space="preserve"> are varied among 50, 100, and 500 to explore the dynamics between sample size and performance estimators. Each configuration is repeated across 1000 iterations to assess the distribution of bias and variance.</w:t>
      </w:r>
    </w:p>
    <w:p w14:paraId="13135C7C" w14:textId="104EF977" w:rsidR="000847F7" w:rsidRDefault="004E7C7C" w:rsidP="00EE291D">
      <w:pPr>
        <w:ind w:firstLine="720"/>
      </w:pPr>
      <w:r>
        <w:t>For</w:t>
      </w:r>
      <w:r w:rsidR="000847F7">
        <w:t xml:space="preserve"> each</w:t>
      </w:r>
      <w:r>
        <w:t xml:space="preserve"> </w:t>
      </w:r>
      <w:r w:rsidR="00250917">
        <w:t>iteration</w:t>
      </w:r>
      <w:r w:rsidR="000847F7">
        <w:t>, the dataset</w:t>
      </w:r>
      <w:r w:rsidR="00C30EF5">
        <w:t xml:space="preserve"> </w:t>
      </w:r>
      <m:oMath>
        <m:r>
          <m:rPr>
            <m:scr m:val="script"/>
          </m:rPr>
          <w:rPr>
            <w:rFonts w:ascii="Cambria Math" w:hAnsi="Cambria Math"/>
          </w:rPr>
          <m:t>D=</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oMath>
      <w:r w:rsidR="000847F7">
        <w:t xml:space="preserve"> </w:t>
      </w:r>
      <w:r w:rsidR="007C1B59">
        <w:t xml:space="preserve">was </w:t>
      </w:r>
      <w:r w:rsidR="000847F7">
        <w:t xml:space="preserve">sampled </w:t>
      </w:r>
      <w:r>
        <w:t>as per the simulation’s premise. In the case of</w:t>
      </w:r>
      <w:r w:rsidR="00B84509">
        <w:t xml:space="preserve"> K-fold CV, </w:t>
      </w:r>
      <w:r w:rsidR="000847F7">
        <w:t>the dataset</w:t>
      </w:r>
      <w:r w:rsidR="00C30EF5">
        <w:t xml:space="preserve"> </w:t>
      </w:r>
      <m:oMath>
        <m:r>
          <m:rPr>
            <m:scr m:val="script"/>
          </m:rPr>
          <w:rPr>
            <w:rFonts w:ascii="Cambria Math" w:hAnsi="Cambria Math"/>
          </w:rPr>
          <m:t>D</m:t>
        </m:r>
      </m:oMath>
      <w:r w:rsidR="000847F7">
        <w:t xml:space="preserve"> </w:t>
      </w:r>
      <w:r w:rsidR="00E57886">
        <w:t>was</w:t>
      </w:r>
      <w:r w:rsidR="000847F7">
        <w:t xml:space="preserve"> partitioned into </w:t>
      </w:r>
      <m:oMath>
        <m:r>
          <w:rPr>
            <w:rFonts w:ascii="Cambria Math" w:hAnsi="Cambria Math"/>
          </w:rPr>
          <m:t>K</m:t>
        </m:r>
      </m:oMath>
      <w:r w:rsidR="005221D7">
        <w:t xml:space="preserve"> </w:t>
      </w:r>
      <w:r w:rsidR="000847F7">
        <w:t xml:space="preserve">folds in which each fold is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w:r w:rsidR="00441462">
        <w:rPr>
          <w:color w:val="000000"/>
          <w:sz w:val="26"/>
          <w:szCs w:val="26"/>
        </w:rPr>
        <w:t xml:space="preserve">. </w:t>
      </w:r>
      <w:r w:rsidR="00733EEB">
        <w:t>For the “In-Sample” approach, partitioning does not occur</w:t>
      </w:r>
      <w:r w:rsidR="00737460">
        <w:t>.</w:t>
      </w:r>
      <w:r w:rsidR="000847F7">
        <w:t xml:space="preserve"> The linear model</w:t>
      </w:r>
      <w:r w:rsidR="005221D7">
        <w:t xml:space="preserve"> </w:t>
      </w:r>
      <m:oMath>
        <m:r>
          <w:rPr>
            <w:rFonts w:ascii="Cambria Math" w:hAnsi="Cambria Math"/>
            <w:sz w:val="26"/>
            <w:szCs w:val="26"/>
          </w:rPr>
          <m:t>f</m:t>
        </m:r>
      </m:oMath>
      <w:r w:rsidR="000847F7">
        <w:t xml:space="preserve"> is trained on the training set</w:t>
      </w:r>
      <w:r w:rsidR="006A667D">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CA3FE1">
        <w:t xml:space="preserve"> (denoted as </w:t>
      </w:r>
      <m:oMath>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oMath>
      <w:r w:rsidR="00CA3FE1">
        <w:t>)</w:t>
      </w:r>
      <w:r w:rsidR="000847F7">
        <w:t xml:space="preserve"> to estimate </w:t>
      </w:r>
      <w:r w:rsidR="00CF7779">
        <w:t xml:space="preserve">regression </w:t>
      </w:r>
      <w:r w:rsidR="000847F7">
        <w:t>coefficients</w:t>
      </w:r>
      <w:r w:rsidR="009A17CF">
        <w:t xml:space="preserve"> </w:t>
      </w:r>
      <m:oMath>
        <m:r>
          <w:rPr>
            <w:rFonts w:ascii="Cambria Math" w:hAnsi="Cambria Math"/>
            <w:sz w:val="26"/>
            <w:szCs w:val="26"/>
          </w:rPr>
          <m:t>β</m:t>
        </m:r>
      </m:oMath>
      <w:r w:rsidR="000847F7">
        <w:t xml:space="preserve">, which then </w:t>
      </w:r>
      <w:r w:rsidR="004E62EC">
        <w:t>predicts</w:t>
      </w:r>
      <w:r w:rsidR="000847F7">
        <w:t xml:space="preserve"> the target variable</w:t>
      </w:r>
      <w:r w:rsidR="00363A6E">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rPr>
              <m:t>k</m:t>
            </m:r>
          </m:sub>
        </m:sSub>
      </m:oMath>
      <w:r w:rsidR="000847F7">
        <w:t xml:space="preserve"> </w:t>
      </w:r>
      <w:r w:rsidR="00973F68">
        <w:t>from</w:t>
      </w:r>
      <w:r w:rsidR="000847F7">
        <w:t xml:space="preserve">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9236F5">
        <w:t xml:space="preserve">. </w:t>
      </w:r>
      <w:r w:rsidR="000847F7">
        <w:t>The procedure of K-fold CV can be expressed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E7956" w14:paraId="5813D405" w14:textId="77777777" w:rsidTr="00F22FA5">
        <w:tc>
          <w:tcPr>
            <w:tcW w:w="350" w:type="pct"/>
          </w:tcPr>
          <w:p w14:paraId="2E9C984E" w14:textId="77777777" w:rsidR="004E7956" w:rsidRDefault="004E7956" w:rsidP="00527900"/>
        </w:tc>
        <w:tc>
          <w:tcPr>
            <w:tcW w:w="4300" w:type="pct"/>
          </w:tcPr>
          <w:p w14:paraId="488BC2B3" w14:textId="59AE965F" w:rsidR="004E7956" w:rsidRPr="004E7956" w:rsidRDefault="00000000" w:rsidP="004E7956">
            <w:pPr>
              <w:pStyle w:val="Body"/>
              <w:rPr>
                <w:rFonts w:ascii="Calibri Light" w:eastAsiaTheme="minorEastAsia" w:hAnsi="Calibri Light" w:cs="Calibri Light"/>
                <w:sz w:val="26"/>
                <w:szCs w:val="26"/>
              </w:rPr>
            </w:pPr>
            <m:oMathPara>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)+ϵ=</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β+ϵ                  k=1,2,…,K</m:t>
                </m:r>
                <m:r>
                  <m:rPr>
                    <m:sty m:val="p"/>
                  </m:rPr>
                  <w:rPr>
                    <w:rFonts w:ascii="Calibri Light" w:eastAsiaTheme="minorEastAsia" w:hAnsi="Calibri Light" w:cs="Calibri Light"/>
                    <w:sz w:val="26"/>
                    <w:szCs w:val="26"/>
                  </w:rPr>
                  <w:br/>
                </m:r>
              </m:oMath>
              <m:oMath>
                <m:sSub>
                  <m:sSubPr>
                    <m:ctrlPr>
                      <w:rPr>
                        <w:rFonts w:ascii="Cambria Math" w:hAnsi="Cambria Math"/>
                      </w:rPr>
                    </m:ctrlPr>
                  </m:sSubPr>
                  <m:e>
                    <m:limUpp>
                      <m:limUppPr>
                        <m:ctrlPr>
                          <w:rPr>
                            <w:rFonts w:ascii="Cambria Math" w:hAnsi="Cambria Math"/>
                          </w:rPr>
                        </m:ctrlPr>
                      </m:limUppPr>
                      <m:e>
                        <m:acc>
                          <m:accPr>
                            <m:ctrlPr>
                              <w:rPr>
                                <w:rFonts w:ascii="Cambria Math" w:hAnsi="Cambria Math"/>
                                <w:i/>
                                <w:sz w:val="26"/>
                                <w:szCs w:val="26"/>
                              </w:rPr>
                            </m:ctrlPr>
                          </m:accPr>
                          <m:e>
                            <m:r>
                              <w:rPr>
                                <w:rFonts w:ascii="Cambria Math" w:hAnsi="Cambria Math"/>
                                <w:sz w:val="26"/>
                                <w:szCs w:val="26"/>
                              </w:rPr>
                              <m:t>Y</m:t>
                            </m:r>
                          </m:e>
                        </m:acc>
                      </m:e>
                      <m:lim>
                        <m:r>
                          <w:rPr>
                            <w:rFonts w:ascii="Cambria Math" w:hAnsi="Cambria Math"/>
                            <w:sz w:val="26"/>
                            <w:szCs w:val="26"/>
                          </w:rPr>
                          <m:t>̂</m:t>
                        </m:r>
                      </m:lim>
                    </m:limUpp>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β</m:t>
                </m:r>
              </m:oMath>
            </m:oMathPara>
          </w:p>
        </w:tc>
        <w:tc>
          <w:tcPr>
            <w:tcW w:w="350" w:type="pct"/>
          </w:tcPr>
          <w:p w14:paraId="3127644B" w14:textId="77777777" w:rsidR="004E7956" w:rsidRDefault="004E7956" w:rsidP="00527900">
            <w:pPr>
              <w:jc w:val="right"/>
            </w:pPr>
          </w:p>
          <w:p w14:paraId="2EC85FE6" w14:textId="214FCE88" w:rsidR="004E7956" w:rsidRDefault="004E7956" w:rsidP="00527900">
            <w:pPr>
              <w:jc w:val="right"/>
            </w:pPr>
            <w:r>
              <w:t xml:space="preserve"> </w:t>
            </w:r>
          </w:p>
        </w:tc>
      </w:tr>
    </w:tbl>
    <w:p w14:paraId="5BF0F3FC" w14:textId="77777777" w:rsidR="000847F7" w:rsidRDefault="000847F7" w:rsidP="000847F7"/>
    <w:p w14:paraId="7834B23D" w14:textId="009BDB17" w:rsidR="00334B67" w:rsidRDefault="00850EF8" w:rsidP="00334B67">
      <w:r>
        <w:t xml:space="preserve">For the “In-Sample” </w:t>
      </w:r>
      <w:r w:rsidR="00334B67">
        <w:t xml:space="preserve">performance </w:t>
      </w:r>
      <w:r>
        <w:t>estimator,</w:t>
      </w:r>
      <w:r w:rsidR="00334B67">
        <w:t xml:space="preserve"> predictions </w:t>
      </w:r>
      <w:r w:rsidR="000E215E">
        <w:t>were</w:t>
      </w:r>
      <w:r w:rsidR="00334B67">
        <w:t xml:space="preserve"> made without splitting, as:</w:t>
      </w:r>
    </w:p>
    <w:p w14:paraId="7C102E34" w14:textId="77777777" w:rsidR="00F22FA5" w:rsidRDefault="00F22FA5" w:rsidP="00334B6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20F17" w14:paraId="66413514" w14:textId="77777777" w:rsidTr="001C457D">
        <w:tc>
          <w:tcPr>
            <w:tcW w:w="350" w:type="pct"/>
          </w:tcPr>
          <w:p w14:paraId="6248C482" w14:textId="77777777" w:rsidR="00920F17" w:rsidRDefault="00920F17" w:rsidP="00527900"/>
        </w:tc>
        <w:tc>
          <w:tcPr>
            <w:tcW w:w="4300" w:type="pct"/>
          </w:tcPr>
          <w:p w14:paraId="1CA7A82A" w14:textId="57575B1A" w:rsidR="00920F17" w:rsidRPr="001A6FEB" w:rsidRDefault="00920F17" w:rsidP="001A6FEB">
            <w:pPr>
              <w:pStyle w:val="Body"/>
              <w:spacing w:line="360" w:lineRule="auto"/>
              <w:rPr>
                <w:rFonts w:ascii="Calibri Light" w:eastAsiaTheme="minorEastAsia" w:hAnsi="Calibri Light" w:cs="Calibri Light"/>
              </w:rPr>
            </w:pPr>
            <m:oMathPara>
              <m:oMath>
                <m:r>
                  <w:rPr>
                    <w:rFonts w:ascii="Cambria Math" w:hAnsi="Cambria Math"/>
                    <w:sz w:val="26"/>
                    <w:szCs w:val="26"/>
                  </w:rPr>
                  <m:t>Y</m:t>
                </m:r>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(X)=Xβ+ϵ</m:t>
                </m:r>
                <m:r>
                  <m:rPr>
                    <m:sty m:val="p"/>
                  </m:rPr>
                  <w:rPr>
                    <w:rFonts w:ascii="Calibri Light" w:eastAsiaTheme="minorEastAsia" w:hAnsi="Calibri Light" w:cs="Calibri Light"/>
                    <w:sz w:val="26"/>
                    <w:szCs w:val="26"/>
                  </w:rPr>
                  <w:br/>
                </m:r>
              </m:oMath>
              <m:oMath>
                <m:acc>
                  <m:accPr>
                    <m:ctrlPr>
                      <w:rPr>
                        <w:rFonts w:ascii="Cambria Math" w:hAnsi="Cambria Math"/>
                        <w:i/>
                        <w:sz w:val="26"/>
                        <w:szCs w:val="26"/>
                      </w:rPr>
                    </m:ctrlPr>
                  </m:accPr>
                  <m:e>
                    <m:r>
                      <w:rPr>
                        <w:rFonts w:ascii="Cambria Math" w:hAnsi="Cambria Math"/>
                        <w:sz w:val="26"/>
                        <w:szCs w:val="26"/>
                      </w:rPr>
                      <m:t>Y</m:t>
                    </m:r>
                  </m:e>
                </m:acc>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m:t>
                </m:r>
              </m:oMath>
            </m:oMathPara>
          </w:p>
        </w:tc>
        <w:tc>
          <w:tcPr>
            <w:tcW w:w="350" w:type="pct"/>
          </w:tcPr>
          <w:p w14:paraId="66EB0D2D" w14:textId="77777777" w:rsidR="00920F17" w:rsidRDefault="00920F17" w:rsidP="00527900">
            <w:pPr>
              <w:jc w:val="right"/>
            </w:pPr>
          </w:p>
          <w:p w14:paraId="72555745" w14:textId="77777777" w:rsidR="00920F17" w:rsidRDefault="00920F17" w:rsidP="00527900">
            <w:pPr>
              <w:jc w:val="right"/>
            </w:pPr>
            <w:r>
              <w:t xml:space="preserve"> </w:t>
            </w:r>
          </w:p>
          <w:p w14:paraId="626560D8" w14:textId="2878BD45" w:rsidR="00920F17" w:rsidRDefault="00920F17" w:rsidP="00527900">
            <w:pPr>
              <w:jc w:val="right"/>
            </w:pPr>
          </w:p>
        </w:tc>
      </w:tr>
    </w:tbl>
    <w:p w14:paraId="17DAF583" w14:textId="77C1924E" w:rsidR="00AB540A" w:rsidRDefault="00AB540A" w:rsidP="000847F7">
      <w:r>
        <w:t>Where:</w:t>
      </w:r>
    </w:p>
    <w:p w14:paraId="15085B8E" w14:textId="51914725" w:rsidR="000847F7" w:rsidRDefault="00A07782" w:rsidP="000847F7">
      <w:pPr>
        <w:pStyle w:val="ListParagraph"/>
        <w:numPr>
          <w:ilvl w:val="0"/>
          <w:numId w:val="1"/>
        </w:numPr>
      </w:pPr>
      <m:oMath>
        <m:r>
          <w:rPr>
            <w:rFonts w:ascii="Cambria Math" w:hAnsi="Cambria Math"/>
            <w:sz w:val="26"/>
            <w:szCs w:val="26"/>
          </w:rPr>
          <m:t>X</m:t>
        </m:r>
      </m:oMath>
      <w:r w:rsidRPr="00AB540A">
        <w:rPr>
          <w:sz w:val="26"/>
          <w:szCs w:val="26"/>
        </w:rPr>
        <w:t xml:space="preserve"> </w:t>
      </w:r>
      <w:r w:rsidR="00DD362F">
        <w:t xml:space="preserve">denotes </w:t>
      </w:r>
      <w:r w:rsidR="000847F7">
        <w:t>the input regressors sampled from a standard normal distribution</w:t>
      </w:r>
      <w:r w:rsidR="000B61C4">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rsidR="000847F7">
        <w:t xml:space="preserve"> with</w:t>
      </w:r>
      <w:r w:rsidR="007E2CBF">
        <w:t xml:space="preserve"> </w:t>
      </w:r>
      <w:r w:rsidR="000847F7">
        <w:t>dimension</w:t>
      </w:r>
      <w:r w:rsidR="00BB7A04">
        <w:t>s</w:t>
      </w:r>
      <w:r w:rsidR="000847F7">
        <w:t xml:space="preserve"> </w:t>
      </w:r>
      <m:oMath>
        <m:r>
          <w:rPr>
            <w:rFonts w:ascii="Cambria Math" w:hAnsi="Cambria Math"/>
          </w:rPr>
          <m:t>N</m:t>
        </m:r>
        <m:r>
          <m:rPr>
            <m:sty m:val="p"/>
          </m:rPr>
          <w:rPr>
            <w:rFonts w:ascii="Cambria Math" w:hAnsi="Cambria Math"/>
          </w:rPr>
          <m:t>×</m:t>
        </m:r>
        <m:r>
          <w:rPr>
            <w:rFonts w:ascii="Cambria Math" w:hAnsi="Cambria Math"/>
          </w:rPr>
          <m:t>10</m:t>
        </m:r>
      </m:oMath>
      <w:r w:rsidR="000847F7">
        <w:t>.</w:t>
      </w:r>
    </w:p>
    <w:p w14:paraId="7CAD1BE4" w14:textId="74CF42D4" w:rsidR="000847F7" w:rsidRDefault="000558A3" w:rsidP="006F6CAE">
      <w:pPr>
        <w:pStyle w:val="ListParagraph"/>
        <w:numPr>
          <w:ilvl w:val="0"/>
          <w:numId w:val="1"/>
        </w:numPr>
      </w:pPr>
      <m:oMath>
        <m:r>
          <w:rPr>
            <w:rFonts w:ascii="Cambria Math" w:hAnsi="Cambria Math"/>
            <w:sz w:val="26"/>
            <w:szCs w:val="26"/>
          </w:rPr>
          <m:t>Y</m:t>
        </m:r>
      </m:oMath>
      <w:r w:rsidR="000847F7">
        <w:t xml:space="preserve"> </w:t>
      </w:r>
      <w:r w:rsidR="00DD362F">
        <w:t xml:space="preserve">denotes </w:t>
      </w:r>
      <w:r w:rsidR="000847F7">
        <w:t>the target variable sampled from a standard normal distribution</w:t>
      </w:r>
      <w:r>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with</w:t>
      </w:r>
      <w:r w:rsidR="007E2CBF">
        <w:t xml:space="preserve"> </w:t>
      </w:r>
      <w:r>
        <w:t>dimension</w:t>
      </w:r>
      <w:r w:rsidR="00BB7A04">
        <w:t>s</w:t>
      </w:r>
      <w:r>
        <w:t xml:space="preserve"> </w:t>
      </w:r>
      <m:oMath>
        <m:r>
          <w:rPr>
            <w:rFonts w:ascii="Cambria Math" w:hAnsi="Cambria Math"/>
          </w:rPr>
          <m:t>N</m:t>
        </m:r>
        <m:r>
          <m:rPr>
            <m:sty m:val="p"/>
          </m:rPr>
          <w:rPr>
            <w:rFonts w:ascii="Cambria Math" w:hAnsi="Cambria Math"/>
          </w:rPr>
          <m:t>×</m:t>
        </m:r>
        <m:r>
          <w:rPr>
            <w:rFonts w:ascii="Cambria Math" w:hAnsi="Cambria Math"/>
          </w:rPr>
          <m:t>1</m:t>
        </m:r>
      </m:oMath>
      <w:r>
        <w:t>.</w:t>
      </w:r>
    </w:p>
    <w:p w14:paraId="1813FAB5" w14:textId="68F5AD7F" w:rsidR="000847F7" w:rsidRDefault="00000000" w:rsidP="008A5CAA">
      <w:pPr>
        <w:pStyle w:val="ListParagraph"/>
        <w:numPr>
          <w:ilvl w:val="0"/>
          <w:numId w:val="1"/>
        </w:numPr>
      </w:pPr>
      <m:oMath>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oMath>
      <w:r w:rsidR="008A5CAA">
        <w:t xml:space="preserve"> and </w:t>
      </w:r>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oMath>
      <w:r w:rsidR="000847F7">
        <w:t xml:space="preserve"> are the input regressors and target variable in the training set</w:t>
      </w:r>
      <w:r w:rsidR="0017398B">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p>
    <w:p w14:paraId="4E5E4F9A" w14:textId="27A01FFC" w:rsidR="0068476A" w:rsidRDefault="00000000" w:rsidP="001A7300">
      <w:pPr>
        <w:pStyle w:val="ListParagraph"/>
        <w:numPr>
          <w:ilvl w:val="0"/>
          <w:numId w:val="1"/>
        </w:numPr>
      </w:pPr>
      <m:oMath>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oMath>
      <w:r w:rsidR="0077003B">
        <w:t xml:space="preserve"> </w:t>
      </w:r>
      <w:r w:rsidR="000847F7">
        <w:t xml:space="preserve"> </w:t>
      </w:r>
      <w:r w:rsidR="003A7422">
        <w:t>denotes</w:t>
      </w:r>
      <w:r w:rsidR="000847F7">
        <w:t xml:space="preserve"> the input regressors in the test set</w:t>
      </w:r>
      <w:r w:rsidR="0068476A">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0847F7">
        <w:t xml:space="preserve"> </w:t>
      </w:r>
    </w:p>
    <w:p w14:paraId="5C0692FB" w14:textId="21A6A204" w:rsidR="00854BE9" w:rsidRDefault="00000000" w:rsidP="00E77EB1">
      <w:pPr>
        <w:pStyle w:val="ListParagraph"/>
        <w:numPr>
          <w:ilvl w:val="0"/>
          <w:numId w:val="1"/>
        </w:numPr>
      </w:pPr>
      <m:oMath>
        <m:sSub>
          <m:sSubPr>
            <m:ctrlPr>
              <w:rPr>
                <w:rFonts w:ascii="Cambria Math" w:hAnsi="Cambria Math"/>
              </w:rPr>
            </m:ctrlPr>
          </m:sSubPr>
          <m:e>
            <m:acc>
              <m:accPr>
                <m:ctrlPr>
                  <w:rPr>
                    <w:rFonts w:ascii="Cambria Math" w:hAnsi="Cambria Math"/>
                    <w:i/>
                    <w:sz w:val="26"/>
                    <w:szCs w:val="26"/>
                  </w:rPr>
                </m:ctrlPr>
              </m:accPr>
              <m:e>
                <m:r>
                  <w:rPr>
                    <w:rFonts w:ascii="Cambria Math" w:hAnsi="Cambria Math"/>
                    <w:sz w:val="26"/>
                    <w:szCs w:val="26"/>
                  </w:rPr>
                  <m:t>Y</m:t>
                </m:r>
              </m:e>
            </m:acc>
          </m:e>
          <m:sub>
            <m:r>
              <m:rPr>
                <m:nor/>
              </m:rPr>
              <w:rPr>
                <w:rFonts w:ascii="Cambria Math" w:hAnsi="Cambria Math"/>
                <w:i/>
                <w:sz w:val="26"/>
                <w:szCs w:val="26"/>
              </w:rPr>
              <m:t>k</m:t>
            </m:r>
          </m:sub>
        </m:sSub>
      </m:oMath>
      <w:r w:rsidR="000847F7">
        <w:t xml:space="preserve"> </w:t>
      </w:r>
      <w:r w:rsidR="004F6F31">
        <w:t xml:space="preserve"> </w:t>
      </w:r>
      <w:r w:rsidR="003A7422">
        <w:t xml:space="preserve">denotes </w:t>
      </w:r>
      <w:r w:rsidR="000847F7">
        <w:t>the predicted target variable in the test set</w:t>
      </w:r>
      <w:r w:rsidR="00854BE9">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0847F7">
        <w:t xml:space="preserve"> </w:t>
      </w:r>
    </w:p>
    <w:p w14:paraId="1BC3BA6B" w14:textId="72498565" w:rsidR="00102DCC" w:rsidRDefault="00854BE9" w:rsidP="0010784A">
      <w:pPr>
        <w:pStyle w:val="ListParagraph"/>
        <w:numPr>
          <w:ilvl w:val="0"/>
          <w:numId w:val="1"/>
        </w:numPr>
      </w:pPr>
      <m:oMath>
        <m:r>
          <w:rPr>
            <w:rFonts w:ascii="Cambria Math" w:hAnsi="Cambria Math"/>
            <w:sz w:val="26"/>
            <w:szCs w:val="26"/>
          </w:rPr>
          <m:t>β</m:t>
        </m:r>
      </m:oMath>
      <w:r w:rsidR="000847F7">
        <w:t xml:space="preserve"> </w:t>
      </w:r>
      <w:r w:rsidR="009F41D5">
        <w:t xml:space="preserve">denotes </w:t>
      </w:r>
      <w:r w:rsidR="000847F7">
        <w:t xml:space="preserve">the estimated regression </w:t>
      </w:r>
      <w:r w:rsidR="003E582C">
        <w:t>coefficient</w:t>
      </w:r>
      <w:r w:rsidR="000847F7">
        <w:t xml:space="preserve"> </w:t>
      </w:r>
      <w:r w:rsidR="007E2CBF">
        <w:t>with dimension</w:t>
      </w:r>
      <w:r w:rsidR="00BB7A04">
        <w:t>s</w:t>
      </w:r>
      <w:r w:rsidR="007E2CBF">
        <w:t xml:space="preserve"> </w:t>
      </w:r>
      <m:oMath>
        <m:r>
          <m:rPr>
            <m:nor/>
          </m:rPr>
          <w:rPr>
            <w:rFonts w:ascii="Cambria Math" w:hAnsi="Cambria Math"/>
          </w:rPr>
          <m:t>10</m:t>
        </m:r>
        <m:r>
          <m:rPr>
            <m:sty m:val="p"/>
          </m:rPr>
          <w:rPr>
            <w:rFonts w:ascii="Cambria Math" w:hAnsi="Cambria Math"/>
          </w:rPr>
          <m:t>×</m:t>
        </m:r>
        <m:r>
          <w:rPr>
            <w:rFonts w:ascii="Cambria Math" w:hAnsi="Cambria Math"/>
          </w:rPr>
          <m:t>1</m:t>
        </m:r>
      </m:oMath>
    </w:p>
    <w:p w14:paraId="5880A891" w14:textId="5CFC855B" w:rsidR="000847F7" w:rsidRDefault="00102DCC" w:rsidP="00627314">
      <w:pPr>
        <w:pStyle w:val="ListParagraph"/>
        <w:numPr>
          <w:ilvl w:val="0"/>
          <w:numId w:val="1"/>
        </w:numPr>
      </w:pPr>
      <m:oMath>
        <m:r>
          <w:rPr>
            <w:rFonts w:ascii="Cambria Math" w:hAnsi="Cambria Math"/>
            <w:sz w:val="26"/>
            <w:szCs w:val="26"/>
          </w:rPr>
          <m:t>ϵ</m:t>
        </m:r>
      </m:oMath>
      <w:r>
        <w:t xml:space="preserve"> </w:t>
      </w:r>
      <w:r w:rsidR="009F41D5">
        <w:t xml:space="preserve">denotes </w:t>
      </w:r>
      <w:r w:rsidR="000847F7">
        <w:t xml:space="preserve">the error term assumed to be </w:t>
      </w:r>
      <w:r w:rsidR="007D3B19">
        <w:t>normally</w:t>
      </w:r>
      <w:r w:rsidR="000847F7">
        <w:t xml:space="preserve"> distributed</w:t>
      </w:r>
      <w:r w:rsidR="007D3B19">
        <w:t>.</w:t>
      </w:r>
    </w:p>
    <w:p w14:paraId="0AC0F55F" w14:textId="77777777" w:rsidR="001C457D" w:rsidRDefault="001C457D" w:rsidP="001C457D">
      <w:pPr>
        <w:ind w:firstLine="360"/>
      </w:pPr>
    </w:p>
    <w:p w14:paraId="7D996BB8" w14:textId="7B61AF26" w:rsidR="006B365A" w:rsidRPr="00733CC2" w:rsidRDefault="00BC5852" w:rsidP="00733CC2">
      <w:pPr>
        <w:ind w:firstLine="360"/>
        <w:rPr>
          <w:rFonts w:ascii="Segoe UI" w:eastAsia="Times New Roman" w:hAnsi="Segoe UI" w:cs="Segoe UI"/>
          <w:color w:val="FFFFFF"/>
          <w:kern w:val="0"/>
          <w14:ligatures w14:val="none"/>
        </w:rPr>
      </w:pPr>
      <w:r>
        <w:t xml:space="preserve">Estimated performance </w:t>
      </w:r>
      <m:oMath>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oMath>
      <w:r>
        <w:rPr>
          <w:color w:val="000000"/>
          <w:sz w:val="25"/>
          <w:szCs w:val="25"/>
        </w:rPr>
        <w:t xml:space="preserve"> </w:t>
      </w:r>
      <w:r w:rsidR="005F2351">
        <w:rPr>
          <w:color w:val="000000"/>
          <w:sz w:val="25"/>
          <w:szCs w:val="25"/>
        </w:rPr>
        <w:t>was</w:t>
      </w:r>
      <w:r>
        <w:rPr>
          <w:color w:val="000000"/>
          <w:sz w:val="25"/>
          <w:szCs w:val="25"/>
        </w:rPr>
        <w:t xml:space="preserve"> derived as previously detailed. To approximate true model performance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Pr>
          <w:color w:val="000000"/>
          <w:sz w:val="26"/>
          <w:szCs w:val="26"/>
        </w:rPr>
        <w:t xml:space="preserve">, a hundred unseen datasets </w:t>
      </w:r>
      <m:oMath>
        <m:sSup>
          <m:sSupPr>
            <m:ctrlPr>
              <w:rPr>
                <w:rFonts w:ascii="Cambria Math" w:hAnsi="Cambria Math"/>
                <w:i/>
                <w:color w:val="000000"/>
                <w:sz w:val="26"/>
                <w:szCs w:val="26"/>
              </w:rPr>
            </m:ctrlPr>
          </m:sSupPr>
          <m:e>
            <m:r>
              <m:rPr>
                <m:scr m:val="script"/>
              </m:rPr>
              <w:rPr>
                <w:rFonts w:ascii="Cambria Math" w:hAnsi="Cambria Math"/>
                <w:color w:val="000000"/>
                <w:sz w:val="26"/>
                <w:szCs w:val="26"/>
              </w:rPr>
              <m:t>D</m:t>
            </m:r>
          </m:e>
          <m:sup>
            <m:r>
              <w:rPr>
                <w:rFonts w:ascii="Cambria Math" w:hAnsi="Cambria Math"/>
                <w:color w:val="000000"/>
                <w:sz w:val="26"/>
                <w:szCs w:val="26"/>
              </w:rPr>
              <m:t>*</m:t>
            </m:r>
          </m:sup>
        </m:sSup>
      </m:oMath>
      <w:r>
        <w:rPr>
          <w:color w:val="000000"/>
          <w:sz w:val="26"/>
          <w:szCs w:val="26"/>
        </w:rPr>
        <w:t xml:space="preserve"> </w:t>
      </w:r>
      <w:r w:rsidR="005F2351">
        <w:rPr>
          <w:color w:val="000000"/>
          <w:sz w:val="26"/>
          <w:szCs w:val="26"/>
        </w:rPr>
        <w:t>were</w:t>
      </w:r>
      <w:r>
        <w:rPr>
          <w:color w:val="000000"/>
          <w:sz w:val="26"/>
          <w:szCs w:val="26"/>
        </w:rPr>
        <w:t xml:space="preserve"> </w:t>
      </w:r>
      <w:r w:rsidR="00371109">
        <w:rPr>
          <w:color w:val="000000"/>
          <w:sz w:val="26"/>
          <w:szCs w:val="26"/>
        </w:rPr>
        <w:t xml:space="preserve">generated identically to </w:t>
      </w:r>
      <m:oMath>
        <m:r>
          <m:rPr>
            <m:scr m:val="script"/>
          </m:rPr>
          <w:rPr>
            <w:rFonts w:ascii="Cambria Math" w:hAnsi="Cambria Math"/>
            <w:color w:val="000000"/>
            <w:sz w:val="26"/>
            <w:szCs w:val="26"/>
          </w:rPr>
          <m:t>D</m:t>
        </m:r>
      </m:oMath>
      <w:r w:rsidR="00371109">
        <w:rPr>
          <w:color w:val="000000"/>
          <w:sz w:val="26"/>
          <w:szCs w:val="26"/>
        </w:rPr>
        <w:t xml:space="preserve">, and </w:t>
      </w:r>
      <w:r w:rsidR="005F2351">
        <w:rPr>
          <w:color w:val="000000"/>
          <w:sz w:val="26"/>
          <w:szCs w:val="26"/>
        </w:rPr>
        <w:t xml:space="preserve">the </w:t>
      </w:r>
      <w:r w:rsidR="00371109">
        <w:rPr>
          <w:color w:val="000000"/>
          <w:sz w:val="26"/>
          <w:szCs w:val="26"/>
        </w:rPr>
        <w:t xml:space="preserve">performance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sidR="00371109">
        <w:rPr>
          <w:color w:val="000000"/>
          <w:sz w:val="26"/>
          <w:szCs w:val="26"/>
        </w:rPr>
        <w:t xml:space="preserve"> </w:t>
      </w:r>
      <w:r w:rsidR="005F2351">
        <w:rPr>
          <w:color w:val="000000"/>
          <w:sz w:val="26"/>
          <w:szCs w:val="26"/>
        </w:rPr>
        <w:t>was</w:t>
      </w:r>
      <w:r w:rsidR="00371109">
        <w:rPr>
          <w:color w:val="000000"/>
          <w:sz w:val="26"/>
          <w:szCs w:val="26"/>
        </w:rPr>
        <w:t xml:space="preserve"> estimated by averaging the performance metrics across all </w:t>
      </w:r>
      <m:oMath>
        <m:sSup>
          <m:sSupPr>
            <m:ctrlPr>
              <w:rPr>
                <w:rFonts w:ascii="Cambria Math" w:hAnsi="Cambria Math"/>
                <w:i/>
                <w:color w:val="000000"/>
                <w:sz w:val="26"/>
                <w:szCs w:val="26"/>
              </w:rPr>
            </m:ctrlPr>
          </m:sSupPr>
          <m:e>
            <m:r>
              <m:rPr>
                <m:scr m:val="script"/>
              </m:rPr>
              <w:rPr>
                <w:rFonts w:ascii="Cambria Math" w:hAnsi="Cambria Math"/>
                <w:color w:val="000000"/>
                <w:sz w:val="26"/>
                <w:szCs w:val="26"/>
              </w:rPr>
              <m:t>D</m:t>
            </m:r>
          </m:e>
          <m:sup>
            <m:r>
              <w:rPr>
                <w:rFonts w:ascii="Cambria Math" w:hAnsi="Cambria Math"/>
                <w:color w:val="000000"/>
                <w:sz w:val="26"/>
                <w:szCs w:val="26"/>
              </w:rPr>
              <m:t>*</m:t>
            </m:r>
          </m:sup>
        </m:sSup>
      </m:oMath>
      <w:r w:rsidR="00371109">
        <w:rPr>
          <w:color w:val="000000"/>
          <w:sz w:val="26"/>
          <w:szCs w:val="26"/>
        </w:rPr>
        <w:t xml:space="preserve">. The bias and variance of the validation are computed according to </w:t>
      </w:r>
      <w:r w:rsidR="00371109" w:rsidRPr="00E75588">
        <w:rPr>
          <w:b/>
          <w:bCs/>
        </w:rPr>
        <w:t>Equation (16)</w:t>
      </w:r>
      <w:r w:rsidR="00371109">
        <w:t xml:space="preserve"> and </w:t>
      </w:r>
      <w:r w:rsidR="00371109" w:rsidRPr="00E75588">
        <w:rPr>
          <w:b/>
          <w:bCs/>
        </w:rPr>
        <w:t>(17)</w:t>
      </w:r>
      <w:r w:rsidR="00371109">
        <w:t>, respectively.</w:t>
      </w:r>
    </w:p>
    <w:p w14:paraId="6D668E8C" w14:textId="35198B9B" w:rsidR="00D868D6" w:rsidRDefault="000847F7" w:rsidP="00D868D6">
      <w:pPr>
        <w:pStyle w:val="Heading3"/>
      </w:pPr>
      <w:r>
        <w:lastRenderedPageBreak/>
        <w:t>Results</w:t>
      </w:r>
    </w:p>
    <w:p w14:paraId="0C234762" w14:textId="00264035" w:rsidR="00D868D6" w:rsidRDefault="00D868D6" w:rsidP="002B4DBA">
      <w:pPr>
        <w:ind w:firstLine="720"/>
      </w:pPr>
      <w:r>
        <w:t>The simulation results, depicted in box plots (</w:t>
      </w:r>
      <w:r w:rsidRPr="002B4DBA">
        <w:rPr>
          <w:b/>
          <w:bCs/>
        </w:rPr>
        <w:t>Figure 5, 6</w:t>
      </w:r>
      <w:r>
        <w:t xml:space="preserve">), explored the validation bias and variance distribution. Figure 5 examines the bias alterations across various estimators and sample sizes. Independent of the estimator and metric, the bias diminishes with increasing sample sizes. The in-sample estimator consistently overestimates across all metrics and sample sizes, underscoring the necessity of </w:t>
      </w:r>
      <w:r w:rsidR="0046486B">
        <w:t>CV</w:t>
      </w:r>
      <w:r>
        <w:t xml:space="preserve"> for unbiased performance evaluation.</w:t>
      </w:r>
      <w:r w:rsidR="00C5613A">
        <w:t xml:space="preserve"> </w:t>
      </w:r>
      <w:r>
        <w:t xml:space="preserve">In CV estimators, although LOOCV is traditionally viewed as unbiased, it shows underestimation in model performance, especially when the metric is correlation coefficient (r). Comparatively, 2-, 5-, and 10-fold CV provide a more unbiased estimation than LOOCV for all sample sizes. However, for metrics like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or RMSE, LOOCV emerges as the least biased estimator. While K-fold CV exhibits higher bias than LOOCV, this difference dwindles when the sample size exceeds 500. Notably, 10-fold CV, contrary to expectations, demonstrates higher bias than 5-fold CV for small sample sizes (50 and 100) in the</w:t>
      </w:r>
      <w:r w:rsidR="001F1B0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metric, though this disparity also becomes insignificant at larger sample sizes.</w:t>
      </w:r>
    </w:p>
    <w:p w14:paraId="5EC18F70" w14:textId="77777777" w:rsidR="00C70B16" w:rsidRDefault="00C70B16" w:rsidP="002B4DBA">
      <w:pPr>
        <w:ind w:firstLine="720"/>
      </w:pPr>
    </w:p>
    <w:p w14:paraId="1F3A0DDE" w14:textId="77777777" w:rsidR="00C70B16" w:rsidRDefault="00C70B16" w:rsidP="00C70B16">
      <w:pPr>
        <w:keepNext/>
      </w:pPr>
      <w:r w:rsidRPr="00396EC8">
        <w:rPr>
          <w:noProof/>
        </w:rPr>
        <w:drawing>
          <wp:inline distT="0" distB="0" distL="0" distR="0" wp14:anchorId="6115468B" wp14:editId="08403DD5">
            <wp:extent cx="5943600" cy="2202815"/>
            <wp:effectExtent l="0" t="0" r="0" b="0"/>
            <wp:docPr id="11538095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09556" name="Picture 1" descr="A screenshot of a graph&#10;&#10;Description automatically generated"/>
                    <pic:cNvPicPr/>
                  </pic:nvPicPr>
                  <pic:blipFill>
                    <a:blip r:embed="rId13"/>
                    <a:stretch>
                      <a:fillRect/>
                    </a:stretch>
                  </pic:blipFill>
                  <pic:spPr>
                    <a:xfrm>
                      <a:off x="0" y="0"/>
                      <a:ext cx="5943600" cy="2202815"/>
                    </a:xfrm>
                    <a:prstGeom prst="rect">
                      <a:avLst/>
                    </a:prstGeom>
                  </pic:spPr>
                </pic:pic>
              </a:graphicData>
            </a:graphic>
          </wp:inline>
        </w:drawing>
      </w:r>
    </w:p>
    <w:p w14:paraId="1132B34D" w14:textId="199CD516" w:rsidR="00C70B16" w:rsidRDefault="00C70B16" w:rsidP="00C70B16">
      <w:pPr>
        <w:pStyle w:val="Caption"/>
      </w:pPr>
      <w:r w:rsidRPr="0014063A">
        <w:rPr>
          <w:b/>
          <w:bCs/>
        </w:rPr>
        <w:t xml:space="preserve">Figure </w:t>
      </w:r>
      <w:r w:rsidRPr="0014063A">
        <w:rPr>
          <w:b/>
          <w:bCs/>
        </w:rPr>
        <w:fldChar w:fldCharType="begin"/>
      </w:r>
      <w:r w:rsidRPr="0014063A">
        <w:rPr>
          <w:b/>
          <w:bCs/>
        </w:rPr>
        <w:instrText xml:space="preserve"> SEQ Figure \* ARABIC </w:instrText>
      </w:r>
      <w:r w:rsidRPr="0014063A">
        <w:rPr>
          <w:b/>
          <w:bCs/>
        </w:rPr>
        <w:fldChar w:fldCharType="separate"/>
      </w:r>
      <w:r w:rsidR="007A7577">
        <w:rPr>
          <w:b/>
          <w:bCs/>
          <w:noProof/>
        </w:rPr>
        <w:t>5</w:t>
      </w:r>
      <w:r w:rsidRPr="0014063A">
        <w:rPr>
          <w:b/>
          <w:bCs/>
        </w:rPr>
        <w:fldChar w:fldCharType="end"/>
      </w:r>
      <w:r w:rsidRPr="0014063A">
        <w:rPr>
          <w:b/>
          <w:bCs/>
        </w:rPr>
        <w:t>.</w:t>
      </w:r>
      <w:r>
        <w:rPr>
          <w:b/>
          <w:bCs/>
        </w:rPr>
        <w:t xml:space="preserve"> </w:t>
      </w:r>
      <w:r>
        <w:t xml:space="preserve">Simulation results of </w:t>
      </w:r>
      <w:r w:rsidRPr="00653740">
        <w:t xml:space="preserve">validation bias </w:t>
      </w:r>
      <w:r>
        <w:t>from 1000 sampling iterations. Multiple</w:t>
      </w:r>
      <w:r w:rsidRPr="00653740">
        <w:t xml:space="preserve"> performance estimators across different sample sizes</w:t>
      </w:r>
      <w:r>
        <w:t xml:space="preserve"> were color-coded</w:t>
      </w:r>
      <w:r w:rsidRPr="00653740">
        <w:t>. Three metrics</w:t>
      </w:r>
      <w:r>
        <w:t>: r</w:t>
      </w:r>
      <w:r w:rsidRPr="00653740">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rsidRPr="00653740">
        <w:t xml:space="preserve">and </w:t>
      </w:r>
      <w:r>
        <w:t>RMSE</w:t>
      </w:r>
      <w:r w:rsidRPr="00653740">
        <w:t xml:space="preserve">, </w:t>
      </w:r>
      <w:r>
        <w:t>were</w:t>
      </w:r>
      <w:r w:rsidRPr="00653740">
        <w:t xml:space="preserve"> displayed in </w:t>
      </w:r>
      <w:r>
        <w:t xml:space="preserve">the </w:t>
      </w:r>
      <w:r w:rsidRPr="00653740">
        <w:t>column facets.</w:t>
      </w:r>
    </w:p>
    <w:p w14:paraId="028BCDF2" w14:textId="77777777" w:rsidR="00C70B16" w:rsidRDefault="00C70B16" w:rsidP="002B4DBA">
      <w:pPr>
        <w:ind w:firstLine="720"/>
      </w:pPr>
    </w:p>
    <w:p w14:paraId="01857ECF" w14:textId="3D42977F" w:rsidR="00AB7546" w:rsidRDefault="00DE4746" w:rsidP="00C42568">
      <w:pPr>
        <w:ind w:firstLine="720"/>
      </w:pPr>
      <w:r w:rsidRPr="00DE4746">
        <w:t xml:space="preserve">Considering LOOCV’s singular data point testing, its validation variance is pertinent only for RMSE, which permits single data point evaluations. </w:t>
      </w:r>
      <w:r w:rsidRPr="00DE4746">
        <w:rPr>
          <w:b/>
          <w:bCs/>
        </w:rPr>
        <w:t>Figure 6</w:t>
      </w:r>
      <w:r w:rsidRPr="00DE4746">
        <w:t xml:space="preserve"> illustrates the bias and variance in RMSE across different performance estimators as a function of sample size</w:t>
      </w:r>
      <w:r>
        <w:t xml:space="preserve"> </w:t>
      </w:r>
      <m:oMath>
        <m:r>
          <w:rPr>
            <w:rFonts w:ascii="Cambria Math" w:hAnsi="Cambria Math"/>
          </w:rPr>
          <m:t>N</m:t>
        </m:r>
      </m:oMath>
      <w:r w:rsidRPr="00DE4746">
        <w:t xml:space="preserve">. Both bias and variance in RMSE decrease as sample size increases, aligning with the hypothesis. LOOCV provides the least biased estimation, while 2-fold CV exhibits the highest bias without significant reduction at larger sample sizes. However, biases across all estimators converge at a sample size of 500. In terms of validation variance, LOOCV consistently shows higher values than other estimators for all sample sizes. Additionally, a lower number of folds </w:t>
      </w:r>
      <m:oMath>
        <m:r>
          <w:rPr>
            <w:rFonts w:ascii="Cambria Math" w:hAnsi="Cambria Math"/>
          </w:rPr>
          <m:t>K</m:t>
        </m:r>
      </m:oMath>
      <w:r w:rsidRPr="00DE4746">
        <w:t xml:space="preserve"> correlates with reduced variance, which is also in line with the hypothesized trend.</w:t>
      </w:r>
    </w:p>
    <w:p w14:paraId="1D252A5A" w14:textId="77777777" w:rsidR="00C70B16" w:rsidRDefault="00C70B16" w:rsidP="00C42568">
      <w:pPr>
        <w:ind w:firstLine="720"/>
      </w:pPr>
    </w:p>
    <w:p w14:paraId="1F1F8630" w14:textId="77777777" w:rsidR="00C70B16" w:rsidRDefault="00C70B16" w:rsidP="00C42568">
      <w:pPr>
        <w:ind w:firstLine="720"/>
      </w:pPr>
    </w:p>
    <w:p w14:paraId="09451C90" w14:textId="77777777" w:rsidR="00C70B16" w:rsidRDefault="00C70B16" w:rsidP="00C42568">
      <w:pPr>
        <w:ind w:firstLine="720"/>
      </w:pPr>
    </w:p>
    <w:p w14:paraId="277BF5B1" w14:textId="77777777" w:rsidR="00C70B16" w:rsidRDefault="00C70B16" w:rsidP="00C42568">
      <w:pPr>
        <w:ind w:firstLine="720"/>
      </w:pPr>
    </w:p>
    <w:p w14:paraId="7A10EA63" w14:textId="77777777" w:rsidR="00C70B16" w:rsidRDefault="00C70B16" w:rsidP="00C42568">
      <w:pPr>
        <w:ind w:firstLine="720"/>
      </w:pPr>
    </w:p>
    <w:p w14:paraId="01DD261C" w14:textId="77777777" w:rsidR="00C70B16" w:rsidRDefault="00C70B16" w:rsidP="00C70B16">
      <w:pPr>
        <w:keepNext/>
      </w:pPr>
      <w:r w:rsidRPr="009063B6">
        <w:rPr>
          <w:noProof/>
        </w:rPr>
        <w:lastRenderedPageBreak/>
        <w:drawing>
          <wp:inline distT="0" distB="0" distL="0" distR="0" wp14:anchorId="5D8A130C" wp14:editId="150999F0">
            <wp:extent cx="5943600" cy="2585720"/>
            <wp:effectExtent l="0" t="0" r="0" b="5080"/>
            <wp:docPr id="1476197035"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035" name="Picture 1" descr="A comparison of a graph&#10;&#10;Description automatically generated with medium confidence"/>
                    <pic:cNvPicPr/>
                  </pic:nvPicPr>
                  <pic:blipFill>
                    <a:blip r:embed="rId14"/>
                    <a:stretch>
                      <a:fillRect/>
                    </a:stretch>
                  </pic:blipFill>
                  <pic:spPr>
                    <a:xfrm>
                      <a:off x="0" y="0"/>
                      <a:ext cx="5943600" cy="2585720"/>
                    </a:xfrm>
                    <a:prstGeom prst="rect">
                      <a:avLst/>
                    </a:prstGeom>
                  </pic:spPr>
                </pic:pic>
              </a:graphicData>
            </a:graphic>
          </wp:inline>
        </w:drawing>
      </w:r>
    </w:p>
    <w:p w14:paraId="1C0BA351" w14:textId="47E34684" w:rsidR="00C70B16" w:rsidRDefault="00C70B16" w:rsidP="00C70B16">
      <w:pPr>
        <w:pStyle w:val="Caption"/>
      </w:pPr>
      <w:r w:rsidRPr="00555290">
        <w:rPr>
          <w:b/>
          <w:bCs/>
        </w:rPr>
        <w:t xml:space="preserve">Figure </w:t>
      </w:r>
      <w:r w:rsidRPr="00555290">
        <w:rPr>
          <w:b/>
          <w:bCs/>
        </w:rPr>
        <w:fldChar w:fldCharType="begin"/>
      </w:r>
      <w:r w:rsidRPr="00555290">
        <w:rPr>
          <w:b/>
          <w:bCs/>
        </w:rPr>
        <w:instrText xml:space="preserve"> SEQ Figure \* ARABIC </w:instrText>
      </w:r>
      <w:r w:rsidRPr="00555290">
        <w:rPr>
          <w:b/>
          <w:bCs/>
        </w:rPr>
        <w:fldChar w:fldCharType="separate"/>
      </w:r>
      <w:r w:rsidR="007A7577">
        <w:rPr>
          <w:b/>
          <w:bCs/>
          <w:noProof/>
        </w:rPr>
        <w:t>6</w:t>
      </w:r>
      <w:r w:rsidRPr="00555290">
        <w:rPr>
          <w:b/>
          <w:bCs/>
        </w:rPr>
        <w:fldChar w:fldCharType="end"/>
      </w:r>
      <w:r>
        <w:t>. S</w:t>
      </w:r>
      <w:r w:rsidRPr="00555290">
        <w:t xml:space="preserve">imulation results of validation bias and variance from </w:t>
      </w:r>
      <w:r>
        <w:t>1000 sampling iterations. M</w:t>
      </w:r>
      <w:r w:rsidRPr="00555290">
        <w:t>ultiple performance estimators</w:t>
      </w:r>
      <w:r>
        <w:t xml:space="preserve"> across different sample sizes were color-coded</w:t>
      </w:r>
      <w:r w:rsidRPr="00555290">
        <w:t xml:space="preserve">. Only RMSE </w:t>
      </w:r>
      <w:r>
        <w:t>was</w:t>
      </w:r>
      <w:r w:rsidRPr="00555290">
        <w:t xml:space="preserve"> displayed. Bias and variance </w:t>
      </w:r>
      <w:r>
        <w:t>were listed</w:t>
      </w:r>
      <w:r w:rsidRPr="00555290">
        <w:t xml:space="preserve"> in the left and right facets, respectively.</w:t>
      </w:r>
    </w:p>
    <w:p w14:paraId="6D74AA75" w14:textId="096E37F2" w:rsidR="000847F7" w:rsidRDefault="00E11C73" w:rsidP="00091B5C">
      <w:pPr>
        <w:pStyle w:val="Heading3"/>
      </w:pPr>
      <w:r>
        <w:t xml:space="preserve">Section </w:t>
      </w:r>
      <w:r w:rsidR="00F30D90">
        <w:t>Conclusion</w:t>
      </w:r>
    </w:p>
    <w:p w14:paraId="17EF36CB" w14:textId="2ABD6FC3" w:rsidR="00A60FCC" w:rsidRDefault="006631E4" w:rsidP="00365D99">
      <w:pPr>
        <w:ind w:firstLine="720"/>
      </w:pPr>
      <w:r w:rsidRPr="006631E4">
        <w:t xml:space="preserve">In conclusion, when conducting model validation, it is crucial to consider the estimator and sample size, as they significantly influence </w:t>
      </w:r>
      <w:r w:rsidR="009C3A6B">
        <w:t xml:space="preserve">validation </w:t>
      </w:r>
      <w:r w:rsidR="001F7129">
        <w:t xml:space="preserve">reliability which can be decomposed </w:t>
      </w:r>
      <w:r w:rsidR="00A60A20">
        <w:t>into</w:t>
      </w:r>
      <w:r w:rsidR="001F7129">
        <w:t xml:space="preserve"> </w:t>
      </w:r>
      <w:r w:rsidRPr="006631E4">
        <w:t xml:space="preserve">bias and variance. Larger sample sizes generally lead to reduced bias and variance, enhancing the reliability of the validation process. For unbiased performance estimation, CV methods, such as K-fold CV and LOOCV, are preferable </w:t>
      </w:r>
      <w:r w:rsidR="00EC23DA">
        <w:t>to</w:t>
      </w:r>
      <w:r w:rsidRPr="006631E4">
        <w:t xml:space="preserve"> in-sample estimation. LOOCV often provides less biased estimations for certain metrics but can exhibit higher variance. It is also noteworthy that the number of folds in K-fold CV can affect bias and variance; thus, experimenting with different numbers of folds, especially in smaller sample sizes, can be beneficial. Ultimately, the selection of appropriate validation techniques should be tailored to the specific context of the dataset and the objectives of the modeling exercise, ensuring a robust and reliable assessment of model performance.</w:t>
      </w:r>
    </w:p>
    <w:p w14:paraId="0F9037E8" w14:textId="0A717067" w:rsidR="00365D99" w:rsidRDefault="00A60FCC" w:rsidP="00A60FCC">
      <w:pPr>
        <w:jc w:val="left"/>
      </w:pPr>
      <w:r>
        <w:br w:type="page"/>
      </w:r>
    </w:p>
    <w:p w14:paraId="378831F6" w14:textId="170E0C85" w:rsidR="00266CA8" w:rsidRDefault="00365D99" w:rsidP="00C51E4D">
      <w:pPr>
        <w:pStyle w:val="Heading2"/>
      </w:pPr>
      <w:r>
        <w:lastRenderedPageBreak/>
        <w:t xml:space="preserve">3. b </w:t>
      </w:r>
      <w:r w:rsidR="00697ADF">
        <w:t>Model Selection</w:t>
      </w:r>
    </w:p>
    <w:p w14:paraId="3FCC1DA7" w14:textId="3D701010" w:rsidR="00D86431" w:rsidRDefault="00697ADF" w:rsidP="00D86431">
      <w:pPr>
        <w:pStyle w:val="Heading3"/>
      </w:pPr>
      <w:r>
        <w:t xml:space="preserve">Hyperparameter </w:t>
      </w:r>
      <w:r w:rsidR="00DA7792">
        <w:t>T</w:t>
      </w:r>
      <w:r>
        <w:t xml:space="preserve">uning and </w:t>
      </w:r>
      <w:r w:rsidR="00DA7792">
        <w:t>F</w:t>
      </w:r>
      <w:r>
        <w:t>eature</w:t>
      </w:r>
      <w:r w:rsidR="00DA7792">
        <w:t xml:space="preserve"> S</w:t>
      </w:r>
      <w:r>
        <w:t>election</w:t>
      </w:r>
    </w:p>
    <w:p w14:paraId="754F8F82" w14:textId="660EFB47" w:rsidR="00C469F6" w:rsidRDefault="00D86431" w:rsidP="00D86431">
      <w:pPr>
        <w:ind w:firstLine="720"/>
      </w:pPr>
      <w:r>
        <w:t xml:space="preserve">Model selection becomes necessary when models are not entirely determined by the data alone. For example, in a regularized linear regression model such as </w:t>
      </w:r>
      <w:r w:rsidR="00CB044C">
        <w:t xml:space="preserve">a </w:t>
      </w:r>
      <w:r>
        <w:t>ridge regression</w:t>
      </w:r>
      <w:r w:rsidR="003C3B8E">
        <w:t xml:space="preserve"> </w:t>
      </w:r>
      <w:r w:rsidR="004963C6">
        <w:fldChar w:fldCharType="begin"/>
      </w:r>
      <w:r w:rsidR="00870EA5">
        <w:instrText xml:space="preserve"> ADDIN ZOTERO_ITEM CSL_CITATION {"citationID":"a1s85vbbges","properties":{"formattedCitation":"(Hoerl and Kennard, 1970)","plainCitation":"(Hoerl and Kennard, 1970)","noteIndex":0},"citationItems":[{"id":3730,"uris":["http://zotero.org/users/5933671/items/2EMT892N"],"itemData":{"id":3730,"type":"article-journal","abstract":"In multiple regression it is shown that parameter estimates based on minimum residual sum of squares have a high probability of being unsatisfactory, if not incorrect, if the predictio</w:instrText>
      </w:r>
      <w:r w:rsidR="00870EA5">
        <w:rPr>
          <w:rFonts w:hint="eastAsia"/>
        </w:rPr>
        <w:instrText>n vectors are not orthogonal. Proposed is an estimation procedure based on adding small positive quantities to the diagonal of X</w:instrText>
      </w:r>
      <w:r w:rsidR="00870EA5">
        <w:rPr>
          <w:rFonts w:hint="eastAsia"/>
        </w:rPr>
        <w:instrText>′</w:instrText>
      </w:r>
      <w:r w:rsidR="00870EA5">
        <w:rPr>
          <w:rFonts w:hint="eastAsia"/>
        </w:rPr>
        <w:instrText>X. Introduced is the ridge trace, a method for showing in two dimensions the effects of nonorthogonality. It is then shown how to augment X</w:instrText>
      </w:r>
      <w:r w:rsidR="00870EA5">
        <w:rPr>
          <w:rFonts w:hint="eastAsia"/>
        </w:rPr>
        <w:instrText>′</w:instrText>
      </w:r>
      <w:r w:rsidR="00870EA5">
        <w:rPr>
          <w:rFonts w:hint="eastAsia"/>
        </w:rPr>
        <w:instrText>X to obtain biased estimates with smaller mean square error.","container-title":"Technometrics","DOI":"10.2307/1267351","ISSN":"0040-1706","issue":"1","note":"publisher: [Taylor &amp; Francis, Ltd., American Statistical Association, American Soc</w:instrText>
      </w:r>
      <w:r w:rsidR="00870EA5">
        <w:instrText xml:space="preserve">iety for Quality]","page":"55-67","source":"JSTOR","title":"Ridge Regression: Biased Estimation for Nonorthogonal Problems","title-short":"Ridge Regression","volume":"12","author":[{"family":"Hoerl","given":"Arthur E."},{"family":"Kennard","given":"Robert W."}],"issued":{"date-parts":[["1970"]]}}}],"schema":"https://github.com/citation-style-language/schema/raw/master/csl-citation.json"} </w:instrText>
      </w:r>
      <w:r w:rsidR="004963C6">
        <w:fldChar w:fldCharType="separate"/>
      </w:r>
      <w:r w:rsidR="00870EA5" w:rsidRPr="00870EA5">
        <w:rPr>
          <w:kern w:val="0"/>
        </w:rPr>
        <w:t>(</w:t>
      </w:r>
      <w:proofErr w:type="spellStart"/>
      <w:r w:rsidR="00870EA5" w:rsidRPr="00870EA5">
        <w:rPr>
          <w:kern w:val="0"/>
        </w:rPr>
        <w:t>Hoerl</w:t>
      </w:r>
      <w:proofErr w:type="spellEnd"/>
      <w:r w:rsidR="00870EA5" w:rsidRPr="00870EA5">
        <w:rPr>
          <w:kern w:val="0"/>
        </w:rPr>
        <w:t xml:space="preserve"> and Kennard, 1970)</w:t>
      </w:r>
      <w:r w:rsidR="004963C6">
        <w:fldChar w:fldCharType="end"/>
      </w:r>
      <w:r>
        <w:t xml:space="preserve"> or the least absolute shrinkage and selection operator (</w:t>
      </w:r>
      <w:r w:rsidRPr="00CB044C">
        <w:rPr>
          <w:b/>
          <w:bCs/>
        </w:rPr>
        <w:t>LASSO</w:t>
      </w:r>
      <w:r>
        <w:t xml:space="preserve">) </w:t>
      </w:r>
      <w:r w:rsidR="004963C6">
        <w:fldChar w:fldCharType="begin"/>
      </w:r>
      <w:r w:rsidR="00870EA5">
        <w:instrText xml:space="preserve"> ADDIN ZOTERO_ITEM CSL_CITATION {"citationID":"a16m78bubdt","properties":{"formattedCitation":"(Tibshirani, 1996)","plainCitation":"(Tibshirani, 1996)","noteIndex":0},"citationItems":[{"id":3727,"uris":["http://zotero.org/users/5933671/items/5U6XRXXX"],"itemData":{"id":3727,"type":"article-journal","abstract":"SUMMARY\n            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 2517-6161","issue":"1","journalAbbreviation":"Journal of the Royal Statistical Society: Series B (Methodological)","language":"en","page":"267-288","source":"Semantic Scholar","title":"Regression Shrinkage and Selection Via the Lasso","volume":"58","author":[{"family":"Tibshirani","given":"Robert"}],"issued":{"date-parts":[["1996",1]]}}}],"schema":"https://github.com/citation-style-language/schema/raw/master/csl-citation.json"} </w:instrText>
      </w:r>
      <w:r w:rsidR="004963C6">
        <w:fldChar w:fldCharType="separate"/>
      </w:r>
      <w:r w:rsidR="00870EA5" w:rsidRPr="00870EA5">
        <w:rPr>
          <w:kern w:val="0"/>
        </w:rPr>
        <w:t>(</w:t>
      </w:r>
      <w:proofErr w:type="spellStart"/>
      <w:r w:rsidR="00870EA5" w:rsidRPr="00870EA5">
        <w:rPr>
          <w:kern w:val="0"/>
        </w:rPr>
        <w:t>Tibshirani</w:t>
      </w:r>
      <w:proofErr w:type="spellEnd"/>
      <w:r w:rsidR="00870EA5" w:rsidRPr="00870EA5">
        <w:rPr>
          <w:kern w:val="0"/>
        </w:rPr>
        <w:t>, 1996)</w:t>
      </w:r>
      <w:r w:rsidR="004963C6">
        <w:fldChar w:fldCharType="end"/>
      </w:r>
      <w:r>
        <w:t>,  it is essential to define a regularization parameter, λ, before fitting the model to the data. A larger λ value yields a more regularized model, which tends to reduce smaller coefficients to negligible values or zero. This approach helps in preventing overfitting noise in the training data. The loss functions for unregularized ordinary least squares (</w:t>
      </w:r>
      <w:r w:rsidRPr="00CB044C">
        <w:rPr>
          <w:b/>
          <w:bCs/>
        </w:rPr>
        <w:t>OLS</w:t>
      </w:r>
      <w:r>
        <w:t>), ridge regression, and LASSO regression are given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5826"/>
        <w:gridCol w:w="655"/>
      </w:tblGrid>
      <w:tr w:rsidR="00C469F6" w14:paraId="0F8462A0" w14:textId="77777777" w:rsidTr="00F7061C">
        <w:tc>
          <w:tcPr>
            <w:tcW w:w="1538" w:type="pct"/>
          </w:tcPr>
          <w:p w14:paraId="7FE502AE" w14:textId="77777777" w:rsidR="00C469F6" w:rsidRDefault="00C469F6" w:rsidP="00527900"/>
        </w:tc>
        <w:tc>
          <w:tcPr>
            <w:tcW w:w="3112" w:type="pct"/>
          </w:tcPr>
          <w:p w14:paraId="0FA4D79B" w14:textId="5326287A" w:rsidR="00C469F6" w:rsidRPr="00C469F6" w:rsidRDefault="00000000" w:rsidP="00C469F6">
            <w:pPr>
              <w:pStyle w:val="Body"/>
            </w:pPr>
            <m:oMathPara>
              <m:oMathParaPr>
                <m:jc m:val="left"/>
              </m:oMathParaPr>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OLS</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m:rPr>
                    <m:sty m:val="p"/>
                  </m:rP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ridge</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+λ </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j=1</m:t>
                        </m:r>
                      </m:lim>
                    </m:limLow>
                  </m:e>
                  <m:lim>
                    <m:r>
                      <w:rPr>
                        <w:rFonts w:ascii="Cambria Math" w:hAnsi="Cambria Math"/>
                      </w:rPr>
                      <m:t>p</m:t>
                    </m:r>
                  </m:lim>
                </m:limUp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β</m:t>
                    </m:r>
                  </m:e>
                  <m:sub>
                    <m:r>
                      <w:rPr>
                        <w:rFonts w:ascii="Cambria Math" w:hAnsi="Cambria Math"/>
                        <w:sz w:val="26"/>
                        <w:szCs w:val="26"/>
                      </w:rPr>
                      <m:t xml:space="preserve"> j</m:t>
                    </m:r>
                  </m:sub>
                  <m:sup>
                    <m:r>
                      <w:rPr>
                        <w:rFonts w:ascii="Cambria Math" w:hAnsi="Cambria Math"/>
                        <w:sz w:val="26"/>
                        <w:szCs w:val="26"/>
                      </w:rPr>
                      <m:t>2</m:t>
                    </m:r>
                  </m:sup>
                </m:sSubSup>
                <m:r>
                  <m:rPr>
                    <m:sty m:val="p"/>
                  </m:rP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LASSO</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+λ </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j=1</m:t>
                        </m:r>
                      </m:lim>
                    </m:limLow>
                  </m:e>
                  <m:lim>
                    <m:r>
                      <w:rPr>
                        <w:rFonts w:ascii="Cambria Math" w:hAnsi="Cambria Math"/>
                      </w:rPr>
                      <m:t>p</m:t>
                    </m:r>
                  </m:lim>
                </m:limUpp>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j</m:t>
                        </m:r>
                      </m:sub>
                    </m:sSub>
                  </m:e>
                </m:d>
              </m:oMath>
            </m:oMathPara>
          </w:p>
        </w:tc>
        <w:tc>
          <w:tcPr>
            <w:tcW w:w="350" w:type="pct"/>
          </w:tcPr>
          <w:p w14:paraId="03B538AF" w14:textId="408874AB" w:rsidR="00E724CC" w:rsidRDefault="00E724CC" w:rsidP="0056467D">
            <w:pPr>
              <w:spacing w:line="276" w:lineRule="auto"/>
              <w:jc w:val="right"/>
            </w:pPr>
            <w:r>
              <w:t>(</w:t>
            </w:r>
            <w:r>
              <w:fldChar w:fldCharType="begin"/>
            </w:r>
            <w:r>
              <w:instrText xml:space="preserve"> SEQ Equation \* ARABIC </w:instrText>
            </w:r>
            <w:r>
              <w:fldChar w:fldCharType="separate"/>
            </w:r>
            <w:r w:rsidR="007A7577">
              <w:rPr>
                <w:noProof/>
              </w:rPr>
              <w:t>19</w:t>
            </w:r>
            <w:r>
              <w:rPr>
                <w:noProof/>
              </w:rPr>
              <w:fldChar w:fldCharType="end"/>
            </w:r>
            <w:r>
              <w:t>)</w:t>
            </w:r>
          </w:p>
          <w:p w14:paraId="79447949" w14:textId="77777777" w:rsidR="0056467D" w:rsidRDefault="0056467D" w:rsidP="0056467D">
            <w:pPr>
              <w:spacing w:line="276" w:lineRule="auto"/>
              <w:jc w:val="right"/>
            </w:pPr>
          </w:p>
          <w:p w14:paraId="0AC0E553" w14:textId="5F1CCF1E" w:rsidR="0056467D" w:rsidRDefault="00E724CC" w:rsidP="0056467D">
            <w:pPr>
              <w:spacing w:line="276" w:lineRule="auto"/>
              <w:jc w:val="right"/>
            </w:pPr>
            <w:r>
              <w:t>(</w:t>
            </w:r>
            <w:r>
              <w:fldChar w:fldCharType="begin"/>
            </w:r>
            <w:r>
              <w:instrText xml:space="preserve"> SEQ Equation \* ARABIC </w:instrText>
            </w:r>
            <w:r>
              <w:fldChar w:fldCharType="separate"/>
            </w:r>
            <w:r w:rsidR="007A7577">
              <w:rPr>
                <w:noProof/>
              </w:rPr>
              <w:t>20</w:t>
            </w:r>
            <w:r>
              <w:rPr>
                <w:noProof/>
              </w:rPr>
              <w:fldChar w:fldCharType="end"/>
            </w:r>
            <w:r>
              <w:t>)</w:t>
            </w:r>
          </w:p>
          <w:p w14:paraId="3362381A" w14:textId="52EDE040" w:rsidR="00C469F6" w:rsidRDefault="00C469F6" w:rsidP="0056467D">
            <w:pPr>
              <w:spacing w:line="276" w:lineRule="auto"/>
              <w:jc w:val="right"/>
            </w:pPr>
            <w:r>
              <w:t xml:space="preserve"> </w:t>
            </w:r>
          </w:p>
          <w:p w14:paraId="5A0F1423" w14:textId="1154B0CD" w:rsidR="00C469F6" w:rsidRDefault="00C469F6" w:rsidP="0056467D">
            <w:pPr>
              <w:spacing w:line="276" w:lineRule="auto"/>
              <w:jc w:val="right"/>
            </w:pPr>
            <w:r>
              <w:t>(</w:t>
            </w:r>
            <w:r>
              <w:fldChar w:fldCharType="begin"/>
            </w:r>
            <w:r>
              <w:instrText xml:space="preserve"> SEQ Equation \* ARABIC </w:instrText>
            </w:r>
            <w:r>
              <w:fldChar w:fldCharType="separate"/>
            </w:r>
            <w:r w:rsidR="007A7577">
              <w:rPr>
                <w:noProof/>
              </w:rPr>
              <w:t>21</w:t>
            </w:r>
            <w:r>
              <w:rPr>
                <w:noProof/>
              </w:rPr>
              <w:fldChar w:fldCharType="end"/>
            </w:r>
            <w:r>
              <w:t>)</w:t>
            </w:r>
          </w:p>
        </w:tc>
      </w:tr>
    </w:tbl>
    <w:p w14:paraId="76261CA0" w14:textId="77777777" w:rsidR="00723B7B" w:rsidRDefault="00723B7B" w:rsidP="00CB044C"/>
    <w:p w14:paraId="0316D46C" w14:textId="359C08C1" w:rsidR="000637AC" w:rsidRDefault="00CB044C" w:rsidP="006D2AA3">
      <w:r>
        <w:t>Where</w:t>
      </w:r>
      <w:r w:rsidR="00092CED">
        <w:t xml:space="preserve"> </w:t>
      </w:r>
      <m:oMath>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oMath>
      <w:r>
        <w:t xml:space="preserve"> and</w:t>
      </w:r>
      <w:r w:rsidR="00092CED">
        <w:t xml:space="preserve"> </w:t>
      </w:r>
      <m:oMath>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oMath>
      <w:r>
        <w:t xml:space="preserve"> represent the</w:t>
      </w:r>
      <w:r w:rsidR="00092CED">
        <w:t xml:space="preserve"> i</w:t>
      </w:r>
      <w:r w:rsidR="00092CED" w:rsidRPr="00092CED">
        <w:rPr>
          <w:vertAlign w:val="superscript"/>
        </w:rPr>
        <w:t>th</w:t>
      </w:r>
      <w:r w:rsidR="00092CED">
        <w:t xml:space="preserve"> </w:t>
      </w:r>
      <w:r>
        <w:t xml:space="preserve">row of the design matrix </w:t>
      </w:r>
      <m:oMath>
        <m:r>
          <w:rPr>
            <w:rFonts w:ascii="Cambria Math" w:hAnsi="Cambria Math"/>
            <w:sz w:val="26"/>
            <w:szCs w:val="26"/>
          </w:rPr>
          <m:t>X</m:t>
        </m:r>
      </m:oMath>
      <w:r>
        <w:t xml:space="preserve"> and the response vector </w:t>
      </w:r>
      <m:oMath>
        <m:r>
          <w:rPr>
            <w:rFonts w:ascii="Cambria Math" w:hAnsi="Cambria Math"/>
            <w:sz w:val="26"/>
            <w:szCs w:val="26"/>
          </w:rPr>
          <m:t>Y</m:t>
        </m:r>
      </m:oMath>
      <w:r>
        <w:t>, respectively. The term</w:t>
      </w:r>
      <w:r w:rsidR="000D119A">
        <w:t xml:space="preserve"> </w:t>
      </w:r>
      <m:oMath>
        <m:r>
          <w:rPr>
            <w:rFonts w:ascii="Cambria Math" w:hAnsi="Cambria Math"/>
            <w:sz w:val="26"/>
            <w:szCs w:val="26"/>
          </w:rPr>
          <m:t>n</m:t>
        </m:r>
      </m:oMath>
      <w:r>
        <w:t xml:space="preserve"> denotes the sample size, and</w:t>
      </w:r>
      <w:r w:rsidR="000D119A">
        <w:t xml:space="preserve"> </w:t>
      </w:r>
      <m:oMath>
        <m:r>
          <w:rPr>
            <w:rFonts w:ascii="Cambria Math" w:hAnsi="Cambria Math"/>
            <w:sz w:val="26"/>
            <w:szCs w:val="26"/>
          </w:rPr>
          <m:t>β</m:t>
        </m:r>
      </m:oMath>
      <w:r>
        <w:t xml:space="preserve"> is the coefficient vector. All three models aim to find the optimal </w:t>
      </w:r>
      <m:oMath>
        <m:r>
          <w:rPr>
            <w:rFonts w:ascii="Cambria Math" w:hAnsi="Cambria Math"/>
            <w:sz w:val="26"/>
            <w:szCs w:val="26"/>
          </w:rPr>
          <m:t>β</m:t>
        </m:r>
      </m:oMath>
      <w:r w:rsidR="000D119A">
        <w:t xml:space="preserve"> </w:t>
      </w:r>
      <w:r>
        <w:t>that minimizes their respective loss function,</w:t>
      </w:r>
      <w:r w:rsidR="00723B7B">
        <w:t xml:space="preserve"> </w:t>
      </w:r>
      <m:oMath>
        <m:r>
          <m:rPr>
            <m:scr m:val="script"/>
          </m:rPr>
          <w:rPr>
            <w:rFonts w:ascii="Cambria Math" w:hAnsi="Cambria Math"/>
            <w:sz w:val="26"/>
            <w:szCs w:val="26"/>
          </w:rPr>
          <m:t>L</m:t>
        </m:r>
      </m:oMath>
      <w:r>
        <w:t xml:space="preserve">. In the regularized models (i.e., ridge and LASSO regression), the </w:t>
      </w:r>
      <w:r w:rsidR="005B25B4">
        <w:t xml:space="preserve">vector </w:t>
      </w:r>
      <w:r>
        <w:t xml:space="preserve">length of </w:t>
      </w:r>
      <m:oMath>
        <m:r>
          <w:rPr>
            <w:rFonts w:ascii="Cambria Math" w:hAnsi="Cambria Math"/>
            <w:sz w:val="26"/>
            <w:szCs w:val="26"/>
          </w:rPr>
          <m:t>β</m:t>
        </m:r>
      </m:oMath>
      <w:r>
        <w:t xml:space="preserve"> is penalized in the loss function.</w:t>
      </w:r>
      <w:r w:rsidR="006D2AA3">
        <w:t xml:space="preserve"> </w:t>
      </w:r>
    </w:p>
    <w:p w14:paraId="492376D4" w14:textId="79FB47B0" w:rsidR="00760331" w:rsidRPr="00760331" w:rsidRDefault="00760331" w:rsidP="000637AC">
      <w:pPr>
        <w:ind w:firstLine="720"/>
      </w:pPr>
      <w:r w:rsidRPr="00760331">
        <w:t xml:space="preserve">These pre-defined parameters, which influence model fitting and remain constant during the training process, are known as hyperparameters. Beyond regularized models, hyperparameters are crucial in other predictive models, enhancing flexibility and robustness. For example, in </w:t>
      </w:r>
      <w:r w:rsidR="009A4103">
        <w:t xml:space="preserve">the </w:t>
      </w:r>
      <w:r w:rsidR="00514EE9">
        <w:t>S</w:t>
      </w:r>
      <w:r w:rsidRPr="00760331">
        <w:t xml:space="preserve">upport </w:t>
      </w:r>
      <w:r w:rsidR="00514EE9">
        <w:t>V</w:t>
      </w:r>
      <w:r w:rsidRPr="00760331">
        <w:t xml:space="preserve">ector </w:t>
      </w:r>
      <w:r w:rsidR="00514EE9">
        <w:t>R</w:t>
      </w:r>
      <w:r w:rsidRPr="00760331">
        <w:t>egression (</w:t>
      </w:r>
      <w:r w:rsidRPr="00D63441">
        <w:rPr>
          <w:b/>
          <w:bCs/>
        </w:rPr>
        <w:t>SVR</w:t>
      </w:r>
      <w:r w:rsidRPr="00760331">
        <w:t>)</w:t>
      </w:r>
      <w:r w:rsidR="00961DFD">
        <w:t xml:space="preserve"> </w:t>
      </w:r>
      <w:r w:rsidR="00317E1C">
        <w:fldChar w:fldCharType="begin"/>
      </w:r>
      <w:r w:rsidR="00870EA5">
        <w:instrText xml:space="preserve"> ADDIN ZOTERO_ITEM CSL_CITATION {"citationID":"a1cpp7lhtp0","properties":{"formattedCitation":"(Drucker et al., 1996)","plainCitation":"(Drucker et al., 1996)","noteIndex":0},"citationItems":[{"id":3731,"uris":["http://zotero.org/users/5933671/items/WQVPEQRU"],"itemData":{"id":3731,"type":"paper-conference","abstract":"A new regression technique based on Vapnik's concept of support vectors is introduced. We compare support vector regression (SVR) with a committee regression technique (bagging) based on regression trees and ridge regression done in feature space. On the basis of these experiments, it is expected that SVR will have advantages in high dimensionality space because SVR optimization does not depend on the dimensionality of the input space.","collection-title":"NIPS'96","container-title":"Proceedings of the 9th International Conference on Neural Information Processing Systems","event-place":"Cambridge, MA, USA","page":"155–161","publisher":"MIT Press","publisher-place":"Cambridge, MA, USA","source":"ACM Digital Library","title":"Support vector regression machines","author":[{"family":"Drucker","given":"Harris"},{"family":"Burges","given":"Chris J. C."},{"family":"Kaufman","given":"Linda"},{"family":"Smola","given":"Alex"},{"family":"Vapnik","given":"Vladimir"}],"accessed":{"date-parts":[["2023",11,30]]},"issued":{"date-parts":[["1996",12,3]]}}}],"schema":"https://github.com/citation-style-language/schema/raw/master/csl-citation.json"} </w:instrText>
      </w:r>
      <w:r w:rsidR="00317E1C">
        <w:fldChar w:fldCharType="separate"/>
      </w:r>
      <w:r w:rsidR="00870EA5" w:rsidRPr="00870EA5">
        <w:rPr>
          <w:kern w:val="0"/>
        </w:rPr>
        <w:t>(Drucker et al., 1996)</w:t>
      </w:r>
      <w:r w:rsidR="00317E1C">
        <w:fldChar w:fldCharType="end"/>
      </w:r>
      <w:r w:rsidRPr="00760331">
        <w:t xml:space="preserve">, the regressors </w:t>
      </w:r>
      <m:oMath>
        <m:r>
          <w:rPr>
            <w:rFonts w:ascii="Cambria Math" w:hAnsi="Cambria Math"/>
            <w:sz w:val="26"/>
            <w:szCs w:val="26"/>
          </w:rPr>
          <m:t>X</m:t>
        </m:r>
      </m:oMath>
      <w:r w:rsidRPr="00760331">
        <w:t xml:space="preserve"> are projected onto a linear subspace to approximate the target variable </w:t>
      </w:r>
      <m:oMath>
        <m:r>
          <w:rPr>
            <w:rFonts w:ascii="Cambria Math" w:hAnsi="Cambria Math"/>
            <w:sz w:val="26"/>
            <w:szCs w:val="26"/>
          </w:rPr>
          <m:t>Y</m:t>
        </m:r>
      </m:oMath>
      <w:r w:rsidRPr="00760331">
        <w:t xml:space="preserve">. By choosing a suitable kernel function, which transforms the regressors into a non-linear space, as a hyperparameter, SVR can more effectively capture non-linear relationships, thus significantly improving model performance. Another hyperparameter example is the number of latent variables in </w:t>
      </w:r>
      <w:r w:rsidR="0076321B">
        <w:t xml:space="preserve">the </w:t>
      </w:r>
      <w:r w:rsidR="002F2C7B">
        <w:t>P</w:t>
      </w:r>
      <w:r w:rsidRPr="00760331">
        <w:t xml:space="preserve">artial </w:t>
      </w:r>
      <w:r w:rsidR="002F2C7B">
        <w:t>L</w:t>
      </w:r>
      <w:r w:rsidRPr="00760331">
        <w:t xml:space="preserve">east </w:t>
      </w:r>
      <w:r w:rsidR="002F2C7B">
        <w:t>S</w:t>
      </w:r>
      <w:r w:rsidRPr="00760331">
        <w:t>quare</w:t>
      </w:r>
      <w:r w:rsidR="00EE1780">
        <w:t xml:space="preserve"> </w:t>
      </w:r>
      <w:r w:rsidR="00EE1780" w:rsidRPr="00760331">
        <w:t>(</w:t>
      </w:r>
      <w:r w:rsidR="00EE1780" w:rsidRPr="00D63441">
        <w:rPr>
          <w:b/>
          <w:bCs/>
        </w:rPr>
        <w:t>PLS</w:t>
      </w:r>
      <w:r w:rsidR="00EE1780" w:rsidRPr="00760331">
        <w:t>)</w:t>
      </w:r>
      <w:r w:rsidRPr="00760331">
        <w:t xml:space="preserve"> </w:t>
      </w:r>
      <w:r w:rsidR="002F2C7B">
        <w:t>R</w:t>
      </w:r>
      <w:r w:rsidRPr="00760331">
        <w:t xml:space="preserve">egression </w:t>
      </w:r>
      <w:r w:rsidR="0076321B">
        <w:t xml:space="preserve"> </w:t>
      </w:r>
      <w:r w:rsidR="00FC08E3">
        <w:fldChar w:fldCharType="begin"/>
      </w:r>
      <w:r w:rsidR="00870EA5">
        <w:instrText xml:space="preserve"> ADDIN ZOTERO_ITEM CSL_CITATION {"citationID":"a1i47t45c13","properties":{"formattedCitation":"(Abdi, 2003)","plainCitation":"(Abdi, 2003)","noteIndex":0},"citationItems":[{"id":583,"uris":["http://zotero.org/users/5933671/items/KMB6ECHN"],"itemData":{"id":583,"type":"article-journal","container-title":"Encyclopedia of social sciences research methods","language":"en","page":"792-795","source":"Zotero","title":"Partial Least Square Regression PLS-Regression","author":[{"family":"Abdi","given":"Hervé"}],"issued":{"date-parts":[["2003"]]}}}],"schema":"https://github.com/citation-style-language/schema/raw/master/csl-citation.json"} </w:instrText>
      </w:r>
      <w:r w:rsidR="00FC08E3">
        <w:fldChar w:fldCharType="separate"/>
      </w:r>
      <w:r w:rsidR="00870EA5" w:rsidRPr="00870EA5">
        <w:rPr>
          <w:kern w:val="0"/>
        </w:rPr>
        <w:t>(Abdi, 2003)</w:t>
      </w:r>
      <w:r w:rsidR="00FC08E3">
        <w:fldChar w:fldCharType="end"/>
      </w:r>
      <w:r w:rsidRPr="00760331">
        <w:t xml:space="preserve">, which condenses the original regressors into a more manageable set of latent variables, reducing multicollinearity issues. </w:t>
      </w:r>
      <w:r w:rsidR="00A708A4">
        <w:t>Fewer</w:t>
      </w:r>
      <w:r w:rsidRPr="00760331">
        <w:t xml:space="preserve"> latent variables might lose significant information from the original regressors, while too many can lead to overfitting. Similarly, in </w:t>
      </w:r>
      <w:r w:rsidR="002F2C7B">
        <w:t>Random Forest</w:t>
      </w:r>
      <w:r w:rsidR="00FC08E3">
        <w:t xml:space="preserve"> </w:t>
      </w:r>
      <w:r w:rsidR="00FC08E3">
        <w:fldChar w:fldCharType="begin"/>
      </w:r>
      <w:r w:rsidR="00870EA5">
        <w:instrText xml:space="preserve"> ADDIN ZOTERO_ITEM CSL_CITATION {"citationID":"a1j9ve82h1t","properties":{"formattedCitation":"(Breiman, 2001)","plainCitation":"(Breiman, 2001)","noteIndex":0},"citationItems":[{"id":3733,"uris":["http://zotero.org/users/5933671/items/NB4KT2QJ"],"itemData":{"id":3733,"type":"article-journal","abstract":"Random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FC08E3">
        <w:fldChar w:fldCharType="separate"/>
      </w:r>
      <w:r w:rsidR="00870EA5" w:rsidRPr="00870EA5">
        <w:rPr>
          <w:kern w:val="0"/>
        </w:rPr>
        <w:t>(</w:t>
      </w:r>
      <w:proofErr w:type="spellStart"/>
      <w:r w:rsidR="00870EA5" w:rsidRPr="00870EA5">
        <w:rPr>
          <w:kern w:val="0"/>
        </w:rPr>
        <w:t>Breiman</w:t>
      </w:r>
      <w:proofErr w:type="spellEnd"/>
      <w:r w:rsidR="00870EA5" w:rsidRPr="00870EA5">
        <w:rPr>
          <w:kern w:val="0"/>
        </w:rPr>
        <w:t>, 2001)</w:t>
      </w:r>
      <w:r w:rsidR="00FC08E3">
        <w:fldChar w:fldCharType="end"/>
      </w:r>
      <w:r w:rsidRPr="00760331">
        <w:t xml:space="preserve">, hyperparameters </w:t>
      </w:r>
      <w:r w:rsidR="00B438A7">
        <w:t>such as</w:t>
      </w:r>
      <w:r w:rsidRPr="00760331">
        <w:t xml:space="preserve"> tree depth and the number of trees dictate model complexity. The same applies to the number of hidden layers and the size of filters in convolutional neural networks</w:t>
      </w:r>
      <w:r w:rsidR="00FB19E6">
        <w:t xml:space="preserve"> </w:t>
      </w:r>
      <w:r w:rsidR="00FB19E6">
        <w:fldChar w:fldCharType="begin"/>
      </w:r>
      <w:r w:rsidR="00870EA5">
        <w:instrText xml:space="preserve"> ADDIN ZOTERO_ITEM CSL_CITATION {"citationID":"a10c0gk1kqe","properties":{"formattedCitation":"(LeCun, 1989)","plainCitation":"(LeCun, 1989)","noteIndex":0},"citationItems":[{"id":3157,"uris":["http://zotero.org/users/5933671/items/AHCX9DFZ"],"itemData":{"id":3157,"type":"article-journal","title":"Backpropagation Applied to Handwritten Zip Code Recognition","author":[{"family":"LeCun","given":"Yann"}],"issued":{"date-parts":[["1989"]]}}}],"schema":"https://github.com/citation-style-language/schema/raw/master/csl-citation.json"} </w:instrText>
      </w:r>
      <w:r w:rsidR="00FB19E6">
        <w:fldChar w:fldCharType="separate"/>
      </w:r>
      <w:r w:rsidR="00870EA5" w:rsidRPr="00870EA5">
        <w:rPr>
          <w:kern w:val="0"/>
        </w:rPr>
        <w:t>(</w:t>
      </w:r>
      <w:proofErr w:type="spellStart"/>
      <w:r w:rsidR="00870EA5" w:rsidRPr="00870EA5">
        <w:rPr>
          <w:kern w:val="0"/>
        </w:rPr>
        <w:t>LeCun</w:t>
      </w:r>
      <w:proofErr w:type="spellEnd"/>
      <w:r w:rsidR="00870EA5" w:rsidRPr="00870EA5">
        <w:rPr>
          <w:kern w:val="0"/>
        </w:rPr>
        <w:t>, 1989)</w:t>
      </w:r>
      <w:r w:rsidR="00FB19E6">
        <w:fldChar w:fldCharType="end"/>
      </w:r>
      <w:r w:rsidRPr="00760331">
        <w:t xml:space="preserve">. All these examples highlight the fact that selecting the most suitable hyperparameters, </w:t>
      </w:r>
      <w:r w:rsidR="009B0CC0">
        <w:t>which i</w:t>
      </w:r>
      <w:r w:rsidR="001D23FA">
        <w:t xml:space="preserve">s known as </w:t>
      </w:r>
      <w:r w:rsidRPr="00760331">
        <w:t>hyperparameter tuning, is crucial for optimizing model performance.</w:t>
      </w:r>
    </w:p>
    <w:p w14:paraId="3E6DD380" w14:textId="525F6D60" w:rsidR="00760331" w:rsidRPr="00760331" w:rsidRDefault="00760331" w:rsidP="00280B72">
      <w:pPr>
        <w:ind w:firstLine="720"/>
      </w:pPr>
      <w:r w:rsidRPr="00760331">
        <w:t>Feature selection is another crucial aspect of model selection. This process involves fitting the model to a selected subset of the original features, particularly essential in high-dimensional data scenarios where the number of features exceeds the number of observations, leading to poor model generalization. For instance,</w:t>
      </w:r>
      <w:r w:rsidR="000143E1">
        <w:t xml:space="preserve"> </w:t>
      </w:r>
      <w:r w:rsidR="000143E1">
        <w:fldChar w:fldCharType="begin"/>
      </w:r>
      <w:r w:rsidR="00870EA5">
        <w:instrText xml:space="preserve"> ADDIN ZOTERO_ITEM CSL_CITATION {"citationID":"alosvrt7o6","properties":{"formattedCitation":"\\uldash{(Ghaffari et al., 2019)}","plainCitation":"(Ghaffari et al., 2019)","dontUpdate":true,"noteIndex":0},"citationItems":[{"id":3688,"uris":["http://zotero.org/users/5933671/items/IXIN5GMQ"],"itemData":{"id":3688,"type":"article-journal","abstract":"This study aimed to investigate the differences in the metabolic profiles in serum of dairy cows that were normal or overconditioned when dried off for elucidating the pathophysiological reasons for the increased health disturbances commonly associated with overconditioning. Fifteen weeks antepartum, 38 multiparous Holstein cows were allocated to either a high body condition (HBCS; n = 19) group or a normal body condition (NBCS; n = 19) group and were fed different diets until dry-off to amplify the difference. The groups were also stratified for comparable milk yields (NBCS: 10,361 ± 302 kg; HBCS: 10,315 ± 437 kg; mean ± standard deviation). At dry-off, the cows in the NBCS group (parity: 2.42 ± 1.84; body weight: 665 ± 64 kg) had a body condition score (BCS) &lt;3.5 and backfat thickness (BFT) &lt;1.2 cm, whereas the HBCS cows (parity: 3.37 ± 1.67; body weight: 720 ± 57 kg) had BCS &gt;3.75 and BFT &gt;1.4 cm. During the dry period and the subsequent lactation, both groups were fed identical diets but maintained the BCS and BFT differences. A targeted metabolomics (AbsoluteIDQ p180 kit, Biocrates Life Sciences AG, Innsbruck, Austria) approach was performed in serum samples collected on d −49, +3, +21, and +84 relative to calving for identifying and quantifying up to 188 metabolites from 6 different compound classes (acylcarnitines, AA, biogenic amines, glycerophospholipids, sphingolipids, and hexoses). The concentrations of 170 metabolites were above the limit of detection and could thus be used in this study. We used various machine learning (ML) algorithms (e.g., sequential minimal optimization, random forest, alternating decision tree, and naïve Bayes–updatable) to analyze the metabolome data sets. The performance of each algorithm was evaluated by a leave-one-out cross-validation method. The accuracy of classification by the ML algorithms was lowest on d 3 compared with the other time points. Various ML methods (partial least squares discriminant analysis, random forest, information gain ranking) were then performed to identify those metabolites that were contributing most significantly to discriminating the groups. On d 21 after parturition, 12 metabolites (acetylcarnitine, hexadecanoyl-carnitine, hydroxyhexadecenoyl-carnitine, octadecanoyl-carnitine, octadecenoyl-carnitine, hydroxybutyryl-carnitine, glycine, leucine, phosphatidylcholine-diacyl-C40:3, trans-4-hydroxyproline, carnosine, and creatinine) were identified in this way. Pathway enrichment analysis showed that branched-chain AA degradation (before calving) and mitochondrial β-oxidation of long-chain fatty acids along with fatty acid metabolism, purine metabolism, and alanine metabolism (after calving) were significantly enriched in HBCS compared with NBCS cows. Our results deepen the insights into the phenotype related to overconditioning from the preceding lactation and the pathophysiological sequelae such as increased lipolysis and ketogenesis and decreased feed intake.","container-title":"Journal of Dairy Science","DOI":"10.3168/jds.2019-17114","ISSN":"0022-0302","issue":"12","journalAbbreviation":"Journal of Dairy Science","page":"11561-11585","source":"ScienceDirect","title":"Metabolomics meets machine learning: Longitudinal metabolite profiling in serum of normal versus overconditioned cows and pathway analysis","title-short":"Metabolomics meets machine learning","volume":"102","author":[{"family":"Ghaffari","given":"Morteza H."},{"family":"Jahanbekam","given":"Amirhossein"},{"family":"Sadri","given":"Hassan"},{"family":"Schuh","given":"Katharina"},{"family":"Dusel","given":"Georg"},{"family":"Prehn","given":"Cornelia"},{"family":"Adamski","given":"Jerzy"},{"family":"Koch","given":"Christian"},{"family":"Sauerwein","given":"Helga"}],"issued":{"date-parts":[["2019",12,1]]}}}],"schema":"https://github.com/citation-style-language/schema/raw/master/csl-citation.json"} </w:instrText>
      </w:r>
      <w:r w:rsidR="000143E1">
        <w:fldChar w:fldCharType="separate"/>
      </w:r>
      <w:proofErr w:type="spellStart"/>
      <w:r w:rsidR="000143E1" w:rsidRPr="000143E1">
        <w:rPr>
          <w:kern w:val="0"/>
          <w:u w:val="dash"/>
        </w:rPr>
        <w:t>Ghaffari</w:t>
      </w:r>
      <w:proofErr w:type="spellEnd"/>
      <w:r w:rsidR="000143E1" w:rsidRPr="000143E1">
        <w:rPr>
          <w:kern w:val="0"/>
          <w:u w:val="dash"/>
        </w:rPr>
        <w:t xml:space="preserve"> et al., 2019</w:t>
      </w:r>
      <w:r w:rsidR="000143E1">
        <w:fldChar w:fldCharType="end"/>
      </w:r>
      <w:r w:rsidRPr="00760331">
        <w:t xml:space="preserve"> sought to predict health traits in 38 multiparous Holstein cows using </w:t>
      </w:r>
      <w:r w:rsidR="00294CE5">
        <w:t xml:space="preserve">a </w:t>
      </w:r>
      <w:r w:rsidRPr="00760331">
        <w:t xml:space="preserve">metabolite profiling strategy. Out of 170 metabolites, only 12 </w:t>
      </w:r>
      <w:r w:rsidRPr="00760331">
        <w:lastRenderedPageBreak/>
        <w:t xml:space="preserve">were identified as effective discriminators between healthy and </w:t>
      </w:r>
      <w:r w:rsidR="00C83CE6">
        <w:t>over-conditioned</w:t>
      </w:r>
      <w:r w:rsidRPr="00760331">
        <w:t xml:space="preserve"> cows and were thus selected for the predictive model. Therefore, optimizing feature subsets is a vital model selection strategy that significantly affects model performance.</w:t>
      </w:r>
    </w:p>
    <w:p w14:paraId="5E7219D7" w14:textId="7E6907C2" w:rsidR="00237CF5" w:rsidRPr="00082ACF" w:rsidRDefault="00760331" w:rsidP="009A4103">
      <w:pPr>
        <w:ind w:firstLine="720"/>
      </w:pPr>
      <w:r w:rsidRPr="00760331">
        <w:t xml:space="preserve">Including </w:t>
      </w:r>
      <w:r w:rsidR="00DA6986">
        <w:t>the model selection process within the cross-validation</w:t>
      </w:r>
      <w:r w:rsidRPr="00760331">
        <w:t xml:space="preserve"> is </w:t>
      </w:r>
      <w:r w:rsidR="00EA5FE2">
        <w:t>essential</w:t>
      </w:r>
      <w:r w:rsidRPr="00760331">
        <w:t xml:space="preserve"> to avoid common pitfalls. The risk of inflated model performance arises when model selection is guided by results on the test dataset. Even if the chosen model is subjected to k-fold cross-validation afterward, its selection bias toward the test set can lead to </w:t>
      </w:r>
      <w:r w:rsidR="00DA6986">
        <w:t>overestimating</w:t>
      </w:r>
      <w:r w:rsidRPr="00760331">
        <w:t xml:space="preserve"> its efficacy. This issue has been highlighted in </w:t>
      </w:r>
      <w:r w:rsidR="001F505D">
        <w:t xml:space="preserve">statistical </w:t>
      </w:r>
      <w:r w:rsidR="00DA6986">
        <w:t>literature</w:t>
      </w:r>
      <w:r w:rsidR="001F505D">
        <w:t xml:space="preserve"> (such as </w:t>
      </w:r>
      <w:r w:rsidR="001F505D">
        <w:fldChar w:fldCharType="begin"/>
      </w:r>
      <w:r w:rsidR="00870EA5">
        <w:instrText xml:space="preserve"> ADDIN ZOTERO_ITEM CSL_CITATION {"citationID":"aibjojv8b0","properties":{"formattedCitation":"\\uldash{(Hastie et al., 2009)}","plainCitation":"(Hastie et al., 2009)","dontUpdate":true,"noteIndex":0},"citationItems":[{"id":3660,"uris":["http://zotero.org/users/5933671/items/2MKDDBUM"],"itemData":{"id":3660,"type":"book","collection-title":"Springer series in statistics","ISBN":"978-0-387-84884-6","note":"LCCN: 2008941148","publisher":"Springer","title":"The Elements of Statistical Learning: Data Mining, Inference, and Prediction","URL":"https://books.google.com/books?id=eBSgoAEACAAJ","author":[{"family":"Hastie","given":"T."},{"family":"Tibshirani","given":"R."},{"family":"Friedman","given":"J.H."}],"issued":{"date-parts":[["2009"]]}}}],"schema":"https://github.com/citation-style-language/schema/raw/master/csl-citation.json"} </w:instrText>
      </w:r>
      <w:r w:rsidR="001F505D">
        <w:fldChar w:fldCharType="separate"/>
      </w:r>
      <w:r w:rsidR="001F505D" w:rsidRPr="001F505D">
        <w:rPr>
          <w:kern w:val="0"/>
          <w:u w:val="dash"/>
        </w:rPr>
        <w:t>Hastie et al., 2009</w:t>
      </w:r>
      <w:r w:rsidR="001F505D">
        <w:fldChar w:fldCharType="end"/>
      </w:r>
      <w:r w:rsidR="001F505D">
        <w:t>)</w:t>
      </w:r>
      <w:r w:rsidRPr="00760331">
        <w:t xml:space="preserve">. A practical solution is to divide the dataset into training, validation, and test sets. The validation set is then used for model selection, ensuring the test set remains completely unused during the training phase, thereby providing a more accurate measure of model performance. For instance, the study by </w:t>
      </w:r>
      <w:proofErr w:type="spellStart"/>
      <w:r w:rsidRPr="00760331">
        <w:t>Rovere</w:t>
      </w:r>
      <w:proofErr w:type="spellEnd"/>
      <w:r w:rsidRPr="00760331">
        <w:t xml:space="preserve"> et al. exemplifies best practices in hyperparameter tuning and feature selection by employing an independent cross-validation step prior to assessing model performance. This approach enabled the precise selection of relevant spectral bands from the mid-infrared spectrum and the optimal number of latent dimensions in </w:t>
      </w:r>
      <w:r w:rsidR="0060618C">
        <w:t>PLS</w:t>
      </w:r>
      <w:r w:rsidRPr="00760331">
        <w:t xml:space="preserve"> with Bayesian regression for predicting the fatty acid profile in milk</w:t>
      </w:r>
      <w:r w:rsidR="00DA6986">
        <w:t xml:space="preserve"> </w:t>
      </w:r>
      <w:r w:rsidR="00DA6986">
        <w:fldChar w:fldCharType="begin"/>
      </w:r>
      <w:r w:rsidR="00870EA5">
        <w:instrText xml:space="preserve"> ADDIN ZOTERO_ITEM CSL_CITATION {"citationID":"avdr0iec4a","properties":{"formattedCitation":"(Rovere et al., 2021)","plainCitation":"(Rovere et al., 2021)","noteIndex":0},"citationItems":[{"id":3697,"uris":["http://zotero.org/users/5933671/items/YTGJ3HNB"],"itemData":{"id":3697,"type":"article-journal","abstract":"Fatty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J."}],"issued":{"date-parts":[["2021",10,1]]}}}],"schema":"https://github.com/citation-style-language/schema/raw/master/csl-citation.json"} </w:instrText>
      </w:r>
      <w:r w:rsidR="00DA6986">
        <w:fldChar w:fldCharType="separate"/>
      </w:r>
      <w:r w:rsidR="00870EA5" w:rsidRPr="00870EA5">
        <w:rPr>
          <w:kern w:val="0"/>
        </w:rPr>
        <w:t>(</w:t>
      </w:r>
      <w:proofErr w:type="spellStart"/>
      <w:r w:rsidR="00870EA5" w:rsidRPr="00870EA5">
        <w:rPr>
          <w:kern w:val="0"/>
        </w:rPr>
        <w:t>Rovere</w:t>
      </w:r>
      <w:proofErr w:type="spellEnd"/>
      <w:r w:rsidR="00870EA5" w:rsidRPr="00870EA5">
        <w:rPr>
          <w:kern w:val="0"/>
        </w:rPr>
        <w:t xml:space="preserve"> et al., 2021)</w:t>
      </w:r>
      <w:r w:rsidR="00DA6986">
        <w:fldChar w:fldCharType="end"/>
      </w:r>
      <w:r w:rsidRPr="00760331">
        <w:t>. Similarly, Becker et al. demonstrated a robust evaluation by using nested cross-validation loops; the inner loop conducted a grid search for the best hyperparameters in logistic regression, while the outer loop was designed to evaluate the performance of the resulting optimized model</w:t>
      </w:r>
      <w:r w:rsidR="00A217D3">
        <w:t xml:space="preserve"> </w:t>
      </w:r>
      <w:r w:rsidR="00A217D3">
        <w:fldChar w:fldCharType="begin"/>
      </w:r>
      <w:r w:rsidR="00870EA5">
        <w:instrText xml:space="preserve"> ADDIN ZOTERO_ITEM CSL_CITATION {"citationID":"a21ip0p3908","properties":{"formattedCitation":"(Becker et al., 2021)","plainCitation":"(Becker et al., 2021)","noteIndex":0},"citationItems":[{"id":3651,"uris":["http://zotero.org/users/5933671/items/994GFL3Q"],"itemData":{"id":3651,"type":"article-journal","abstract":"The objectives of the study were to use a heat stress scoring system to evaluate the severity of heat stress on dairy cows using different heat abatement techniques. The scoring system ranged from 1 to 4, where 1 = no heat stress; 2 = mild heat stress; 3 = severe heat stress; and 4 = moribund. The accuracy of the scoring system was then predicted using 3 machine learning techniques: logistic regression, Gaussian naïve Bayes, and random forest. To predict the accuracy of the scoring system, these techniques used factors including temperature-humidity index, respiration rate, lying time, lying bouts, total steps, drooling, open-mouth breathing, panting, location in shade or sprinklers, somatic cell score, reticulorumen temperature, hygiene body condition score, milk yield, and milk fat and protein percent. Three different treatments, namely, portable shade structure, portable polyvinyl chloride pipe sprinkler system, or control with no heat abatement, were considered, where each treatment was replicated 3 times with 3 second-trimester lactating cows. Results indicate that random forest outperformed the other 2 methods, with respect to both accuracy and precision, in predicting the sprinkler group's score. Both logistic regression and random forest were consistent in predicting scores for control, shade, and combined groups. The mean probability of predicting non-heat-stressed cows was highest for cows in the sprinkler group. Finally, the logistic regression method worked best for predicting heat-stressed cows in control, shade, and combined. The insights gained from these results could aid dairy producers to detect heat stress before it becomes severe, which could decrease the negative effects of heat stress, such as milk loss.","container-title":"Journal of Dairy Science","DOI":"10.3168/jds.2020-18653","ISSN":"0022-0302","issue":"1","journalAbbreviation":"Journal of Dairy Science","page":"501-524","source":"ScienceDirect","title":"Predicting dairy cattle heat stress using machine learning techniques","volume":"104","author":[{"family":"Becker","given":"C. A."},{"family":"Aghalari","given":"A."},{"family":"Marufuzzaman","given":"M."},{"family":"Stone","given":"A. E."}],"issued":{"date-parts":[["2021",1,1]]}}}],"schema":"https://github.com/citation-style-language/schema/raw/master/csl-citation.json"} </w:instrText>
      </w:r>
      <w:r w:rsidR="00A217D3">
        <w:fldChar w:fldCharType="separate"/>
      </w:r>
      <w:r w:rsidR="00870EA5" w:rsidRPr="00870EA5">
        <w:rPr>
          <w:kern w:val="0"/>
        </w:rPr>
        <w:t>(Becker et al., 2021)</w:t>
      </w:r>
      <w:r w:rsidR="00A217D3">
        <w:fldChar w:fldCharType="end"/>
      </w:r>
      <w:r w:rsidRPr="00760331">
        <w:t xml:space="preserve">. Both examples underscore the importance of separating model selection from performance evaluation to ensure </w:t>
      </w:r>
      <w:r w:rsidR="00A217D3">
        <w:t xml:space="preserve">the </w:t>
      </w:r>
      <w:r w:rsidRPr="00760331">
        <w:t>validity and reliability of the results.</w:t>
      </w:r>
    </w:p>
    <w:p w14:paraId="5C8C2023" w14:textId="226F5B5F" w:rsidR="008B3325" w:rsidRDefault="00697ADF" w:rsidP="008B3325">
      <w:pPr>
        <w:pStyle w:val="Heading3"/>
      </w:pPr>
      <w:r>
        <w:t xml:space="preserve">Simulation Objectives and </w:t>
      </w:r>
      <w:r w:rsidRPr="00091B5C">
        <w:t>Hypothesis</w:t>
      </w:r>
    </w:p>
    <w:p w14:paraId="64AC3E45" w14:textId="51F934FB" w:rsidR="00B86E88" w:rsidRDefault="008B3325" w:rsidP="00B86E88">
      <w:pPr>
        <w:ind w:firstLine="720"/>
      </w:pPr>
      <w:r>
        <w:t xml:space="preserve">The objective of this simulation study is to examine the effect of improper model selection implementation on validation bias. The focus will be on the model selection procedures of feature selection and hyperparameter tuning. The study hypothesizes that utilizing the test set inappropriately during any </w:t>
      </w:r>
      <w:r w:rsidR="003B1300">
        <w:t>model selection stage</w:t>
      </w:r>
      <w:r>
        <w:t xml:space="preserve"> will lead to a significant overestimation of model performance.</w:t>
      </w:r>
    </w:p>
    <w:p w14:paraId="38215820" w14:textId="27FCD905" w:rsidR="00B86E88" w:rsidRPr="00B86E88" w:rsidRDefault="00B86E88" w:rsidP="00B86E88">
      <w:pPr>
        <w:pStyle w:val="Heading3"/>
      </w:pPr>
      <w:r>
        <w:t>Simulation Design</w:t>
      </w:r>
    </w:p>
    <w:p w14:paraId="2687BE1B" w14:textId="53C6248F" w:rsidR="00A407E4" w:rsidRDefault="00B86E88" w:rsidP="00D87DB2">
      <w:pPr>
        <w:ind w:firstLine="720"/>
      </w:pPr>
      <w:r w:rsidRPr="00B86E88">
        <w:t xml:space="preserve">This study simulated a regression task using </w:t>
      </w:r>
      <w:r w:rsidR="007E32C8">
        <w:t>an</w:t>
      </w:r>
      <w:r w:rsidRPr="00B86E88">
        <w:t xml:space="preserve"> </w:t>
      </w:r>
      <w:r w:rsidR="00B378B8">
        <w:t>SVR</w:t>
      </w:r>
      <w:r w:rsidRPr="00B86E88">
        <w:t xml:space="preserve"> model, which utilized various kernel functions to project a subset of features, </w:t>
      </w:r>
      <m:oMath>
        <m:r>
          <w:rPr>
            <w:rFonts w:ascii="Cambria Math" w:hAnsi="Cambria Math"/>
            <w:sz w:val="26"/>
            <w:szCs w:val="26"/>
          </w:rPr>
          <m:t>X</m:t>
        </m:r>
      </m:oMath>
      <w:r w:rsidRPr="00B86E88">
        <w:t xml:space="preserve">, to predict a target variable, </w:t>
      </w:r>
      <m:oMath>
        <m:r>
          <w:rPr>
            <w:rFonts w:ascii="Cambria Math" w:hAnsi="Cambria Math"/>
            <w:sz w:val="26"/>
            <w:szCs w:val="26"/>
          </w:rPr>
          <m:t>Y</m:t>
        </m:r>
      </m:oMath>
      <w:r w:rsidRPr="00B86E88">
        <w:t xml:space="preserve">. Both </w:t>
      </w:r>
      <m:oMath>
        <m:r>
          <w:rPr>
            <w:rFonts w:ascii="Cambria Math" w:hAnsi="Cambria Math"/>
            <w:sz w:val="26"/>
            <w:szCs w:val="26"/>
          </w:rPr>
          <m:t>X</m:t>
        </m:r>
      </m:oMath>
      <w:r w:rsidRPr="00B86E88">
        <w:t xml:space="preserve"> and </w:t>
      </w:r>
      <m:oMath>
        <m:r>
          <w:rPr>
            <w:rFonts w:ascii="Cambria Math" w:hAnsi="Cambria Math"/>
            <w:sz w:val="26"/>
            <w:szCs w:val="26"/>
          </w:rPr>
          <m:t>Y</m:t>
        </m:r>
      </m:oMath>
      <w:r w:rsidR="007E32C8" w:rsidRPr="00B86E88">
        <w:t xml:space="preserve"> </w:t>
      </w:r>
      <w:r w:rsidRPr="00B86E88">
        <w:t>are drawn from a normal distribution</w:t>
      </w:r>
      <w:r w:rsidR="005246A0">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rsidRPr="00B86E88">
        <w:t xml:space="preserve"> to establish a baseline null correlation (performance</w:t>
      </w:r>
      <w:r w:rsidR="00B378B8" w:rsidRPr="00B378B8">
        <w:rPr>
          <w:rFonts w:ascii="Cambria Math" w:hAnsi="Cambria Math"/>
          <w:i/>
          <w:sz w:val="26"/>
          <w:szCs w:val="26"/>
        </w:rPr>
        <w:t xml:space="preserve"> </w:t>
      </w:r>
      <m:oMath>
        <m:r>
          <w:rPr>
            <w:rFonts w:ascii="Cambria Math" w:hAnsi="Cambria Math"/>
            <w:sz w:val="26"/>
            <w:szCs w:val="26"/>
          </w:rPr>
          <m:t>r=0</m:t>
        </m:r>
      </m:oMath>
      <w:r w:rsidRPr="00B86E88">
        <w:t>) for assessing validation bias. This study set the sample size and number of features at 100 and 1000, respectively.</w:t>
      </w:r>
      <w:r w:rsidR="00D87DB2">
        <w:t xml:space="preserve"> </w:t>
      </w:r>
      <w:r w:rsidRPr="00B86E88">
        <w:t xml:space="preserve">Feature selection is executed by choosing the top 50 features that correlate most strongly with </w:t>
      </w:r>
      <m:oMath>
        <m:r>
          <w:rPr>
            <w:rFonts w:ascii="Cambria Math" w:hAnsi="Cambria Math"/>
            <w:sz w:val="26"/>
            <w:szCs w:val="26"/>
          </w:rPr>
          <m:t>Y</m:t>
        </m:r>
      </m:oMath>
      <w:r w:rsidRPr="00B86E88">
        <w:t>. For hyperparameter tuning, four kernel functions were evaluated: linear, polynomial, radial basis function, and sigmoid.</w:t>
      </w:r>
    </w:p>
    <w:p w14:paraId="24D2476F" w14:textId="71FEA4F9" w:rsidR="00A407E4" w:rsidRDefault="00B86E88" w:rsidP="00A407E4">
      <w:pPr>
        <w:ind w:firstLine="720"/>
      </w:pPr>
      <w:r w:rsidRPr="00B86E88">
        <w:t xml:space="preserve">This study introduces notations </w:t>
      </w:r>
      <w:r w:rsidR="00D87DB2" w:rsidRPr="00D87DB2">
        <w:rPr>
          <w:b/>
          <w:bCs/>
        </w:rPr>
        <w:t>FS</w:t>
      </w:r>
      <w:r w:rsidRPr="00B86E88">
        <w:t xml:space="preserve"> for feature selection and </w:t>
      </w:r>
      <w:r w:rsidR="00D87DB2" w:rsidRPr="00D87DB2">
        <w:rPr>
          <w:b/>
          <w:bCs/>
        </w:rPr>
        <w:t>HT</w:t>
      </w:r>
      <w:r w:rsidRPr="00B86E88">
        <w:t xml:space="preserve"> for hyperparameter tuning, assigning a binary indicator (0 or 1) to denote incorrect (0) or correct (1) implementation of model selection. This yields four possible combinations of model selection strategies: </w:t>
      </w:r>
      <w:r w:rsidR="007F0FCC">
        <w:t>“FS=0; HT=0”, “FS=0; HT=1”, “FS=1; HT=0”, “FS=1; HT=1”</w:t>
      </w:r>
      <w:r w:rsidRPr="00B86E88">
        <w:t xml:space="preserve"> (</w:t>
      </w:r>
      <w:r w:rsidRPr="007F0FCC">
        <w:rPr>
          <w:b/>
          <w:bCs/>
        </w:rPr>
        <w:t>Figure 7</w:t>
      </w:r>
      <w:r w:rsidRPr="00B86E88">
        <w:t>).</w:t>
      </w:r>
      <w:r w:rsidR="0097777C">
        <w:t xml:space="preserve"> </w:t>
      </w:r>
      <w:r w:rsidRPr="00B86E88">
        <w:t xml:space="preserve">When FS=0, feature selection precedes cross-validation splitting. If FS=1, feature selection occurs within each fold of the training set during cross-validation. With hyperparameter tuning, a correct implementation </w:t>
      </w:r>
      <w:r w:rsidR="002A0379">
        <w:t>(</w:t>
      </w:r>
      <w:r w:rsidRPr="00B86E88">
        <w:t xml:space="preserve">HT=1) involves splitting the dataset into training (64%), validation (16%), and test (20%) sets. The model is trained and tuned using the training and validation sets, respectively, while the test set is reserved for a single </w:t>
      </w:r>
      <w:r w:rsidRPr="00B86E88">
        <w:lastRenderedPageBreak/>
        <w:t xml:space="preserve">evaluation of model performance. Conversely, with HT=0, only training (80%) and test (20%) sets are used, risking validation bias as the test set informs both training and performance reporting. A 5-fold cross-validation approach was deployed for all </w:t>
      </w:r>
      <w:r w:rsidR="006C24B9">
        <w:t>strategies</w:t>
      </w:r>
      <w:r w:rsidRPr="00B86E88">
        <w:t>.</w:t>
      </w:r>
    </w:p>
    <w:p w14:paraId="71495AE2" w14:textId="761872E2" w:rsidR="00A407E4" w:rsidRDefault="00B86E88" w:rsidP="00A407E4">
      <w:pPr>
        <w:ind w:firstLine="720"/>
      </w:pPr>
      <w:r w:rsidRPr="00B86E88">
        <w:t>Validation bias is measured as the discrepancy between the model selection-influenced performance estimate and the expected generalization performance</w:t>
      </w:r>
      <w:r w:rsidR="00B37984">
        <w:t xml:space="preserve"> (</w:t>
      </w:r>
      <m:oMath>
        <m:r>
          <w:rPr>
            <w:rFonts w:ascii="Cambria Math" w:hAnsi="Cambria Math"/>
            <w:sz w:val="26"/>
            <w:szCs w:val="26"/>
          </w:rPr>
          <m:t>r=0</m:t>
        </m:r>
      </m:oMath>
      <w:r w:rsidR="00B37984">
        <w:rPr>
          <w:sz w:val="26"/>
          <w:szCs w:val="26"/>
        </w:rPr>
        <w:t>)</w:t>
      </w:r>
      <w:r w:rsidR="00B37984">
        <w:t xml:space="preserve">, </w:t>
      </w:r>
      <w:r w:rsidRPr="00B86E88">
        <w:t xml:space="preserve">using the Pearson correlation coefficient between predicted and observed values. Over 1000 </w:t>
      </w:r>
      <w:r w:rsidR="001544EE">
        <w:t xml:space="preserve">sampling </w:t>
      </w:r>
      <w:r w:rsidRPr="00B86E88">
        <w:t xml:space="preserve">iterations, the study </w:t>
      </w:r>
      <w:r w:rsidR="0010092E" w:rsidRPr="00B86E88">
        <w:t>assesses</w:t>
      </w:r>
      <w:r w:rsidRPr="00B86E88">
        <w:t xml:space="preserve"> the distribution of validation bias. A t-test will determine whether the validation bias significantly deviates from zero.</w:t>
      </w:r>
    </w:p>
    <w:p w14:paraId="786BFE4D" w14:textId="77777777" w:rsidR="00C70B16" w:rsidRDefault="00C70B16" w:rsidP="00A407E4">
      <w:pPr>
        <w:ind w:firstLine="720"/>
      </w:pPr>
    </w:p>
    <w:p w14:paraId="33FB7FED" w14:textId="77777777" w:rsidR="00C70B16" w:rsidRDefault="00C70B16" w:rsidP="00C70B16">
      <w:r w:rsidRPr="004F512B">
        <w:rPr>
          <w:noProof/>
        </w:rPr>
        <w:drawing>
          <wp:inline distT="0" distB="0" distL="0" distR="0" wp14:anchorId="66C1D4C1" wp14:editId="350BEB5F">
            <wp:extent cx="5943600" cy="3062605"/>
            <wp:effectExtent l="0" t="0" r="0" b="0"/>
            <wp:docPr id="777557587"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7587" name="Picture 1" descr="A diagram of a program&#10;&#10;Description automatically generated with medium confidence"/>
                    <pic:cNvPicPr/>
                  </pic:nvPicPr>
                  <pic:blipFill>
                    <a:blip r:embed="rId15"/>
                    <a:stretch>
                      <a:fillRect/>
                    </a:stretch>
                  </pic:blipFill>
                  <pic:spPr>
                    <a:xfrm>
                      <a:off x="0" y="0"/>
                      <a:ext cx="5943600" cy="3062605"/>
                    </a:xfrm>
                    <a:prstGeom prst="rect">
                      <a:avLst/>
                    </a:prstGeom>
                  </pic:spPr>
                </pic:pic>
              </a:graphicData>
            </a:graphic>
          </wp:inline>
        </w:drawing>
      </w:r>
    </w:p>
    <w:p w14:paraId="52677A0B" w14:textId="4F4FDDC3" w:rsidR="00C70B16" w:rsidRPr="00435268" w:rsidRDefault="00C70B16" w:rsidP="00C70B16">
      <w:pPr>
        <w:pStyle w:val="Caption"/>
        <w:jc w:val="left"/>
      </w:pPr>
      <w:r w:rsidRPr="00924513">
        <w:rPr>
          <w:b/>
          <w:bCs/>
        </w:rPr>
        <w:t xml:space="preserve">Figure </w:t>
      </w:r>
      <w:r w:rsidRPr="00924513">
        <w:rPr>
          <w:b/>
          <w:bCs/>
        </w:rPr>
        <w:fldChar w:fldCharType="begin"/>
      </w:r>
      <w:r w:rsidRPr="00924513">
        <w:rPr>
          <w:b/>
          <w:bCs/>
        </w:rPr>
        <w:instrText xml:space="preserve"> SEQ Figure \* ARABIC </w:instrText>
      </w:r>
      <w:r w:rsidRPr="00924513">
        <w:rPr>
          <w:b/>
          <w:bCs/>
        </w:rPr>
        <w:fldChar w:fldCharType="separate"/>
      </w:r>
      <w:r w:rsidR="007A7577">
        <w:rPr>
          <w:b/>
          <w:bCs/>
          <w:noProof/>
        </w:rPr>
        <w:t>7</w:t>
      </w:r>
      <w:r w:rsidRPr="00924513">
        <w:rPr>
          <w:b/>
          <w:bCs/>
        </w:rPr>
        <w:fldChar w:fldCharType="end"/>
      </w:r>
      <w:r w:rsidRPr="00924513">
        <w:rPr>
          <w:b/>
          <w:bCs/>
        </w:rPr>
        <w:t>.</w:t>
      </w:r>
      <w:r>
        <w:t xml:space="preserve"> Workflow diagram illustrating four cross-validation strategies of feature selection (FS) and hyperparameter tuning (HT), where 0 denotes incorrect implementation and 1 indicates correct practice.</w:t>
      </w:r>
    </w:p>
    <w:p w14:paraId="0D57EC15" w14:textId="77777777" w:rsidR="00C70B16" w:rsidRDefault="00C70B16" w:rsidP="00A407E4">
      <w:pPr>
        <w:ind w:firstLine="720"/>
      </w:pPr>
    </w:p>
    <w:p w14:paraId="2377D12C" w14:textId="4C1BD5D6" w:rsidR="00697ADF" w:rsidRDefault="00697ADF" w:rsidP="00091B5C">
      <w:pPr>
        <w:pStyle w:val="Heading3"/>
      </w:pPr>
      <w:r>
        <w:t>Result</w:t>
      </w:r>
    </w:p>
    <w:p w14:paraId="07316A9D" w14:textId="098FB347" w:rsidR="007907D9" w:rsidRPr="007907D9" w:rsidRDefault="007907D9" w:rsidP="00E368C0">
      <w:pPr>
        <w:ind w:firstLine="720"/>
      </w:pPr>
      <w:r>
        <w:t>The validation bias was visualized using box plots (</w:t>
      </w:r>
      <w:r w:rsidRPr="007907D9">
        <w:rPr>
          <w:b/>
          <w:bCs/>
        </w:rPr>
        <w:t>Figure 8</w:t>
      </w:r>
      <w:r>
        <w:t>), with the feature selection factor (FS) on the x-axis and hyperparameter tuning (HT) distinguished by color — green for incorrect and yellow for correct implementation. The y-axis represents the validation bias as measured by the correlation coefficient</w:t>
      </w:r>
      <w:r w:rsidR="0035307D">
        <w:t>.</w:t>
      </w:r>
      <w:r w:rsidR="00A66974" w:rsidRPr="00A66974">
        <w:t xml:space="preserve"> </w:t>
      </w:r>
      <w:r w:rsidR="00A66974">
        <w:t xml:space="preserve">The results indicate a clear overestimation of model performance when feature selection is applied to the entire dataset, regardless of hyperparameter tuning. The median biases were 0.797 for </w:t>
      </w:r>
      <w:r w:rsidR="00246D29">
        <w:t>“</w:t>
      </w:r>
      <w:r w:rsidR="00A66974">
        <w:t>FS=0; HT=0</w:t>
      </w:r>
      <w:r w:rsidR="00246D29">
        <w:t>”</w:t>
      </w:r>
      <w:r w:rsidR="00A66974">
        <w:t xml:space="preserve"> and 0.761 for </w:t>
      </w:r>
      <w:r w:rsidR="00246D29">
        <w:t>“</w:t>
      </w:r>
      <w:r w:rsidR="00A66974">
        <w:t>FS=0; HT=1</w:t>
      </w:r>
      <w:r w:rsidR="00246D29">
        <w:t>”</w:t>
      </w:r>
      <w:r w:rsidR="00A66974">
        <w:t xml:space="preserve">. Moreover, inappropriate validation in hyperparameter tuning resulted in a significant bias (p-value &lt; 0.001) with a median of 0.113 for </w:t>
      </w:r>
      <w:r w:rsidR="00B70AFB">
        <w:t>“</w:t>
      </w:r>
      <w:r w:rsidR="00A66974">
        <w:t>FS=1; HT=0</w:t>
      </w:r>
      <w:r w:rsidR="00B70AFB">
        <w:t>”</w:t>
      </w:r>
      <w:r w:rsidR="00A66974">
        <w:t xml:space="preserve">. The only scenario without bias significantly occurred when both feature selection and hyperparameter tuning were correctly incorporated within the cross-validation process </w:t>
      </w:r>
      <w:r w:rsidR="00B70AFB">
        <w:t>“</w:t>
      </w:r>
      <w:r w:rsidR="00A66974">
        <w:t>FS=1; HT=1</w:t>
      </w:r>
      <w:r w:rsidR="00B70AFB">
        <w:t>”,</w:t>
      </w:r>
      <w:r w:rsidR="00A66974">
        <w:t xml:space="preserve"> yielding a median bias of -0.008. These findings align with the initial hypothesis and the prevailing literature, reinforcing that model selection must be integrated into the cross-validation workflow to prevent an overestimation of model performance.</w:t>
      </w:r>
    </w:p>
    <w:p w14:paraId="79D94BA5" w14:textId="77777777" w:rsidR="00C70B16" w:rsidRDefault="00C70B16" w:rsidP="00C70B16">
      <w:pPr>
        <w:keepNext/>
        <w:jc w:val="center"/>
      </w:pPr>
      <w:r w:rsidRPr="001E5B50">
        <w:rPr>
          <w:noProof/>
        </w:rPr>
        <w:lastRenderedPageBreak/>
        <w:drawing>
          <wp:inline distT="0" distB="0" distL="0" distR="0" wp14:anchorId="1F2CC8E1" wp14:editId="142323ED">
            <wp:extent cx="4871103" cy="3678828"/>
            <wp:effectExtent l="0" t="0" r="5715" b="4445"/>
            <wp:docPr id="338594681"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94681" name="Picture 1" descr="A graph with different colored squares&#10;&#10;Description automatically generated with medium confidence"/>
                    <pic:cNvPicPr/>
                  </pic:nvPicPr>
                  <pic:blipFill>
                    <a:blip r:embed="rId16"/>
                    <a:stretch>
                      <a:fillRect/>
                    </a:stretch>
                  </pic:blipFill>
                  <pic:spPr>
                    <a:xfrm>
                      <a:off x="0" y="0"/>
                      <a:ext cx="4884187" cy="3688710"/>
                    </a:xfrm>
                    <a:prstGeom prst="rect">
                      <a:avLst/>
                    </a:prstGeom>
                  </pic:spPr>
                </pic:pic>
              </a:graphicData>
            </a:graphic>
          </wp:inline>
        </w:drawing>
      </w:r>
    </w:p>
    <w:p w14:paraId="2037FE8A" w14:textId="654207CE" w:rsidR="00C70B16" w:rsidRDefault="00C70B16" w:rsidP="00C70B16">
      <w:pPr>
        <w:pStyle w:val="Caption"/>
        <w:jc w:val="center"/>
      </w:pPr>
      <w:r w:rsidRPr="00C42568">
        <w:rPr>
          <w:b/>
          <w:bCs/>
        </w:rPr>
        <w:t xml:space="preserve">Figure </w:t>
      </w:r>
      <w:r w:rsidRPr="00C42568">
        <w:rPr>
          <w:b/>
          <w:bCs/>
        </w:rPr>
        <w:fldChar w:fldCharType="begin"/>
      </w:r>
      <w:r w:rsidRPr="00C42568">
        <w:rPr>
          <w:b/>
          <w:bCs/>
        </w:rPr>
        <w:instrText xml:space="preserve"> SEQ Figure \* ARABIC </w:instrText>
      </w:r>
      <w:r w:rsidRPr="00C42568">
        <w:rPr>
          <w:b/>
          <w:bCs/>
        </w:rPr>
        <w:fldChar w:fldCharType="separate"/>
      </w:r>
      <w:r w:rsidR="007A7577">
        <w:rPr>
          <w:b/>
          <w:bCs/>
          <w:noProof/>
        </w:rPr>
        <w:t>8</w:t>
      </w:r>
      <w:r w:rsidRPr="00C42568">
        <w:rPr>
          <w:b/>
          <w:bCs/>
        </w:rPr>
        <w:fldChar w:fldCharType="end"/>
      </w:r>
      <w:r w:rsidRPr="00C42568">
        <w:rPr>
          <w:b/>
          <w:bCs/>
        </w:rPr>
        <w:t>.</w:t>
      </w:r>
      <w:r>
        <w:t xml:space="preserve"> The validation bias of the four model selection strategies</w:t>
      </w:r>
    </w:p>
    <w:p w14:paraId="560246A3" w14:textId="77777777" w:rsidR="00C70B16" w:rsidRDefault="00C70B16" w:rsidP="00333211">
      <w:pPr>
        <w:pStyle w:val="Heading3"/>
      </w:pPr>
    </w:p>
    <w:p w14:paraId="10A36050" w14:textId="3938E051" w:rsidR="00B7329E" w:rsidRDefault="00A60A20" w:rsidP="00333211">
      <w:pPr>
        <w:pStyle w:val="Heading3"/>
      </w:pPr>
      <w:r>
        <w:t xml:space="preserve">Section </w:t>
      </w:r>
      <w:r w:rsidR="001E4679">
        <w:t>Conclusion</w:t>
      </w:r>
    </w:p>
    <w:p w14:paraId="4BE8621C" w14:textId="43738946" w:rsidR="00C307AA" w:rsidRDefault="00B7329E" w:rsidP="00333211">
      <w:pPr>
        <w:pStyle w:val="NoSpacing"/>
        <w:ind w:firstLine="720"/>
      </w:pPr>
      <w:r>
        <w:t xml:space="preserve">The simulation results robustly confirm the hypothesis that improper implementation of model selection inflates performance estimates. Specifically, the validation bias is markedly high when feature selection precedes data splitting, with or without correct hyperparameter tuning. Although integrating feature selection within cross-validation folds mitigates this bias, incorrect hyperparameter </w:t>
      </w:r>
      <w:r w:rsidR="00187013">
        <w:t xml:space="preserve">tuning </w:t>
      </w:r>
      <w:r>
        <w:t xml:space="preserve">still significantly skews performance metrics. Notably, this overestimation </w:t>
      </w:r>
      <w:r w:rsidR="005C4260">
        <w:t xml:space="preserve">from the hyperparameter tuning </w:t>
      </w:r>
      <w:r>
        <w:t>is even more pronounced in complex models, such as neural network architectures that often entail over a million parameters. These findings underscore the necessity of meticulous cross-validation practices, particularly for feature selection and hyperparameter tuning, to ensure accurate performance estimations and generalizability in predictive modeling.</w:t>
      </w:r>
    </w:p>
    <w:p w14:paraId="6C16E020" w14:textId="45C9048F" w:rsidR="00C307AA" w:rsidRDefault="00C307AA">
      <w:pPr>
        <w:jc w:val="left"/>
      </w:pPr>
      <w:r>
        <w:br w:type="page"/>
      </w:r>
    </w:p>
    <w:p w14:paraId="5ADF379E" w14:textId="15DBF0C1" w:rsidR="00EC292F" w:rsidRPr="00C46B76" w:rsidRDefault="00BE5672" w:rsidP="00EC292F">
      <w:pPr>
        <w:pStyle w:val="NoSpacing"/>
        <w:rPr>
          <w:b/>
          <w:bCs/>
        </w:rPr>
      </w:pPr>
      <w:r>
        <w:rPr>
          <w:rStyle w:val="Heading2Char"/>
        </w:rPr>
        <w:lastRenderedPageBreak/>
        <w:t xml:space="preserve">3. c </w:t>
      </w:r>
      <w:r w:rsidR="00EC292F" w:rsidRPr="00EC292F">
        <w:rPr>
          <w:rStyle w:val="Heading2Char"/>
        </w:rPr>
        <w:t>Block Cross Validation</w:t>
      </w:r>
    </w:p>
    <w:p w14:paraId="0C460F6B" w14:textId="5C6CBE39" w:rsidR="00C46B76" w:rsidRDefault="00C46B76" w:rsidP="00C46B76">
      <w:pPr>
        <w:pStyle w:val="Heading3"/>
      </w:pPr>
      <w:r>
        <w:t>Background</w:t>
      </w:r>
    </w:p>
    <w:p w14:paraId="27FF9436" w14:textId="2ECEA6AF" w:rsidR="00C46B76" w:rsidRDefault="00C46B76" w:rsidP="009E65EE">
      <w:pPr>
        <w:ind w:firstLine="720"/>
      </w:pPr>
      <w:r w:rsidRPr="00C46B76">
        <w:t>Blocking is an essential approach in experimental design to control for variations that can confound the variable of interest. For instance,</w:t>
      </w:r>
      <w:r w:rsidR="006700E8">
        <w:t xml:space="preserve"> </w:t>
      </w:r>
      <w:r w:rsidR="006700E8">
        <w:fldChar w:fldCharType="begin"/>
      </w:r>
      <w:r w:rsidR="00113ACB">
        <w:instrText xml:space="preserve"> ADDIN ZOTERO_ITEM CSL_CITATION {"citationID":"a1gdgs2b21o","properties":{"formattedCitation":"\\uldash{(Lahart et al., 2019)}","plainCitation":"(Lahart et al., 2019)","dontUpdate":true,"noteIndex":0},"citationItems":[{"id":3615,"uris":["http://zotero.org/users/5933671/items/8I7XZ3W7"],"itemData":{"id":3615,"type":"article-journal","container-title":"Journal of Dairy Science","DOI":"10.3168/jds.2019-16363","ISSN":"00220302","issue":"10","journalAbbreviation":"Journal of Dairy Science","language":"en","page":"8907-8918","source":"DOI.org (Crossref)","title":"Predicting the dry matter intake of grazing dairy cows using infrared reflectance spectroscopy analysis","volume":"102","author":[{"family":"Lahart","given":"B."},{"family":"McParland","given":"S."},{"family":"Kennedy","given":"E."},{"family":"Boland","given":"T.M."},{"family":"Condon","given":"T."},{"family":"Williams","given":"M."},{"family":"Galvin","given":"N."},{"family":"McCarthy","given":"B."},{"family":"Buckley","given":"F."}],"issued":{"date-parts":[["2019",10]]}}}],"schema":"https://github.com/citation-style-language/schema/raw/master/csl-citation.json"} </w:instrText>
      </w:r>
      <w:r w:rsidR="006700E8">
        <w:fldChar w:fldCharType="separate"/>
      </w:r>
      <w:proofErr w:type="spellStart"/>
      <w:r w:rsidR="006700E8" w:rsidRPr="006700E8">
        <w:rPr>
          <w:kern w:val="0"/>
          <w:u w:val="dash"/>
        </w:rPr>
        <w:t>Lahart</w:t>
      </w:r>
      <w:proofErr w:type="spellEnd"/>
      <w:r w:rsidR="006700E8" w:rsidRPr="006700E8">
        <w:rPr>
          <w:kern w:val="0"/>
          <w:u w:val="dash"/>
        </w:rPr>
        <w:t xml:space="preserve"> et al., </w:t>
      </w:r>
      <w:r w:rsidR="006700E8">
        <w:rPr>
          <w:kern w:val="0"/>
          <w:u w:val="dash"/>
        </w:rPr>
        <w:t>(</w:t>
      </w:r>
      <w:r w:rsidR="006700E8" w:rsidRPr="006700E8">
        <w:rPr>
          <w:kern w:val="0"/>
          <w:u w:val="dash"/>
        </w:rPr>
        <w:t>2019)</w:t>
      </w:r>
      <w:r w:rsidR="006700E8">
        <w:fldChar w:fldCharType="end"/>
      </w:r>
      <w:r w:rsidRPr="00C46B76">
        <w:t xml:space="preserve"> investigated the dry matter intake of grazing cows using mid-infrared (</w:t>
      </w:r>
      <w:r w:rsidRPr="00F501F9">
        <w:rPr>
          <w:b/>
          <w:bCs/>
        </w:rPr>
        <w:t>MIR</w:t>
      </w:r>
      <w:r w:rsidRPr="00C46B76">
        <w:t xml:space="preserve">) spectroscopy technology across multiple herds under varying experimental conditions. Given the significant variation between herds, which may contribute to individual differences in both dry matter intake and MIR spectra, it is crucial to consider the herd as a blocking factor before evaluating the predictability of dry matter intake using MIR spectra. This consideration should also extend to model validation. In the cited study, variations in dry matter intake, the primary focus of the prediction model, were observed to exceed one standard deviation among some herds. In cross-validation, if samples from the same herd are assigned to different folds, with </w:t>
      </w:r>
      <w:proofErr w:type="gramStart"/>
      <w:r w:rsidRPr="00C46B76">
        <w:t>one fold</w:t>
      </w:r>
      <w:proofErr w:type="gramEnd"/>
      <w:r w:rsidRPr="00C46B76">
        <w:t xml:space="preserve"> used as the test set, the model is likely to achieve high accuracy. This accuracy may largely result from explaining the inter-herd variation rather than individual variations in dry matter intake, leading to an overestimation of model performance. To avoid this pitfall, block cross-validation, where each block (i.e., herd in this example) is used as a fold, is recommended for unbiased model validation.</w:t>
      </w:r>
    </w:p>
    <w:p w14:paraId="0BDB8168" w14:textId="009B8E07" w:rsidR="00C46B76" w:rsidRDefault="00C46B76" w:rsidP="009E65EE">
      <w:pPr>
        <w:ind w:firstLine="720"/>
      </w:pPr>
      <w:r w:rsidRPr="00C46B76">
        <w:t xml:space="preserve">Literature reviews have indicated that block cross-validation effectively evaluates model performance on external or unseen datasets </w:t>
      </w:r>
      <w:r w:rsidR="00B630EF">
        <w:fldChar w:fldCharType="begin"/>
      </w:r>
      <w:r w:rsidR="00113ACB">
        <w:instrText xml:space="preserve"> ADDIN ZOTERO_ITEM CSL_CITATION {"citationID":"a2m1mpa8if","properties":{"formattedCitation":"(Bresolin and D\\uc0\\u243{}rea, 2020)","plainCitation":"(Bresolin and Dórea, 2020)","noteIndex":0},"citationItems":[{"id":3700,"uris":["http://zotero.org/users/5933671/items/J2XLWM64"],"itemData":{"id":3700,"type":"article-journal","abstract":"High-throughput phenotyping technologies are growing in importance in livestock systems due to their ability to generate real-time, non-invasive, and accurate animal-level information. Collecting such individual-level information can generate novel traits and potentially improve animal selection and management decisions in livestock operations. One of the most relevant tools used in the dairy and beef industry to predict complex traits is infrared spectrometry, which is based on the analysis of the interaction between electromagnetic radiation and matter. The infrared electromagnetic radiation spans an enormous range of wavelengths and frequencies known as the electromagnetic spectrum. The spectrum is divided into different regions, with near- and mid-infrared regions being the main spectral regions used in livestock applications. The advantage of using infrared spectrometry includes speed, non-destructive measurement, and great potential for on-line analysis. This paper aims to review the use of mid- and near-infrared spectrometry techniques as tools to predict complex dairy and beef phenotypes, such as milk composition, feed efficiency, methane emission, fertility, energy balance, health status, and meat quality traits. Although several research studies have used these technologies to predict a wide range of phenotypes, most of them are based on Partial Least Squares (PLS) and did not considered other machine learning (ML) techniques to improve prediction quality. Therefore, we will discuss the role of analytical methods employed on spectral data to improve the predictive ability for complex traits in livestock operations. Furthermore, we will discuss different approaches to reduce data dimensionality and the impact of validation strategies on predictive quality.","container-title":"Frontiers in Genetics","ISSN":"1664-8021","source":"Frontiers","title":"Infrared Spectrometry as a High-Throughput Phenotyping Technology to Predict Complex Traits in Livestock Systems","URL":"https://www.frontiersin.org/articles/10.3389/fgene.2020.00923","volume":"11","author":[{"family":"Bresolin","given":"Tiago"},{"family":"Dórea","given":"João R. R."}],"accessed":{"date-parts":[["2023",11,21]]},"issued":{"date-parts":[["2020"]]}}}],"schema":"https://github.com/citation-style-language/schema/raw/master/csl-citation.json"} </w:instrText>
      </w:r>
      <w:r w:rsidR="00B630EF">
        <w:fldChar w:fldCharType="separate"/>
      </w:r>
      <w:r w:rsidR="00113ACB" w:rsidRPr="00113ACB">
        <w:rPr>
          <w:kern w:val="0"/>
        </w:rPr>
        <w:t>(</w:t>
      </w:r>
      <w:proofErr w:type="spellStart"/>
      <w:r w:rsidR="00113ACB" w:rsidRPr="00113ACB">
        <w:rPr>
          <w:kern w:val="0"/>
        </w:rPr>
        <w:t>Bresolin</w:t>
      </w:r>
      <w:proofErr w:type="spellEnd"/>
      <w:r w:rsidR="00113ACB" w:rsidRPr="00113ACB">
        <w:rPr>
          <w:kern w:val="0"/>
        </w:rPr>
        <w:t xml:space="preserve"> and </w:t>
      </w:r>
      <w:proofErr w:type="spellStart"/>
      <w:r w:rsidR="00113ACB" w:rsidRPr="00113ACB">
        <w:rPr>
          <w:kern w:val="0"/>
        </w:rPr>
        <w:t>Dórea</w:t>
      </w:r>
      <w:proofErr w:type="spellEnd"/>
      <w:r w:rsidR="00113ACB" w:rsidRPr="00113ACB">
        <w:rPr>
          <w:kern w:val="0"/>
        </w:rPr>
        <w:t>, 2020)</w:t>
      </w:r>
      <w:r w:rsidR="00B630EF">
        <w:fldChar w:fldCharType="end"/>
      </w:r>
      <w:r w:rsidRPr="00C46B76">
        <w:t xml:space="preserve">. In the same study by </w:t>
      </w:r>
      <w:proofErr w:type="spellStart"/>
      <w:r w:rsidRPr="00C46B76">
        <w:t>Lahart</w:t>
      </w:r>
      <w:proofErr w:type="spellEnd"/>
      <w:r w:rsidRPr="00C46B76">
        <w:t xml:space="preserve"> </w:t>
      </w:r>
      <w:r w:rsidR="00BF018D">
        <w:t>et al.</w:t>
      </w:r>
      <w:r w:rsidRPr="00C46B76">
        <w:t>, three cross-validation strategies were compared: random cross-validation</w:t>
      </w:r>
      <w:r w:rsidR="00F3633E">
        <w:t xml:space="preserve"> (</w:t>
      </w:r>
      <w:r w:rsidR="004A3F0D">
        <w:rPr>
          <w:b/>
          <w:bCs/>
        </w:rPr>
        <w:t>R</w:t>
      </w:r>
      <w:r w:rsidR="00F3633E" w:rsidRPr="00F3633E">
        <w:rPr>
          <w:b/>
          <w:bCs/>
        </w:rPr>
        <w:t>andom CV</w:t>
      </w:r>
      <w:r w:rsidR="00F3633E">
        <w:t>)</w:t>
      </w:r>
      <w:r w:rsidRPr="00C46B76">
        <w:t>, which randomly assigns samples to folds; within-herd validation, training and testing the model within each herd; and across-herd validation</w:t>
      </w:r>
      <w:r w:rsidR="00F3633E">
        <w:t xml:space="preserve"> (</w:t>
      </w:r>
      <w:r w:rsidR="004A3F0D">
        <w:rPr>
          <w:b/>
          <w:bCs/>
        </w:rPr>
        <w:t>B</w:t>
      </w:r>
      <w:r w:rsidR="00F3633E" w:rsidRPr="00F3633E">
        <w:rPr>
          <w:b/>
          <w:bCs/>
        </w:rPr>
        <w:t>lock CV</w:t>
      </w:r>
      <w:r w:rsidR="00F3633E">
        <w:t>)</w:t>
      </w:r>
      <w:r w:rsidRPr="00C46B76">
        <w:t>, where each herd is used as a fold and tested in turn. The results showed that performance estimates in block CV were noticeably lower than the other two strategies, supporting the hypothesis that ignoring block effects inflates model performance. Other studies considering block effects, including diet</w:t>
      </w:r>
      <w:r w:rsidR="00A50A2A">
        <w:t xml:space="preserve"> </w:t>
      </w:r>
      <w:r w:rsidR="00A50A2A">
        <w:fldChar w:fldCharType="begin"/>
      </w:r>
      <w:r w:rsidR="00113ACB">
        <w:instrText xml:space="preserve"> ADDIN ZOTERO_ITEM CSL_CITATION {"citationID":"akk2b500d8","properties":{"formattedCitation":"(Grelet et al., 2020)","plainCitation":"(Grelet et al., 2020)","noteIndex":0},"citationItems":[{"id":3604,"uris":["http://zotero.org/users/5933671/items/UHQREV9V"],"itemData":{"id":3604,"type":"article-journal","abstract":"Improving nitrogen use efficiency (NUE) at both the individual cow and the herd level has become a key target in dairy production systems, for both environmental and economic reasons. Cost-effective and large-scale phenotyping methods are required to improve NUE through genetic selection and by feeding and management strategies. The aim of this study was to evaluate the possibility of using mid-infrared (MIR) spectra of milk to predict individual dairy cow NUE during early lactation. Data were collected from 129 Holstein cows, from calving until 50 d in milk, in 3 research herds (Denmark, Ireland, and the UK). In 2 of the herds, diets were designed to challenge cows metabolically, whereas a diet reflecting local management practices was offered in the third herd. Nitrogen intake (kg/d) and nitrogen excreted in milk (kg/d) were calculated daily. Nitrogen use efficiency was calculated as the ratio between nitrogen in milk and nitrogen intake, and expressed as a percentage. Individual daily values for NUE ranged from 9.7 to 81.7%, with an average of 36.9% and standard deviation of 10.4%. Milk MIR spectra were recorded twice weekly and were standardized into a common format to avoid bias between apparatus or sampling periods. Regression models predicting NUE using milk MIR spectra were developed on 1,034 observations using partial least squares or support vector machines regression methods. The models were then evaluated through (1) a cross-validation using 10 subsets, (2) a cow validation excluding 25% of the cows to be used as a validation set, and (3) a diet validation excluding each of the diets one by one to be used as validation sets. The best statistical performances were obtained when using the support vector machines method. Inclusion of milk yield and lactation number as predictors, in combination with the spectra, also improved the calibration. In cross-validation, the best model predicted NUE with a coefficient of determination of cross-validation of 0.74 and a relative error of 14%, which is suitable to discriminate between low- and high-NUE cows. When performing the cow validation, the relative error remained at 14%, and during the diet validation the relative error ranged from 12 to 34%. In the diet validation, the models showed a lack of robustness, demonstrating difficulties in predicting NUE for diets and for samples that were not represented in the calibration data set. Hence, a need exists to integrate more data in the models to cover a maximum of variability regarding breeds, diets, lactation stages, management practices, seasons, MIR instruments, and geographic regions. Although the model needs to be validated and improved for use in routine conditions, these preliminary results showed that it was possible to obtain information on NUE through milk MIR spectra. This could potentially allow large-scale predictions to aid both further genetic and genomic studies, and the development of farm management tools.","container-title":"Journal of Dairy Science","DOI":"10.3168/jds.2019-17910","ISSN":"0022-0302","issue":"5","journalAbbreviation":"Journal of Dairy Science","page":"4435-4445","source":"ScienceDirect","title":"Potential of milk mid-infrared spectra to predict nitrogen use efficiency of individual dairy cows in early lactation","volume":"103","author":[{"family":"Grelet","given":"C."},{"family":"Froidmont","given":"E."},{"family":"Foldager","given":"L."},{"family":"Salavati","given":"M."},{"family":"Hostens","given":"M."},{"family":"Ferris","given":"C. P."},{"family":"Ingvartsen","given":"K. L."},{"family":"Crowe","given":"M. A."},{"family":"Sorensen","given":"M. T."},{"family":"Fernandez Pierna","given":"J. A."},{"family":"Vanlierde","given":"A."},{"family":"Gengler","given":"N."},{"family":"Dehareng","given":"F."}],"issued":{"date-parts":[["2020",5,1]]}}}],"schema":"https://github.com/citation-style-language/schema/raw/master/csl-citation.json"} </w:instrText>
      </w:r>
      <w:r w:rsidR="00A50A2A">
        <w:fldChar w:fldCharType="separate"/>
      </w:r>
      <w:r w:rsidR="00113ACB" w:rsidRPr="00113ACB">
        <w:rPr>
          <w:kern w:val="0"/>
        </w:rPr>
        <w:t>(</w:t>
      </w:r>
      <w:proofErr w:type="spellStart"/>
      <w:r w:rsidR="00113ACB" w:rsidRPr="00113ACB">
        <w:rPr>
          <w:kern w:val="0"/>
        </w:rPr>
        <w:t>Grelet</w:t>
      </w:r>
      <w:proofErr w:type="spellEnd"/>
      <w:r w:rsidR="00113ACB" w:rsidRPr="00113ACB">
        <w:rPr>
          <w:kern w:val="0"/>
        </w:rPr>
        <w:t xml:space="preserve"> et al., 2020)</w:t>
      </w:r>
      <w:r w:rsidR="00A50A2A">
        <w:fldChar w:fldCharType="end"/>
      </w:r>
      <w:r w:rsidR="00A50A2A">
        <w:t>,</w:t>
      </w:r>
      <w:r w:rsidRPr="00C46B76">
        <w:t xml:space="preserve"> herd </w:t>
      </w:r>
      <w:r w:rsidR="00A50A2A">
        <w:fldChar w:fldCharType="begin"/>
      </w:r>
      <w:r w:rsidR="00113ACB">
        <w:instrText xml:space="preserve"> ADDIN ZOTERO_ITEM CSL_CITATION {"citationID":"a1p8h6067jc","properties":{"formattedCitation":"(Rovere et al., 2021)","plainCitation":"(Rovere et al., 2021)","noteIndex":0},"citationItems":[{"id":3697,"uris":["http://zotero.org/users/5933671/items/YTGJ3HNB"],"itemData":{"id":3697,"type":"article-journal","abstract":"Fatty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J."}],"issued":{"date-parts":[["2021",10,1]]}}}],"schema":"https://github.com/citation-style-language/schema/raw/master/csl-citation.json"} </w:instrText>
      </w:r>
      <w:r w:rsidR="00A50A2A">
        <w:fldChar w:fldCharType="separate"/>
      </w:r>
      <w:r w:rsidR="00113ACB" w:rsidRPr="00113ACB">
        <w:rPr>
          <w:kern w:val="0"/>
        </w:rPr>
        <w:t>(</w:t>
      </w:r>
      <w:proofErr w:type="spellStart"/>
      <w:r w:rsidR="00113ACB" w:rsidRPr="00113ACB">
        <w:rPr>
          <w:kern w:val="0"/>
        </w:rPr>
        <w:t>Rovere</w:t>
      </w:r>
      <w:proofErr w:type="spellEnd"/>
      <w:r w:rsidR="00113ACB" w:rsidRPr="00113ACB">
        <w:rPr>
          <w:kern w:val="0"/>
        </w:rPr>
        <w:t xml:space="preserve"> et al., 2021)</w:t>
      </w:r>
      <w:r w:rsidR="00A50A2A">
        <w:fldChar w:fldCharType="end"/>
      </w:r>
      <w:r w:rsidRPr="00C46B76">
        <w:t xml:space="preserve">, and farm location </w:t>
      </w:r>
      <w:r w:rsidR="00F40445">
        <w:fldChar w:fldCharType="begin"/>
      </w:r>
      <w:r w:rsidR="00113ACB">
        <w:instrText xml:space="preserve"> ADDIN ZOTERO_ITEM CSL_CITATION {"citationID":"a29vb0o7gvi","properties":{"formattedCitation":"(Adriaens et al., 2020; Mota et al., 2022)","plainCitation":"(Adriaens et al., 2020; Mota et al., 2022)","noteIndex":0},"citationItems":[{"id":3624,"uris":["http://zotero.org/users/5933671/items/MJ5BG66B"],"itemData":{"id":3624,"type":"article-journal","abstract":"A dairy cow's lifetime resilience and her ability to recalve gain importance on dairy farms, as they affect all aspects of the sustainability of the dairy industry. Many modern farms today have milk meters and activity sensors that accurately measure yield and activity at a high frequency for monitoring purposes. We hypothesized that these same sensors can be used for precision phenotyping of complex traits such as lifetime resilience or productive life span. The objective of this study was to investigate whether lifetime resilience and productive life span of dairy cows can be predicted using sensor-derived proxies of first-parity sensor data. We used a data set from 27 Belgian and British dairy farms with an automated milking system containing at least 5 yr of successive measurements. All of these farms had milk meter data available, and 13 of these farms were also equipped with activity sensors. This subset was used to investigate the added value of activity meters to improve the model's prediction accuracy. To rank cows for lifetime resilience, a score was attributed to each cow based on her number of calvings, her 305-d milk yield, her age at first calving, her calving intervals, and the DIM at the moment of culling, taking her entire lifetime into account. Next, this lifetime resilience score was used to rank the cows within their herd, resulting in a lifetime resilience ranking. Based on this ranking, cows were classified in a low (last third), moderate (middle third), or high (first third) resilience category within farm. In total, 45 biologically sound sensor features were defined from the time series data, including measures of variability, lactation curve shape, milk yield perturbations, activity spikes indicating estrous events, and activity dynamics representing health events (e.g., drops in daily activity). These features, calculated on first-lactation data, were used to predict the lifetime resilience rank and, thus, to predict the classification within the herd (low, moderate, or high). Using a specific linear regression model progressively including features stepwise selected at farm level (cutoff P-value of 0.2), classification performances were between 35.9 and 70.0% (46.7 ± 8.0, mean ± SD) for milk yield features only, and between 46.7 and 84.0% (55.5 ± 12.1, mean ± SD) for lactation and activity features together. This is, respectively, 13.7 and 22.2% higher than what random classification would give. Moreover, using these individual farm models, only 3.5 and 2.3% of cows were classified high when they were actually low, or vice versa, whereas respectively 91.8 and 94.1% of wrongly classified animals were predicted in an adjacent category. The sensor features retained in the prediction equation of the individual farms differed across farms, which demonstrates the variability in culling and management strategies across farms and within farms over time. This lack of a common model structure across farms suggests the need to consider local (and evidence-based) culling management rules when developing decision support tools for dairy farms. With this study we showed the potential of precision phenotyping of complex traits based on biologically meaningful features derived from readily available sensor data. We conclude that first-lactation milk and activity sensor data have the potential to predict cows' lifetime resilience rankings within farms but that consistency between farms is currently lacking.","container-title":"Journal of Dairy Science","DOI":"10.3168/jds.2019-17826","ISSN":"0022-0302","issue":"8","journalAbbreviation":"Journal of Dairy Science","page":"7155-7171","source":"ScienceDirect","title":"Productive life span and resilience rank can be predicted from on-farm first-parity sensor time series but not using a common equation across farms","volume":"103","author":[{"family":"Adriaens","given":"I."},{"family":"Friggens","given":"N. C."},{"family":"Ouweltjes","given":"W."},{"family":"Scott","given":"H."},{"family":"Aernouts","given":"B."},{"family":"Statham","given":"J."}],"issued":{"date-parts":[["2020",8,1]]}}},{"id":3679,"uris":["http://zotero.org/users/5933671/items/RTN375TB"],"itemData":{"id":3679,"type":"article-journal","abstract":"Cheese-making traits in dairy cattle are important to the dairy industry but are difficult to measure at the individual level because there are limitations on collecting phenotypic information. Mid-infrared spectroscopy has its advantages, but it can only be used during monthly milk recordings. Recently, in-line devices for real-time analysis of milk quality have been developed. The AfiLab recording system (Afimilk) offers significant benefits as phenotypes can be collected from each cow at each milking session. The objective of this study was to assess the potential of integrating AfiLab real-time milk analyzer measures with the stacking ensemble learning technique using heterogeneous base learners for the in-line daily monitoring of cheese-making traits in Holstein cattle with a view to developing a precision livestock farming system for monitoring the technological quality of milk. Data and samples for wet-laboratory analyses were collected from 499 Holstein cows belonging to 2 farms where the AfiLab system was installed. The traits of concern were 9 milk coagulation traits [3 milk coagulation properties (MCP), and 6 curd firming traits (CFt)], and 7 cheese-making traits [3 cheese yield (CY) traits, and 4 milk nutrient recovery in the curd (REC) traits]. The near-infrared AfiLab spectral data and on-farm information (days in milk and parity) were used to assess the predictive ability of different statistical methods [elastic net (EN), gradient boosting machine (GBM), extreme gradient boosting (XGBoost), and artificial neural network (ANN)] across different cross-validation scenarios. These statistical methods were considered the base learners, which were then combined in a stacking ensemble learning. Results indicate that including information on the cows (days in milk and parity) in the AfiLab infrared prediction increased its accuracy by 10.3% for traditional MCP, 13.8% for curd firming, 9.8% for CY, and 11.2% for REC traits compared with those obtained from near-infrared AfiLab alone. The statistical approaches exhibited high prediction accuracies (R2) averaged across the cross-validation scenarios for traditional MCP (0.58 for ANN, 0.55 for EN and GBM, 0.52 for XGBoost, and 0.62 for stacking ensemble), CFt (0.55 for ANN, 0.54 for EN and GBM, 0.53 for XGBoost, and 0.61 for stacking ensemble), and similar R2 averages for CY and REC (0.55 for ANN, 0.54 for EN and GBM, 0.53 for XGBoost, and 0.61 for stacking ensemble). The ANN approach was more accurate than the other base learners (EN, GBM, and XGBoost) and improved accuracy across cross-validation scenarios on average by 7% for traditional MCP, 5% for CFt, 8% for CY, and 7% for REC. The stacking ensemble method improved prediction accuracy by 3% to 31% for traditional MCP, 2% to 26% for CFt, 1% to 38% for CY traits, and 2% to 27% for REC traits compared with the base learners. The prediction accuracies of the different approaches evaluated tended to decrease from the 10-fold cross-validation to the independent validation scenario, although there was a smaller reduction in prediction accuracy with the stacking ensemble learning technique across all the cross-validation scenarios. Our results show that combining in-line on-farm information with stacking ensemble machine learning represents an effective alternative for obtaining robust daily predictions of milk cheese-making traits.","container-title":"Journal of Dairy Science","DOI":"10.3168/jds.2021-21426","ISSN":"0022-0302","issue":"5","journalAbbreviation":"Journal of Dairy Science","page":"4237-4255","source":"ScienceDirect","title":"Real-time milk analysis integrated with stacking ensemble learning as a tool for the daily prediction of cheese-making traits in Holstein cattle","volume":"105","author":[{"family":"Mota","given":"Lucio F. M."},{"family":"Giannuzzi","given":"Diana"},{"family":"Bisutti","given":"Vittoria"},{"family":"Pegolo","given":"Sara"},{"family":"Trevisi","given":"Erminio"},{"family":"Schiavon","given":"Stefano"},{"family":"Gallo","given":"Luigi"},{"family":"Fineboym","given":"David"},{"family":"Katz","given":"Gil"},{"family":"Cecchinato","given":"Alessio"}],"issued":{"date-parts":[["2022",5,1]]}}}],"schema":"https://github.com/citation-style-language/schema/raw/master/csl-citation.json"} </w:instrText>
      </w:r>
      <w:r w:rsidR="00F40445">
        <w:fldChar w:fldCharType="separate"/>
      </w:r>
      <w:r w:rsidR="00113ACB" w:rsidRPr="00113ACB">
        <w:rPr>
          <w:kern w:val="0"/>
        </w:rPr>
        <w:t>(</w:t>
      </w:r>
      <w:proofErr w:type="spellStart"/>
      <w:r w:rsidR="00113ACB" w:rsidRPr="00113ACB">
        <w:rPr>
          <w:kern w:val="0"/>
        </w:rPr>
        <w:t>Adriaens</w:t>
      </w:r>
      <w:proofErr w:type="spellEnd"/>
      <w:r w:rsidR="00113ACB" w:rsidRPr="00113ACB">
        <w:rPr>
          <w:kern w:val="0"/>
        </w:rPr>
        <w:t xml:space="preserve"> et al., 2020; </w:t>
      </w:r>
      <w:proofErr w:type="spellStart"/>
      <w:r w:rsidR="00113ACB" w:rsidRPr="00113ACB">
        <w:rPr>
          <w:kern w:val="0"/>
        </w:rPr>
        <w:t>Mota</w:t>
      </w:r>
      <w:proofErr w:type="spellEnd"/>
      <w:r w:rsidR="00113ACB" w:rsidRPr="00113ACB">
        <w:rPr>
          <w:kern w:val="0"/>
        </w:rPr>
        <w:t xml:space="preserve"> et al., 2022)</w:t>
      </w:r>
      <w:r w:rsidR="00F40445">
        <w:fldChar w:fldCharType="end"/>
      </w:r>
      <w:r w:rsidRPr="00C46B76">
        <w:t>, have shown similar results in cross-validation, demonstrating block CV's effectiveness in evaluating model performance on external datasets.</w:t>
      </w:r>
    </w:p>
    <w:p w14:paraId="1D10FF40" w14:textId="0584FCFA" w:rsidR="00EC292F" w:rsidRDefault="00EC292F" w:rsidP="00546DAD">
      <w:pPr>
        <w:pStyle w:val="Heading3"/>
      </w:pPr>
      <w:r>
        <w:t>Objectives and Hypothesis</w:t>
      </w:r>
    </w:p>
    <w:p w14:paraId="64D53C54" w14:textId="66E12E71" w:rsidR="00EC292F" w:rsidRDefault="00EC292F" w:rsidP="00546DAD">
      <w:pPr>
        <w:pStyle w:val="NoSpacing"/>
        <w:ind w:firstLine="720"/>
      </w:pPr>
      <w:r>
        <w:t xml:space="preserve">The objective of the simulation study is to demonstrate how a </w:t>
      </w:r>
      <w:r w:rsidR="004A3F0D">
        <w:t>R</w:t>
      </w:r>
      <w:r w:rsidR="00A33CE6">
        <w:t>andom CV</w:t>
      </w:r>
      <w:r>
        <w:t xml:space="preserve">, which randomly </w:t>
      </w:r>
      <w:r w:rsidR="00B808C7">
        <w:t>assigns</w:t>
      </w:r>
      <w:r>
        <w:t xml:space="preserve"> the samples to folds without considering the block effects, could overestimate the model performance. This study also conducts a</w:t>
      </w:r>
      <w:r w:rsidR="008A387A">
        <w:t xml:space="preserve"> block CV</w:t>
      </w:r>
      <w:r>
        <w:t xml:space="preserve">, where each block is used as a fold in the </w:t>
      </w:r>
      <w:r w:rsidR="00142E1F">
        <w:t>cross-validation</w:t>
      </w:r>
      <w:r>
        <w:t xml:space="preserve">, as the benchmark. The hypothesis is that the model performance estimated by </w:t>
      </w:r>
      <w:r w:rsidR="004A3F0D">
        <w:t>R</w:t>
      </w:r>
      <w:r>
        <w:t>andom CV is significantly higher than the estimation by block CV.</w:t>
      </w:r>
    </w:p>
    <w:p w14:paraId="77F20D81" w14:textId="3F04EC77" w:rsidR="005A1D30" w:rsidRDefault="00EC292F" w:rsidP="00546DAD">
      <w:pPr>
        <w:pStyle w:val="Heading3"/>
      </w:pPr>
      <w:r>
        <w:t>Simulation Design</w:t>
      </w:r>
    </w:p>
    <w:p w14:paraId="57986255" w14:textId="048C0018" w:rsidR="005A1D30" w:rsidRDefault="005A1D30" w:rsidP="005D69F7">
      <w:pPr>
        <w:pStyle w:val="NoSpacing"/>
        <w:ind w:firstLine="720"/>
      </w:pPr>
      <w:r>
        <w:t xml:space="preserve">This study </w:t>
      </w:r>
      <w:r w:rsidR="00FF40AD">
        <w:t>simulated</w:t>
      </w:r>
      <w:r>
        <w:t xml:space="preserve"> a regression task with 100 instances across ten </w:t>
      </w:r>
      <w:r w:rsidR="00FF40AD">
        <w:t>features</w:t>
      </w:r>
      <w:r>
        <w:t>, denoted as</w:t>
      </w:r>
      <w:r w:rsidR="002D65C1">
        <w:t xml:space="preserve"> </w:t>
      </w:r>
      <m:oMath>
        <m:r>
          <w:rPr>
            <w:rFonts w:ascii="Cambria Math" w:hAnsi="Cambria Math"/>
            <w:sz w:val="26"/>
            <w:szCs w:val="26"/>
          </w:rPr>
          <m:t>X</m:t>
        </m:r>
      </m:oMath>
      <w:r>
        <w:t xml:space="preserve">, and one single response </w:t>
      </w:r>
      <w:r w:rsidR="00FF40AD">
        <w:t>variable</w:t>
      </w:r>
      <w:r>
        <w:t xml:space="preserve">, </w:t>
      </w:r>
      <m:oMath>
        <m:r>
          <w:rPr>
            <w:rFonts w:ascii="Cambria Math" w:hAnsi="Cambria Math"/>
            <w:sz w:val="26"/>
            <w:szCs w:val="26"/>
          </w:rPr>
          <m:t>Y</m:t>
        </m:r>
      </m:oMath>
      <w:r>
        <w:t xml:space="preserve">. Both </w:t>
      </w:r>
      <m:oMath>
        <m:r>
          <w:rPr>
            <w:rFonts w:ascii="Cambria Math" w:hAnsi="Cambria Math"/>
            <w:sz w:val="26"/>
            <w:szCs w:val="26"/>
          </w:rPr>
          <m:t>X</m:t>
        </m:r>
      </m:oMath>
      <w:r>
        <w:t xml:space="preserve"> and </w:t>
      </w:r>
      <m:oMath>
        <m:r>
          <w:rPr>
            <w:rFonts w:ascii="Cambria Math" w:hAnsi="Cambria Math"/>
            <w:sz w:val="26"/>
            <w:szCs w:val="26"/>
          </w:rPr>
          <m:t>Y</m:t>
        </m:r>
      </m:oMath>
      <w:r>
        <w:t xml:space="preserve"> are derived from a standard normal distribution. To introduce a block factor, the study groups every 20 observations into a block, with each block incrementally increasing by </w:t>
      </w:r>
      <m:oMath>
        <m:r>
          <w:rPr>
            <w:rFonts w:ascii="Cambria Math" w:hAnsi="Cambria Math"/>
            <w:sz w:val="26"/>
            <w:szCs w:val="26"/>
          </w:rPr>
          <m:t>b</m:t>
        </m:r>
      </m:oMath>
      <w:r w:rsidR="002D65C1">
        <w:t xml:space="preserve"> </w:t>
      </w:r>
      <w:r>
        <w:t xml:space="preserve">units from zero, where </w:t>
      </w:r>
      <m:oMath>
        <m:r>
          <w:rPr>
            <w:rFonts w:ascii="Cambria Math" w:hAnsi="Cambria Math"/>
            <w:sz w:val="26"/>
            <w:szCs w:val="26"/>
          </w:rPr>
          <m:t>b</m:t>
        </m:r>
      </m:oMath>
      <w:r w:rsidR="002D65C1">
        <w:t xml:space="preserve"> </w:t>
      </w:r>
      <w:r>
        <w:t xml:space="preserve">was simulated from 0.5 to 3.0 with an increment of 0.5. Within these ten features, one is substituted as the block level, represented by an integer from 0 to 4, augmented with random noise drawn from a standard normal distribution. This setup aims to simulate a scenario where the predictors primarily capture </w:t>
      </w:r>
      <w:r>
        <w:lastRenderedPageBreak/>
        <w:t xml:space="preserve">block variation, given the null expectation in predictability when using ten random variables </w:t>
      </w:r>
      <m:oMath>
        <m:r>
          <w:rPr>
            <w:rFonts w:ascii="Cambria Math" w:hAnsi="Cambria Math"/>
            <w:sz w:val="26"/>
            <w:szCs w:val="26"/>
          </w:rPr>
          <m:t>X</m:t>
        </m:r>
      </m:oMath>
      <w:r w:rsidR="005D69F7">
        <w:t xml:space="preserve"> </w:t>
      </w:r>
      <w:r>
        <w:t xml:space="preserve">to forecast another random variable </w:t>
      </w:r>
      <m:oMath>
        <m:r>
          <w:rPr>
            <w:rFonts w:ascii="Cambria Math" w:hAnsi="Cambria Math"/>
            <w:sz w:val="26"/>
            <w:szCs w:val="26"/>
          </w:rPr>
          <m:t>Y</m:t>
        </m:r>
      </m:oMath>
      <w:r w:rsidR="005D69F7">
        <w:t>.</w:t>
      </w:r>
    </w:p>
    <w:p w14:paraId="5BC4693C" w14:textId="006E1A5D" w:rsidR="005A1D30" w:rsidRDefault="005A1D30" w:rsidP="00692793">
      <w:pPr>
        <w:pStyle w:val="NoSpacing"/>
        <w:ind w:firstLine="720"/>
      </w:pPr>
      <w:r>
        <w:t xml:space="preserve">The study investigates two model validation strategies: </w:t>
      </w:r>
      <w:r w:rsidR="004A3F0D">
        <w:t>B</w:t>
      </w:r>
      <w:r>
        <w:t xml:space="preserve">lock </w:t>
      </w:r>
      <w:r w:rsidR="00AA5A28">
        <w:t>CV</w:t>
      </w:r>
      <w:r>
        <w:t xml:space="preserve"> and </w:t>
      </w:r>
      <w:r w:rsidR="004A3F0D">
        <w:t>R</w:t>
      </w:r>
      <w:r>
        <w:t xml:space="preserve">andom CV, both utilizing a 5-fold cross-validation method. In block CV, each block serves as a separate fold, while in </w:t>
      </w:r>
      <w:r w:rsidR="004A3F0D">
        <w:t>R</w:t>
      </w:r>
      <w:r>
        <w:t>andom CV, samples are randomly allocated to each fold (</w:t>
      </w:r>
      <w:r w:rsidRPr="00692793">
        <w:rPr>
          <w:b/>
          <w:bCs/>
        </w:rPr>
        <w:t xml:space="preserve">Figure </w:t>
      </w:r>
      <w:r w:rsidR="00692793" w:rsidRPr="00692793">
        <w:rPr>
          <w:b/>
          <w:bCs/>
        </w:rPr>
        <w:t>9</w:t>
      </w:r>
      <w:r>
        <w:t xml:space="preserve">). The predictive model is linear regression, and the performance is evaluated using Pearson's correlation coefficient. This simulation runs for 1000 iterations, with </w:t>
      </w:r>
      <m:oMath>
        <m:r>
          <w:rPr>
            <w:rFonts w:ascii="Cambria Math" w:hAnsi="Cambria Math"/>
            <w:sz w:val="26"/>
            <w:szCs w:val="26"/>
          </w:rPr>
          <m:t>X</m:t>
        </m:r>
      </m:oMath>
      <w:r>
        <w:t xml:space="preserve"> and </w:t>
      </w:r>
      <m:oMath>
        <m:r>
          <w:rPr>
            <w:rFonts w:ascii="Cambria Math" w:hAnsi="Cambria Math"/>
            <w:sz w:val="26"/>
            <w:szCs w:val="26"/>
          </w:rPr>
          <m:t>Y</m:t>
        </m:r>
      </m:oMath>
      <w:r w:rsidR="00692793">
        <w:t xml:space="preserve"> </w:t>
      </w:r>
      <w:r>
        <w:t xml:space="preserve">being resampled in each cycle. A one-tailed t-test </w:t>
      </w:r>
      <w:r w:rsidR="00692793">
        <w:t>assesses</w:t>
      </w:r>
      <w:r>
        <w:t xml:space="preserve"> if the mean estimated performance significantly exceeds zero. Additionally, an Analysis of Variance (</w:t>
      </w:r>
      <w:r w:rsidRPr="00566CC8">
        <w:rPr>
          <w:b/>
          <w:bCs/>
        </w:rPr>
        <w:t>ANOVA</w:t>
      </w:r>
      <w:r>
        <w:t xml:space="preserve">) table is calculated when </w:t>
      </w:r>
      <m:oMath>
        <m:r>
          <w:rPr>
            <w:rFonts w:ascii="Cambria Math" w:hAnsi="Cambria Math"/>
            <w:sz w:val="26"/>
            <w:szCs w:val="26"/>
          </w:rPr>
          <m:t>b</m:t>
        </m:r>
      </m:oMath>
      <w:r w:rsidR="00692793">
        <w:t xml:space="preserve"> </w:t>
      </w:r>
      <w:r>
        <w:t>is 0.5</w:t>
      </w:r>
      <w:r w:rsidR="00692793">
        <w:t xml:space="preserve"> </w:t>
      </w:r>
      <w:r>
        <w:t xml:space="preserve">to ascertain if the simulated block variation notably exceeds the assumed individual variation, </w:t>
      </w:r>
      <w:r w:rsidR="00692793">
        <w:t>representing</w:t>
      </w:r>
      <w:r>
        <w:t xml:space="preserve"> the primary interest.</w:t>
      </w:r>
    </w:p>
    <w:p w14:paraId="53BA8C5E" w14:textId="77777777" w:rsidR="00C70B16" w:rsidRDefault="00C70B16" w:rsidP="00C70B16">
      <w:pPr>
        <w:jc w:val="left"/>
      </w:pPr>
    </w:p>
    <w:p w14:paraId="36A7E623" w14:textId="77777777" w:rsidR="00C70B16" w:rsidRDefault="00C70B16" w:rsidP="00C70B16">
      <w:pPr>
        <w:pStyle w:val="NoSpacing"/>
        <w:keepNext/>
      </w:pPr>
      <w:r w:rsidRPr="007C339F">
        <w:rPr>
          <w:noProof/>
        </w:rPr>
        <w:drawing>
          <wp:inline distT="0" distB="0" distL="0" distR="0" wp14:anchorId="01CA3F08" wp14:editId="46E0D093">
            <wp:extent cx="5943600" cy="2922905"/>
            <wp:effectExtent l="0" t="0" r="0" b="0"/>
            <wp:docPr id="114305124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1246" name="Picture 1" descr="A graph of a diagram&#10;&#10;Description automatically generated with medium confidence"/>
                    <pic:cNvPicPr/>
                  </pic:nvPicPr>
                  <pic:blipFill>
                    <a:blip r:embed="rId17"/>
                    <a:stretch>
                      <a:fillRect/>
                    </a:stretch>
                  </pic:blipFill>
                  <pic:spPr>
                    <a:xfrm>
                      <a:off x="0" y="0"/>
                      <a:ext cx="5943600" cy="2922905"/>
                    </a:xfrm>
                    <a:prstGeom prst="rect">
                      <a:avLst/>
                    </a:prstGeom>
                  </pic:spPr>
                </pic:pic>
              </a:graphicData>
            </a:graphic>
          </wp:inline>
        </w:drawing>
      </w:r>
    </w:p>
    <w:p w14:paraId="6234AD72" w14:textId="3FA56555" w:rsidR="00C70B16" w:rsidRDefault="00C70B16" w:rsidP="00C70B16">
      <w:pPr>
        <w:pStyle w:val="Caption"/>
      </w:pPr>
      <w:r w:rsidRPr="00AA5A28">
        <w:rPr>
          <w:b/>
          <w:bCs/>
        </w:rPr>
        <w:t xml:space="preserve">Figure </w:t>
      </w:r>
      <w:r w:rsidRPr="00AA5A28">
        <w:rPr>
          <w:b/>
          <w:bCs/>
        </w:rPr>
        <w:fldChar w:fldCharType="begin"/>
      </w:r>
      <w:r w:rsidRPr="00AA5A28">
        <w:rPr>
          <w:b/>
          <w:bCs/>
        </w:rPr>
        <w:instrText xml:space="preserve"> SEQ Figure \* ARABIC </w:instrText>
      </w:r>
      <w:r w:rsidRPr="00AA5A28">
        <w:rPr>
          <w:b/>
          <w:bCs/>
        </w:rPr>
        <w:fldChar w:fldCharType="separate"/>
      </w:r>
      <w:r w:rsidR="007A7577">
        <w:rPr>
          <w:b/>
          <w:bCs/>
          <w:noProof/>
        </w:rPr>
        <w:t>9</w:t>
      </w:r>
      <w:r w:rsidRPr="00AA5A28">
        <w:rPr>
          <w:b/>
          <w:bCs/>
        </w:rPr>
        <w:fldChar w:fldCharType="end"/>
      </w:r>
      <w:r w:rsidRPr="00AA5A28">
        <w:rPr>
          <w:b/>
          <w:bCs/>
        </w:rPr>
        <w:t>.</w:t>
      </w:r>
      <w:r>
        <w:t xml:space="preserve"> </w:t>
      </w:r>
      <w:r w:rsidRPr="00AA5A28">
        <w:t>Illustration of fold assignment in block cross validation (</w:t>
      </w:r>
      <w:r w:rsidRPr="006938FD">
        <w:rPr>
          <w:b/>
          <w:bCs/>
        </w:rPr>
        <w:t>left</w:t>
      </w:r>
      <w:r w:rsidRPr="00AA5A28">
        <w:t>) and random cross validation (</w:t>
      </w:r>
      <w:r w:rsidRPr="006938FD">
        <w:rPr>
          <w:b/>
          <w:bCs/>
        </w:rPr>
        <w:t>right</w:t>
      </w:r>
      <w:r w:rsidRPr="00AA5A28">
        <w:t>). Folds are color-coded, and the block effect is set to 3 in this example.</w:t>
      </w:r>
    </w:p>
    <w:p w14:paraId="15AE4B68" w14:textId="77777777" w:rsidR="005A1D30" w:rsidRDefault="005A1D30" w:rsidP="00EC292F">
      <w:pPr>
        <w:pStyle w:val="NoSpacing"/>
      </w:pPr>
    </w:p>
    <w:p w14:paraId="4735D63E" w14:textId="321EB5F5" w:rsidR="00EC292F" w:rsidRDefault="00EC292F" w:rsidP="00091B5C">
      <w:pPr>
        <w:pStyle w:val="Heading3"/>
      </w:pPr>
      <w:r>
        <w:t>Result</w:t>
      </w:r>
    </w:p>
    <w:p w14:paraId="6FDCF2B1" w14:textId="4376F951" w:rsidR="00D637A6" w:rsidRDefault="00873099" w:rsidP="00D637A6">
      <w:pPr>
        <w:pStyle w:val="NoSpacing"/>
        <w:ind w:firstLine="720"/>
      </w:pPr>
      <w:r>
        <w:t>In this simulation, a</w:t>
      </w:r>
      <w:r w:rsidR="00D637A6">
        <w:t>n ANOVA table (</w:t>
      </w:r>
      <w:r w:rsidR="00D637A6" w:rsidRPr="008D3E08">
        <w:rPr>
          <w:b/>
          <w:bCs/>
        </w:rPr>
        <w:t>Table 1</w:t>
      </w:r>
      <w:r w:rsidR="00D637A6">
        <w:t xml:space="preserve">), </w:t>
      </w:r>
      <w:r w:rsidR="00E5214B">
        <w:t>calculated</w:t>
      </w:r>
      <w:r w:rsidR="00D637A6">
        <w:t xml:space="preserve"> from a single iteration for illustrative purposes, demonstrates that the simulated data exhibits block variation significantly greater than the residual variance. The result (</w:t>
      </w:r>
      <w:r w:rsidR="00D637A6" w:rsidRPr="00D637A6">
        <w:rPr>
          <w:b/>
          <w:bCs/>
        </w:rPr>
        <w:t>Figure 10</w:t>
      </w:r>
      <w:r w:rsidR="00D637A6">
        <w:t>) shows that regardless of the amplitude of block effects in this simulation study, the Block CV strategy consistently yields a mean performance estimate close to zero, while the Random CV strategy consistently and significantly overestimates the model performance (p-value &lt; 0.001). This finding supports the hypothesis that Random CV tends to overestimate model performance when block variation predominates over residual variation.</w:t>
      </w:r>
    </w:p>
    <w:p w14:paraId="5D7CB17D" w14:textId="77777777" w:rsidR="00C67B07" w:rsidRDefault="00C67B07" w:rsidP="00483F3F"/>
    <w:p w14:paraId="4B37C594" w14:textId="77777777" w:rsidR="00C70B16" w:rsidRDefault="00C70B16" w:rsidP="00483F3F"/>
    <w:p w14:paraId="12B463AB" w14:textId="77777777" w:rsidR="00C70B16" w:rsidRPr="00483F3F" w:rsidRDefault="00C70B16" w:rsidP="00483F3F"/>
    <w:p w14:paraId="61C19D64" w14:textId="4CAF38EC" w:rsidR="005D0DF1" w:rsidRDefault="005D0DF1" w:rsidP="005D0DF1">
      <w:pPr>
        <w:pStyle w:val="Caption"/>
        <w:keepNext/>
      </w:pPr>
      <w:r w:rsidRPr="001263D8">
        <w:rPr>
          <w:b/>
          <w:bCs/>
        </w:rPr>
        <w:lastRenderedPageBreak/>
        <w:t xml:space="preserve">Table </w:t>
      </w:r>
      <w:r w:rsidRPr="001263D8">
        <w:rPr>
          <w:b/>
          <w:bCs/>
        </w:rPr>
        <w:fldChar w:fldCharType="begin"/>
      </w:r>
      <w:r w:rsidRPr="001263D8">
        <w:rPr>
          <w:b/>
          <w:bCs/>
        </w:rPr>
        <w:instrText xml:space="preserve"> SEQ Table \* ARABIC </w:instrText>
      </w:r>
      <w:r w:rsidRPr="001263D8">
        <w:rPr>
          <w:b/>
          <w:bCs/>
        </w:rPr>
        <w:fldChar w:fldCharType="separate"/>
      </w:r>
      <w:r w:rsidR="007A7577">
        <w:rPr>
          <w:b/>
          <w:bCs/>
          <w:noProof/>
        </w:rPr>
        <w:t>1</w:t>
      </w:r>
      <w:r w:rsidRPr="001263D8">
        <w:rPr>
          <w:b/>
          <w:bCs/>
        </w:rPr>
        <w:fldChar w:fldCharType="end"/>
      </w:r>
      <w:r w:rsidRPr="001263D8">
        <w:rPr>
          <w:b/>
          <w:bCs/>
        </w:rPr>
        <w:t>.</w:t>
      </w:r>
      <w:r>
        <w:t xml:space="preserve"> </w:t>
      </w:r>
      <w:r w:rsidR="008433DB" w:rsidRPr="008433DB">
        <w:t xml:space="preserve">ANOVA results for a single iteration of the simulated data with </w:t>
      </w:r>
      <w:r w:rsidR="001263D8">
        <w:t>b</w:t>
      </w:r>
      <w:r w:rsidR="008433DB" w:rsidRPr="008433DB">
        <w:t xml:space="preserve"> = 0.5. SS: sum of squares; DF: degree of freedom; MS: mean square; F: F-statisti</w:t>
      </w:r>
      <w:r w:rsidR="001263D8">
        <w:t>c</w:t>
      </w:r>
      <w:r w:rsidR="00F004E9">
        <w:t>.</w:t>
      </w:r>
    </w:p>
    <w:tbl>
      <w:tblPr>
        <w:tblStyle w:val="TableGrid"/>
        <w:tblW w:w="0" w:type="auto"/>
        <w:jc w:val="center"/>
        <w:tblLook w:val="04A0" w:firstRow="1" w:lastRow="0" w:firstColumn="1" w:lastColumn="0" w:noHBand="0" w:noVBand="1"/>
      </w:tblPr>
      <w:tblGrid>
        <w:gridCol w:w="1188"/>
        <w:gridCol w:w="1125"/>
        <w:gridCol w:w="592"/>
        <w:gridCol w:w="1003"/>
        <w:gridCol w:w="1003"/>
        <w:gridCol w:w="1043"/>
      </w:tblGrid>
      <w:tr w:rsidR="002E6370" w14:paraId="268085B1" w14:textId="77777777" w:rsidTr="00A26353">
        <w:trPr>
          <w:jc w:val="center"/>
        </w:trPr>
        <w:tc>
          <w:tcPr>
            <w:tcW w:w="1188" w:type="dxa"/>
          </w:tcPr>
          <w:p w14:paraId="0AC563D7" w14:textId="237E07F0" w:rsidR="002E6370" w:rsidRDefault="002E6370" w:rsidP="00EC292F">
            <w:pPr>
              <w:pStyle w:val="NoSpacing"/>
            </w:pPr>
            <w:r>
              <w:t>Source</w:t>
            </w:r>
          </w:p>
        </w:tc>
        <w:tc>
          <w:tcPr>
            <w:tcW w:w="1125" w:type="dxa"/>
          </w:tcPr>
          <w:p w14:paraId="5193E8CD" w14:textId="57EF23C4" w:rsidR="002E6370" w:rsidRDefault="002E6370" w:rsidP="00A26353">
            <w:pPr>
              <w:pStyle w:val="NoSpacing"/>
              <w:jc w:val="center"/>
            </w:pPr>
            <w:r>
              <w:t>SS</w:t>
            </w:r>
          </w:p>
        </w:tc>
        <w:tc>
          <w:tcPr>
            <w:tcW w:w="592" w:type="dxa"/>
          </w:tcPr>
          <w:p w14:paraId="3256D511" w14:textId="4C44F6F9" w:rsidR="002E6370" w:rsidRDefault="002E6370" w:rsidP="00A26353">
            <w:pPr>
              <w:pStyle w:val="NoSpacing"/>
              <w:jc w:val="center"/>
            </w:pPr>
            <w:r>
              <w:t>DF</w:t>
            </w:r>
          </w:p>
        </w:tc>
        <w:tc>
          <w:tcPr>
            <w:tcW w:w="1003" w:type="dxa"/>
          </w:tcPr>
          <w:p w14:paraId="4838C9C9" w14:textId="64DD4C32" w:rsidR="002E6370" w:rsidRDefault="002E6370" w:rsidP="00A26353">
            <w:pPr>
              <w:pStyle w:val="NoSpacing"/>
              <w:jc w:val="center"/>
            </w:pPr>
            <w:r>
              <w:t>MS</w:t>
            </w:r>
          </w:p>
        </w:tc>
        <w:tc>
          <w:tcPr>
            <w:tcW w:w="1003" w:type="dxa"/>
          </w:tcPr>
          <w:p w14:paraId="45A21157" w14:textId="4724FCB1" w:rsidR="002E6370" w:rsidRDefault="002E6370" w:rsidP="00A26353">
            <w:pPr>
              <w:pStyle w:val="NoSpacing"/>
              <w:jc w:val="center"/>
            </w:pPr>
            <w:r>
              <w:t>F</w:t>
            </w:r>
          </w:p>
        </w:tc>
        <w:tc>
          <w:tcPr>
            <w:tcW w:w="1043" w:type="dxa"/>
          </w:tcPr>
          <w:p w14:paraId="758010F7" w14:textId="53483676" w:rsidR="002E6370" w:rsidRDefault="002E6370" w:rsidP="00A26353">
            <w:pPr>
              <w:pStyle w:val="NoSpacing"/>
              <w:jc w:val="center"/>
            </w:pPr>
            <w:r>
              <w:t>p-value</w:t>
            </w:r>
          </w:p>
        </w:tc>
      </w:tr>
      <w:tr w:rsidR="002E6370" w14:paraId="0A3A9470" w14:textId="77777777" w:rsidTr="00A26353">
        <w:trPr>
          <w:jc w:val="center"/>
        </w:trPr>
        <w:tc>
          <w:tcPr>
            <w:tcW w:w="1188" w:type="dxa"/>
          </w:tcPr>
          <w:p w14:paraId="2B95AF1E" w14:textId="452784C4" w:rsidR="002E6370" w:rsidRDefault="002E6370" w:rsidP="00EC292F">
            <w:pPr>
              <w:pStyle w:val="NoSpacing"/>
            </w:pPr>
            <w:r>
              <w:t>Between</w:t>
            </w:r>
          </w:p>
        </w:tc>
        <w:tc>
          <w:tcPr>
            <w:tcW w:w="1125" w:type="dxa"/>
          </w:tcPr>
          <w:p w14:paraId="286BE73E" w14:textId="413F7066" w:rsidR="002E6370" w:rsidRDefault="00F5512C" w:rsidP="00A26353">
            <w:pPr>
              <w:pStyle w:val="NoSpacing"/>
              <w:jc w:val="center"/>
            </w:pPr>
            <w:r>
              <w:t>60.971</w:t>
            </w:r>
          </w:p>
        </w:tc>
        <w:tc>
          <w:tcPr>
            <w:tcW w:w="592" w:type="dxa"/>
          </w:tcPr>
          <w:p w14:paraId="4E930B17" w14:textId="3F22C687" w:rsidR="002E6370" w:rsidRDefault="002E6370" w:rsidP="00A26353">
            <w:pPr>
              <w:pStyle w:val="NoSpacing"/>
              <w:jc w:val="center"/>
            </w:pPr>
            <w:r>
              <w:t>4</w:t>
            </w:r>
          </w:p>
        </w:tc>
        <w:tc>
          <w:tcPr>
            <w:tcW w:w="1003" w:type="dxa"/>
          </w:tcPr>
          <w:p w14:paraId="7A1D5BD3" w14:textId="6CB98DD9" w:rsidR="002E6370" w:rsidRDefault="00F5512C" w:rsidP="00A26353">
            <w:pPr>
              <w:pStyle w:val="NoSpacing"/>
              <w:jc w:val="center"/>
            </w:pPr>
            <w:r>
              <w:t>15.24</w:t>
            </w:r>
            <w:r w:rsidR="00A3320A">
              <w:t>3</w:t>
            </w:r>
          </w:p>
        </w:tc>
        <w:tc>
          <w:tcPr>
            <w:tcW w:w="1003" w:type="dxa"/>
          </w:tcPr>
          <w:p w14:paraId="5358B220" w14:textId="3FC65399" w:rsidR="002E6370" w:rsidRDefault="00A3320A" w:rsidP="00A26353">
            <w:pPr>
              <w:pStyle w:val="NoSpacing"/>
              <w:jc w:val="center"/>
            </w:pPr>
            <w:r>
              <w:t>20.580</w:t>
            </w:r>
          </w:p>
        </w:tc>
        <w:tc>
          <w:tcPr>
            <w:tcW w:w="1043" w:type="dxa"/>
          </w:tcPr>
          <w:p w14:paraId="0CB654DD" w14:textId="46C8BF96" w:rsidR="002E6370" w:rsidRDefault="002E6370" w:rsidP="00A26353">
            <w:pPr>
              <w:pStyle w:val="NoSpacing"/>
              <w:jc w:val="center"/>
            </w:pPr>
            <w:r>
              <w:t>&lt;0.001</w:t>
            </w:r>
          </w:p>
        </w:tc>
      </w:tr>
      <w:tr w:rsidR="002E6370" w14:paraId="66F0E016" w14:textId="77777777" w:rsidTr="00A26353">
        <w:trPr>
          <w:jc w:val="center"/>
        </w:trPr>
        <w:tc>
          <w:tcPr>
            <w:tcW w:w="1188" w:type="dxa"/>
          </w:tcPr>
          <w:p w14:paraId="045D4F87" w14:textId="03A66629" w:rsidR="002E6370" w:rsidRDefault="002E6370" w:rsidP="00EC292F">
            <w:pPr>
              <w:pStyle w:val="NoSpacing"/>
            </w:pPr>
            <w:r>
              <w:t>Within</w:t>
            </w:r>
          </w:p>
        </w:tc>
        <w:tc>
          <w:tcPr>
            <w:tcW w:w="1125" w:type="dxa"/>
          </w:tcPr>
          <w:p w14:paraId="0AC0A26C" w14:textId="48747444" w:rsidR="002E6370" w:rsidRDefault="00F5512C" w:rsidP="00A26353">
            <w:pPr>
              <w:pStyle w:val="NoSpacing"/>
              <w:jc w:val="center"/>
            </w:pPr>
            <w:r>
              <w:t>70.363</w:t>
            </w:r>
          </w:p>
        </w:tc>
        <w:tc>
          <w:tcPr>
            <w:tcW w:w="592" w:type="dxa"/>
          </w:tcPr>
          <w:p w14:paraId="1B23BB70" w14:textId="5619BB9F" w:rsidR="002E6370" w:rsidRDefault="002E6370" w:rsidP="00A26353">
            <w:pPr>
              <w:pStyle w:val="NoSpacing"/>
              <w:jc w:val="center"/>
            </w:pPr>
            <w:r>
              <w:t>95</w:t>
            </w:r>
          </w:p>
        </w:tc>
        <w:tc>
          <w:tcPr>
            <w:tcW w:w="1003" w:type="dxa"/>
          </w:tcPr>
          <w:p w14:paraId="44DA85FD" w14:textId="4B9BADE4" w:rsidR="002E6370" w:rsidRDefault="00A3320A" w:rsidP="00A26353">
            <w:pPr>
              <w:pStyle w:val="NoSpacing"/>
              <w:jc w:val="center"/>
            </w:pPr>
            <w:r>
              <w:t>0.741</w:t>
            </w:r>
          </w:p>
        </w:tc>
        <w:tc>
          <w:tcPr>
            <w:tcW w:w="1003" w:type="dxa"/>
          </w:tcPr>
          <w:p w14:paraId="0E530DA2" w14:textId="77777777" w:rsidR="002E6370" w:rsidRDefault="002E6370" w:rsidP="00A26353">
            <w:pPr>
              <w:pStyle w:val="NoSpacing"/>
              <w:jc w:val="center"/>
            </w:pPr>
          </w:p>
        </w:tc>
        <w:tc>
          <w:tcPr>
            <w:tcW w:w="1043" w:type="dxa"/>
          </w:tcPr>
          <w:p w14:paraId="233EC7B6" w14:textId="77777777" w:rsidR="002E6370" w:rsidRDefault="002E6370" w:rsidP="00A26353">
            <w:pPr>
              <w:pStyle w:val="NoSpacing"/>
              <w:jc w:val="center"/>
            </w:pPr>
          </w:p>
        </w:tc>
      </w:tr>
      <w:tr w:rsidR="002E6370" w14:paraId="1933DFC3" w14:textId="77777777" w:rsidTr="00A26353">
        <w:trPr>
          <w:jc w:val="center"/>
        </w:trPr>
        <w:tc>
          <w:tcPr>
            <w:tcW w:w="1188" w:type="dxa"/>
          </w:tcPr>
          <w:p w14:paraId="63A65F21" w14:textId="40A7D87A" w:rsidR="002E6370" w:rsidRDefault="002E6370" w:rsidP="00EC292F">
            <w:pPr>
              <w:pStyle w:val="NoSpacing"/>
            </w:pPr>
            <w:r>
              <w:t>Total</w:t>
            </w:r>
          </w:p>
        </w:tc>
        <w:tc>
          <w:tcPr>
            <w:tcW w:w="1125" w:type="dxa"/>
          </w:tcPr>
          <w:p w14:paraId="009C5833" w14:textId="60B1D402" w:rsidR="002E6370" w:rsidRDefault="00F5512C" w:rsidP="00A26353">
            <w:pPr>
              <w:pStyle w:val="NoSpacing"/>
              <w:jc w:val="center"/>
            </w:pPr>
            <w:r>
              <w:t>131.335</w:t>
            </w:r>
          </w:p>
        </w:tc>
        <w:tc>
          <w:tcPr>
            <w:tcW w:w="592" w:type="dxa"/>
          </w:tcPr>
          <w:p w14:paraId="08F03C87" w14:textId="06539E09" w:rsidR="002E6370" w:rsidRDefault="002E6370" w:rsidP="00A26353">
            <w:pPr>
              <w:pStyle w:val="NoSpacing"/>
              <w:jc w:val="center"/>
            </w:pPr>
            <w:r>
              <w:t>99</w:t>
            </w:r>
          </w:p>
        </w:tc>
        <w:tc>
          <w:tcPr>
            <w:tcW w:w="1003" w:type="dxa"/>
          </w:tcPr>
          <w:p w14:paraId="034EA9AA" w14:textId="77777777" w:rsidR="002E6370" w:rsidRDefault="002E6370" w:rsidP="00A26353">
            <w:pPr>
              <w:pStyle w:val="NoSpacing"/>
              <w:jc w:val="center"/>
            </w:pPr>
          </w:p>
        </w:tc>
        <w:tc>
          <w:tcPr>
            <w:tcW w:w="1003" w:type="dxa"/>
          </w:tcPr>
          <w:p w14:paraId="7BCF9A96" w14:textId="77777777" w:rsidR="002E6370" w:rsidRDefault="002E6370" w:rsidP="00A26353">
            <w:pPr>
              <w:pStyle w:val="NoSpacing"/>
              <w:jc w:val="center"/>
            </w:pPr>
          </w:p>
        </w:tc>
        <w:tc>
          <w:tcPr>
            <w:tcW w:w="1043" w:type="dxa"/>
          </w:tcPr>
          <w:p w14:paraId="666A5B0D" w14:textId="77777777" w:rsidR="002E6370" w:rsidRDefault="002E6370" w:rsidP="00A26353">
            <w:pPr>
              <w:pStyle w:val="NoSpacing"/>
              <w:jc w:val="center"/>
            </w:pPr>
          </w:p>
        </w:tc>
      </w:tr>
    </w:tbl>
    <w:p w14:paraId="57A29F6F" w14:textId="77777777" w:rsidR="008D3E08" w:rsidRDefault="008D3E08" w:rsidP="008D3E08">
      <w:pPr>
        <w:pStyle w:val="NoSpacing"/>
      </w:pPr>
    </w:p>
    <w:p w14:paraId="4E91748D" w14:textId="77777777" w:rsidR="00C70B16" w:rsidRDefault="00C70B16" w:rsidP="008D3E08">
      <w:pPr>
        <w:pStyle w:val="NoSpacing"/>
      </w:pPr>
    </w:p>
    <w:p w14:paraId="72C91676" w14:textId="77777777" w:rsidR="00C70B16" w:rsidRDefault="00C70B16" w:rsidP="00C70B16">
      <w:pPr>
        <w:pStyle w:val="NoSpacing"/>
        <w:keepNext/>
      </w:pPr>
      <w:r w:rsidRPr="006F1A8B">
        <w:rPr>
          <w:noProof/>
        </w:rPr>
        <w:drawing>
          <wp:inline distT="0" distB="0" distL="0" distR="0" wp14:anchorId="02ED761A" wp14:editId="6AD879FE">
            <wp:extent cx="5943600" cy="3747135"/>
            <wp:effectExtent l="0" t="0" r="0" b="0"/>
            <wp:docPr id="34478110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81100" name="Picture 1" descr="A diagram of a graph&#10;&#10;Description automatically generated"/>
                    <pic:cNvPicPr/>
                  </pic:nvPicPr>
                  <pic:blipFill>
                    <a:blip r:embed="rId18"/>
                    <a:stretch>
                      <a:fillRect/>
                    </a:stretch>
                  </pic:blipFill>
                  <pic:spPr>
                    <a:xfrm>
                      <a:off x="0" y="0"/>
                      <a:ext cx="5943600" cy="3747135"/>
                    </a:xfrm>
                    <a:prstGeom prst="rect">
                      <a:avLst/>
                    </a:prstGeom>
                  </pic:spPr>
                </pic:pic>
              </a:graphicData>
            </a:graphic>
          </wp:inline>
        </w:drawing>
      </w:r>
    </w:p>
    <w:p w14:paraId="276FB131" w14:textId="7E7DBBC1" w:rsidR="00C70B16" w:rsidRDefault="00C70B16" w:rsidP="00C70B16">
      <w:pPr>
        <w:pStyle w:val="Caption"/>
      </w:pPr>
      <w:r w:rsidRPr="004559B0">
        <w:rPr>
          <w:b/>
          <w:bCs/>
        </w:rPr>
        <w:t xml:space="preserve">Figure </w:t>
      </w:r>
      <w:r w:rsidRPr="004559B0">
        <w:rPr>
          <w:b/>
          <w:bCs/>
        </w:rPr>
        <w:fldChar w:fldCharType="begin"/>
      </w:r>
      <w:r w:rsidRPr="004559B0">
        <w:rPr>
          <w:b/>
          <w:bCs/>
        </w:rPr>
        <w:instrText xml:space="preserve"> SEQ Figure \* ARABIC </w:instrText>
      </w:r>
      <w:r w:rsidRPr="004559B0">
        <w:rPr>
          <w:b/>
          <w:bCs/>
        </w:rPr>
        <w:fldChar w:fldCharType="separate"/>
      </w:r>
      <w:r w:rsidR="007A7577">
        <w:rPr>
          <w:b/>
          <w:bCs/>
          <w:noProof/>
        </w:rPr>
        <w:t>10</w:t>
      </w:r>
      <w:r w:rsidRPr="004559B0">
        <w:rPr>
          <w:b/>
          <w:bCs/>
        </w:rPr>
        <w:fldChar w:fldCharType="end"/>
      </w:r>
      <w:r w:rsidRPr="004559B0">
        <w:rPr>
          <w:b/>
          <w:bCs/>
        </w:rPr>
        <w:t>.</w:t>
      </w:r>
      <w:r>
        <w:t xml:space="preserve"> </w:t>
      </w:r>
      <w:r w:rsidRPr="004559B0">
        <w:t xml:space="preserve">Bias in model performance estimation by </w:t>
      </w:r>
      <w:r>
        <w:t>Bl</w:t>
      </w:r>
      <w:r w:rsidRPr="004559B0">
        <w:t xml:space="preserve">ock CV and </w:t>
      </w:r>
      <w:r>
        <w:t>R</w:t>
      </w:r>
      <w:r w:rsidRPr="004559B0">
        <w:t>andom CV across 1000 iterations. The dashed line represents the null hypothesis that the mean performance estimate is zero.</w:t>
      </w:r>
    </w:p>
    <w:p w14:paraId="0C22629B" w14:textId="77777777" w:rsidR="00C70B16" w:rsidRDefault="00C70B16" w:rsidP="008D3E08">
      <w:pPr>
        <w:pStyle w:val="NoSpacing"/>
      </w:pPr>
    </w:p>
    <w:p w14:paraId="04A191ED" w14:textId="58CAE9B3" w:rsidR="00373EA8" w:rsidRDefault="006F646C" w:rsidP="00373EA8">
      <w:pPr>
        <w:pStyle w:val="Heading3"/>
      </w:pPr>
      <w:r>
        <w:t>Section Conclusion</w:t>
      </w:r>
    </w:p>
    <w:p w14:paraId="2B3E3B93" w14:textId="50670264" w:rsidR="006F646C" w:rsidRPr="006F646C" w:rsidRDefault="00373EA8" w:rsidP="00373EA8">
      <w:pPr>
        <w:ind w:firstLine="720"/>
      </w:pPr>
      <w:r>
        <w:t xml:space="preserve">In conclusion, block CV proves to be a vital tool in assessing the generalizability and accuracy of a predictive model, especially in contexts where block effects, such as herd variations, play a significant role in both the predicting </w:t>
      </w:r>
      <w:r w:rsidR="00E77A67">
        <w:t>features</w:t>
      </w:r>
      <w:r>
        <w:t xml:space="preserve"> and response variable. The random CV strategy, which randomly assigns samples to folds without considering block effects, tends to overestimate model performance. This study recommends that block CV be used as a benchmark in model validation, especially when block effects are present.</w:t>
      </w:r>
    </w:p>
    <w:p w14:paraId="175EEE59" w14:textId="77777777" w:rsidR="00A3575F" w:rsidRDefault="00A3575F">
      <w:pPr>
        <w:jc w:val="left"/>
      </w:pPr>
      <w:r>
        <w:br w:type="page"/>
      </w:r>
    </w:p>
    <w:p w14:paraId="70425893" w14:textId="2E477E09" w:rsidR="00F80964" w:rsidRDefault="00B31264" w:rsidP="00F80964">
      <w:pPr>
        <w:pStyle w:val="Heading1"/>
      </w:pPr>
      <w:r w:rsidRPr="00B31264">
        <w:lastRenderedPageBreak/>
        <w:t>4. Conclusion</w:t>
      </w:r>
    </w:p>
    <w:p w14:paraId="3C4CF6FD" w14:textId="77777777" w:rsidR="00F80964" w:rsidRDefault="00F80964" w:rsidP="00F80964">
      <w:pPr>
        <w:ind w:firstLine="720"/>
      </w:pPr>
      <w:r>
        <w:t>In summary, the review highlights several key considerations for performance assessment and validation in predictive modeling.</w:t>
      </w:r>
    </w:p>
    <w:p w14:paraId="39021B26" w14:textId="73D70973" w:rsidR="00F80964" w:rsidRPr="00CB2F60" w:rsidRDefault="00E171E9" w:rsidP="00CB2F60">
      <w:pPr>
        <w:ind w:firstLine="720"/>
      </w:pPr>
      <w:r>
        <w:t>W</w:t>
      </w:r>
      <w:r w:rsidR="00F80964">
        <w:t xml:space="preserve">hen evaluating regression models, the choice of metrics like Correlation Coefficient r,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B2F60">
        <w:t xml:space="preserve"> </w:t>
      </w:r>
      <w:r w:rsidR="00F80964">
        <w:t>depends on the specific goals of the model. A comprehensive evaluation should include multiple metrics to understand different aspects of model performance. In binary classification models, precision and recall are crucial, but it is essential to correctly designate the positive class to avoid bias. Label-invariant metrics, such as the ROC curve and the proposed MCC curve, provide a balanced assessment, unaffected by class label choices.</w:t>
      </w:r>
    </w:p>
    <w:p w14:paraId="024A1229" w14:textId="3FE99CE8" w:rsidR="00F80964" w:rsidRDefault="000F06A4" w:rsidP="00F80964">
      <w:pPr>
        <w:ind w:firstLine="720"/>
      </w:pPr>
      <w:r>
        <w:t>Additionally</w:t>
      </w:r>
      <w:r w:rsidR="00F80964">
        <w:t>, the reliability of model validation is significantly influenced by estimator choice and sample size. Larger sample sizes tend to reduce bias and variance, increasing validation reliability. Cross-validation methods, such as K-fold CV and LOOCV, are preferable for unbiased performance estimation, with the number of folds in K-fold CV being particularly influential in smaller datasets.</w:t>
      </w:r>
      <w:r w:rsidR="00E171E9">
        <w:t xml:space="preserve"> </w:t>
      </w:r>
      <w:r w:rsidR="00F80964">
        <w:t xml:space="preserve">Moreover, the review underscores the importance of correct implementation in model selection processes, as improper techniques can inflate performance estimates. This is especially true in complex models where feature selection and hyperparameter tuning need meticulous cross-validation to avoid overestimation of performance. Finally, the utility of </w:t>
      </w:r>
      <w:r w:rsidR="007013CB">
        <w:t>B</w:t>
      </w:r>
      <w:r w:rsidR="00F80964">
        <w:t xml:space="preserve">lock CV is emphasized in contexts where block effects are significant. It provides a more realistic assessment of model generalizability and accuracy compared to </w:t>
      </w:r>
      <w:r w:rsidR="00F0560A">
        <w:t xml:space="preserve">a </w:t>
      </w:r>
      <w:r w:rsidR="007013CB">
        <w:t>R</w:t>
      </w:r>
      <w:r w:rsidR="00F80964">
        <w:t>andom CV, which tends to overestimate performance in such scenarios.</w:t>
      </w:r>
    </w:p>
    <w:p w14:paraId="2118A24A" w14:textId="23CF46B5" w:rsidR="00B31264" w:rsidRDefault="00F80964" w:rsidP="00F80964">
      <w:pPr>
        <w:ind w:firstLine="720"/>
      </w:pPr>
      <w:r>
        <w:t>Overall, the review recommends a thoughtful selection of metrics and validation techniques, tailored to the specific dataset and modeling objectives, to ensure accurate and reliable performance assessments in predictive modeling.</w:t>
      </w:r>
    </w:p>
    <w:p w14:paraId="320DAD9E" w14:textId="77777777" w:rsidR="009400A8" w:rsidRDefault="009400A8" w:rsidP="00F80964">
      <w:pPr>
        <w:ind w:firstLine="720"/>
      </w:pPr>
    </w:p>
    <w:p w14:paraId="34AEF5DE" w14:textId="62678F52" w:rsidR="009400A8" w:rsidRDefault="009400A8" w:rsidP="009400A8">
      <w:pPr>
        <w:pStyle w:val="Heading1"/>
      </w:pPr>
      <w:r>
        <w:t>Acknowledgement</w:t>
      </w:r>
    </w:p>
    <w:p w14:paraId="06C0D4C0" w14:textId="66A4B4C4" w:rsidR="00EF0679" w:rsidRDefault="002A5243" w:rsidP="001B454D">
      <w:r>
        <w:tab/>
      </w:r>
      <w:r w:rsidRPr="002A5243">
        <w:t xml:space="preserve">The author expresses </w:t>
      </w:r>
      <w:r>
        <w:t>his</w:t>
      </w:r>
      <w:r w:rsidRPr="002A5243">
        <w:t xml:space="preserve"> gratitude to Drs. </w:t>
      </w:r>
      <w:proofErr w:type="spellStart"/>
      <w:r w:rsidRPr="002A5243">
        <w:t>Zhiwu</w:t>
      </w:r>
      <w:proofErr w:type="spellEnd"/>
      <w:r w:rsidRPr="002A5243">
        <w:t xml:space="preserve"> Zhang, Hao Cheng, </w:t>
      </w:r>
      <w:proofErr w:type="spellStart"/>
      <w:r w:rsidRPr="002A5243">
        <w:t>Gota</w:t>
      </w:r>
      <w:proofErr w:type="spellEnd"/>
      <w:r w:rsidRPr="002A5243">
        <w:t xml:space="preserve"> Morota, </w:t>
      </w:r>
      <w:r w:rsidR="00384AD9">
        <w:t xml:space="preserve">and </w:t>
      </w:r>
      <w:r w:rsidRPr="002A5243">
        <w:t>Gonzalo Ferreira for their insightful discussions that partially contributed to this review. The authors declare no conflicts of interest.</w:t>
      </w:r>
    </w:p>
    <w:p w14:paraId="4B76CA72" w14:textId="77777777" w:rsidR="00EF0679" w:rsidRDefault="00EF0679">
      <w:pPr>
        <w:jc w:val="left"/>
      </w:pPr>
      <w:r>
        <w:br w:type="page"/>
      </w:r>
    </w:p>
    <w:p w14:paraId="79AD4D38" w14:textId="2D1D7768" w:rsidR="004E3F3E" w:rsidRDefault="004E3F3E" w:rsidP="004E3F3E">
      <w:pPr>
        <w:pStyle w:val="Heading1"/>
      </w:pPr>
      <w:r>
        <w:lastRenderedPageBreak/>
        <w:t>References</w:t>
      </w:r>
    </w:p>
    <w:p w14:paraId="4589F2FF" w14:textId="77777777" w:rsidR="00113ACB" w:rsidRPr="00113ACB" w:rsidRDefault="00DB6BFD" w:rsidP="0012247A">
      <w:pPr>
        <w:pStyle w:val="Bibliography"/>
        <w:spacing w:after="0" w:line="240" w:lineRule="auto"/>
      </w:pPr>
      <w:r>
        <w:fldChar w:fldCharType="begin"/>
      </w:r>
      <w:r w:rsidR="00113ACB">
        <w:instrText xml:space="preserve"> ADDIN ZOTERO_BIBL {"uncited":[],"omitted":[],"custom":[]} CSL_BIBLIOGRAPHY </w:instrText>
      </w:r>
      <w:r>
        <w:fldChar w:fldCharType="separate"/>
      </w:r>
      <w:r w:rsidR="00113ACB" w:rsidRPr="00113ACB">
        <w:t>Abdi, H. 2003. Partial Least Square Regression PLS-Regression. Encyclopedia of social sciences research methods 792–795.</w:t>
      </w:r>
    </w:p>
    <w:p w14:paraId="583BF7A1" w14:textId="77777777" w:rsidR="00113ACB" w:rsidRPr="00113ACB" w:rsidRDefault="00113ACB" w:rsidP="0012247A">
      <w:pPr>
        <w:pStyle w:val="Bibliography"/>
        <w:spacing w:after="0" w:line="240" w:lineRule="auto"/>
      </w:pPr>
      <w:r w:rsidRPr="00113ACB">
        <w:t>Adriaens, I., N.C. Friggens, W. Ouweltjes, H. Scott, B. Aernouts, and J. Statham. 2020. Productive life span and resilience rank can be predicted from on-farm first-parity sensor time series but not using a common equation across farms. Journal of Dairy Science 103:7155–7171. doi:10.3168/jds.2019-17826.</w:t>
      </w:r>
    </w:p>
    <w:p w14:paraId="0F97B0E9" w14:textId="77777777" w:rsidR="00113ACB" w:rsidRPr="00113ACB" w:rsidRDefault="00113ACB" w:rsidP="0012247A">
      <w:pPr>
        <w:pStyle w:val="Bibliography"/>
        <w:spacing w:after="0" w:line="240" w:lineRule="auto"/>
      </w:pPr>
      <w:r w:rsidRPr="00113ACB">
        <w:t>Alsaaod, M., M. Fadul, and A. Steiner. 2019. Automatic lameness detection in cattle. The Veterinary Journal 246:35–44. doi:10.1016/j.tvjl.2019.01.005.</w:t>
      </w:r>
    </w:p>
    <w:p w14:paraId="496A90D1" w14:textId="77777777" w:rsidR="00113ACB" w:rsidRPr="00113ACB" w:rsidRDefault="00113ACB" w:rsidP="0012247A">
      <w:pPr>
        <w:pStyle w:val="Bibliography"/>
        <w:spacing w:after="0" w:line="240" w:lineRule="auto"/>
      </w:pPr>
      <w:r w:rsidRPr="00113ACB">
        <w:t>Appuhamy, J.A.D.R.N., J.V. Judy, E. Kebreab, and P.J. Kononoff. 2016. Prediction of drinking water intake by dairy cows. Journal of Dairy Science 99:7191–7205. doi:10.3168/jds.2016-10950.</w:t>
      </w:r>
    </w:p>
    <w:p w14:paraId="18428848" w14:textId="77777777" w:rsidR="00113ACB" w:rsidRPr="00113ACB" w:rsidRDefault="00113ACB" w:rsidP="0012247A">
      <w:pPr>
        <w:pStyle w:val="Bibliography"/>
        <w:spacing w:after="0" w:line="240" w:lineRule="auto"/>
      </w:pPr>
      <w:r w:rsidRPr="00113ACB">
        <w:t>Becker, C.A., A. Aghalari, M. Marufuzzaman, and A.E. Stone. 2021. Predicting dairy cattle heat stress using machine learning techniques. Journal of Dairy Science 104:501–524. doi:10.3168/jds.2020-18653.</w:t>
      </w:r>
    </w:p>
    <w:p w14:paraId="4B72EA47" w14:textId="77777777" w:rsidR="00113ACB" w:rsidRPr="00113ACB" w:rsidRDefault="00113ACB" w:rsidP="0012247A">
      <w:pPr>
        <w:pStyle w:val="Bibliography"/>
        <w:spacing w:after="0" w:line="240" w:lineRule="auto"/>
      </w:pPr>
      <w:r w:rsidRPr="00113ACB">
        <w:t>Borchers, M.R., Y.M. Chang, K.L. Proudfoot, B.A. Wadsworth, A.E. Stone, and J.M. Bewley. 2017. Machine-learning-based calving prediction from activity, lying, and ruminating behaviors in dairy cattle. Journal of Dairy Science 100:5664–5674. doi:10.3168/jds.2016-11526.</w:t>
      </w:r>
    </w:p>
    <w:p w14:paraId="12928182" w14:textId="77777777" w:rsidR="00113ACB" w:rsidRPr="00113ACB" w:rsidRDefault="00113ACB" w:rsidP="0012247A">
      <w:pPr>
        <w:pStyle w:val="Bibliography"/>
        <w:spacing w:after="0" w:line="240" w:lineRule="auto"/>
      </w:pPr>
      <w:r w:rsidRPr="00113ACB">
        <w:t>Bowen, J.M., M.J. Haskell, G.A. Miller, C.S. Mason, D.J. Bell, and C.-A. Duthie. 2021. Early prediction of respiratory disease in preweaning dairy calves using feeding and activity behaviors. Journal of Dairy Science 104:12009–12018. doi:10.3168/jds.2021-20373.</w:t>
      </w:r>
    </w:p>
    <w:p w14:paraId="197F184B" w14:textId="77777777" w:rsidR="00113ACB" w:rsidRPr="00113ACB" w:rsidRDefault="00113ACB" w:rsidP="0012247A">
      <w:pPr>
        <w:pStyle w:val="Bibliography"/>
        <w:spacing w:after="0" w:line="240" w:lineRule="auto"/>
      </w:pPr>
      <w:r w:rsidRPr="00113ACB">
        <w:t>Breiman, L. 2001. Random Forests. Machine Learning 45:5–32. doi:10.1023/A:1010933404324.</w:t>
      </w:r>
    </w:p>
    <w:p w14:paraId="3BD3B456" w14:textId="77777777" w:rsidR="00113ACB" w:rsidRPr="00113ACB" w:rsidRDefault="00113ACB" w:rsidP="0012247A">
      <w:pPr>
        <w:pStyle w:val="Bibliography"/>
        <w:spacing w:after="0" w:line="240" w:lineRule="auto"/>
      </w:pPr>
      <w:r w:rsidRPr="00113ACB">
        <w:t>Bresolin, T., and J.R.R. Dórea. 2020. Infrared Spectrometry as a High-Throughput Phenotyping Technology to Predict Complex Traits in Livestock Systems. Frontiers in Genetics 11.</w:t>
      </w:r>
    </w:p>
    <w:p w14:paraId="43BA1ED5" w14:textId="77777777" w:rsidR="00113ACB" w:rsidRPr="00113ACB" w:rsidRDefault="00113ACB" w:rsidP="0012247A">
      <w:pPr>
        <w:pStyle w:val="Bibliography"/>
        <w:spacing w:after="0" w:line="240" w:lineRule="auto"/>
      </w:pPr>
      <w:r w:rsidRPr="00113ACB">
        <w:t>Cawley, G.C., and N.L.C. Talbot. 2010. On Over-fitting in Model Selection and Subsequent Selection Bias in Performance Evaluation. J. Mach. Learn. Res. 11:2079–2107.</w:t>
      </w:r>
    </w:p>
    <w:p w14:paraId="563DB82E" w14:textId="77777777" w:rsidR="00113ACB" w:rsidRPr="00113ACB" w:rsidRDefault="00113ACB" w:rsidP="0012247A">
      <w:pPr>
        <w:pStyle w:val="Bibliography"/>
        <w:spacing w:after="0" w:line="240" w:lineRule="auto"/>
      </w:pPr>
      <w:r w:rsidRPr="00113ACB">
        <w:t>Cheng, H., D.J. Garrick, and R.L. Fernando. 2017. Efficient strategies for leave-one-out cross validation for genomic best linear unbiased prediction. Journal of Animal Science and Biotechnology 8:38. doi:10.1186/s40104-017-0164-6.</w:t>
      </w:r>
    </w:p>
    <w:p w14:paraId="18CF9EA5" w14:textId="77777777" w:rsidR="00113ACB" w:rsidRPr="00113ACB" w:rsidRDefault="00113ACB" w:rsidP="0012247A">
      <w:pPr>
        <w:pStyle w:val="Bibliography"/>
        <w:spacing w:after="0" w:line="240" w:lineRule="auto"/>
      </w:pPr>
      <w:r w:rsidRPr="00113ACB">
        <w:t>Chicco, D., and G. Jurman. 2020. The advantages of the Matthews correlation coefficient (MCC) over F1 score and accuracy in binary classification evaluation. BMC Genomics 21:6. doi:10.1186/s12864-019-6413-7.</w:t>
      </w:r>
    </w:p>
    <w:p w14:paraId="7005E2ED" w14:textId="77777777" w:rsidR="00113ACB" w:rsidRPr="00113ACB" w:rsidRDefault="00113ACB" w:rsidP="0012247A">
      <w:pPr>
        <w:pStyle w:val="Bibliography"/>
        <w:spacing w:after="0" w:line="240" w:lineRule="auto"/>
      </w:pPr>
      <w:r w:rsidRPr="00113ACB">
        <w:t>Delhez, P., P.N. Ho, N. Gengler, H. Soyeurt, and J.E. Pryce. 2020. Diagnosing the pregnancy status of dairy cows: How useful is milk mid-infrared spectroscopy?. Journal of Dairy Science 103:3264–3274. doi:10.3168/jds.2019-17473.</w:t>
      </w:r>
    </w:p>
    <w:p w14:paraId="2CDF86C6" w14:textId="77777777" w:rsidR="00113ACB" w:rsidRPr="00113ACB" w:rsidRDefault="00113ACB" w:rsidP="0012247A">
      <w:pPr>
        <w:pStyle w:val="Bibliography"/>
        <w:spacing w:after="0" w:line="240" w:lineRule="auto"/>
      </w:pPr>
      <w:r w:rsidRPr="00113ACB">
        <w:t>Denholm, S.J., W. Brand, A.P. Mitchell, A.T. Wells, T. Krzyzelewski, S.L. Smith, E. Wall, and M.P. Coffey. 2020. Predicting bovine tuberculosis status of dairy cows from mid-infrared spectral data of milk using deep learning. Journal of Dairy Science 103:9355–9367. doi:10.3168/jds.2020-18328.</w:t>
      </w:r>
    </w:p>
    <w:p w14:paraId="16422A55" w14:textId="77777777" w:rsidR="00113ACB" w:rsidRPr="00113ACB" w:rsidRDefault="00113ACB" w:rsidP="0012247A">
      <w:pPr>
        <w:pStyle w:val="Bibliography"/>
        <w:spacing w:after="0" w:line="240" w:lineRule="auto"/>
      </w:pPr>
      <w:r w:rsidRPr="00113ACB">
        <w:t>van Dixhoorn, I.D.E., R.M. de Mol, J.T.N. van der Werf, S. van Mourik, and C.G. van Reenen. 2018. Indicators of resilience during the transition period in dairy cows: A case study. Journal of Dairy Science 101:10271–10282. doi:10.3168/jds.2018-14779.</w:t>
      </w:r>
    </w:p>
    <w:p w14:paraId="035EAE8A" w14:textId="77777777" w:rsidR="00113ACB" w:rsidRPr="00113ACB" w:rsidRDefault="00113ACB" w:rsidP="0012247A">
      <w:pPr>
        <w:pStyle w:val="Bibliography"/>
        <w:spacing w:after="0" w:line="240" w:lineRule="auto"/>
      </w:pPr>
      <w:r w:rsidRPr="00113ACB">
        <w:lastRenderedPageBreak/>
        <w:t>Dórea, J.R.R., G.J.M. Rosa, K.A. Weld, and L.E. Armentano. 2018. Mining data from milk infrared spectroscopy to improve feed intake predictions in lactating dairy cows. Journal of Dairy Science 101:5878–5889. doi:10.3168/jds.2017-13997.</w:t>
      </w:r>
    </w:p>
    <w:p w14:paraId="625A8553" w14:textId="77777777" w:rsidR="00113ACB" w:rsidRPr="00113ACB" w:rsidRDefault="00113ACB" w:rsidP="0012247A">
      <w:pPr>
        <w:pStyle w:val="Bibliography"/>
        <w:spacing w:after="0" w:line="240" w:lineRule="auto"/>
      </w:pPr>
      <w:r w:rsidRPr="00113ACB">
        <w:t>Drucker, H., C.J.C. Burges, L. Kaufman, A. Smola, and V. Vapnik. 1996. Support vector regression machines. Pages 155–161 in Proceedings of the 9th International Conference on Neural Information Processing Systems. MIT Press, Cambridge, MA, USA.</w:t>
      </w:r>
    </w:p>
    <w:p w14:paraId="45B9ACE6" w14:textId="77777777" w:rsidR="00113ACB" w:rsidRPr="00113ACB" w:rsidRDefault="00113ACB" w:rsidP="0012247A">
      <w:pPr>
        <w:pStyle w:val="Bibliography"/>
        <w:spacing w:after="0" w:line="240" w:lineRule="auto"/>
      </w:pPr>
      <w:r w:rsidRPr="00113ACB">
        <w:t>Frizzarin, M., I.C. Gormley, D.P. Berry, T.B. Murphy, A. Casa, A. Lynch, and S. McParland. 2021. Predicting cow milk quality traits from routinely available milk spectra using statistical machine learning methods. Journal of Dairy Science 104:7438–7447. doi:10.3168/jds.2020-19576.</w:t>
      </w:r>
    </w:p>
    <w:p w14:paraId="7F2AD508" w14:textId="77777777" w:rsidR="00113ACB" w:rsidRPr="00113ACB" w:rsidRDefault="00113ACB" w:rsidP="0012247A">
      <w:pPr>
        <w:pStyle w:val="Bibliography"/>
        <w:spacing w:after="0" w:line="240" w:lineRule="auto"/>
      </w:pPr>
      <w:r w:rsidRPr="00113ACB">
        <w:t>Ghaffari, M.H., A. Jahanbekam, H. Sadri, K. Schuh, G. Dusel, C. Prehn, J. Adamski, C. Koch, and H. Sauerwein. 2019. Metabolomics meets machine learning: Longitudinal metabolite profiling in serum of normal versus overconditioned cows and pathway analysis. Journal of Dairy Science 102:11561–11585. doi:10.3168/jds.2019-17114.</w:t>
      </w:r>
    </w:p>
    <w:p w14:paraId="293BA02C" w14:textId="77777777" w:rsidR="00113ACB" w:rsidRPr="00113ACB" w:rsidRDefault="00113ACB" w:rsidP="0012247A">
      <w:pPr>
        <w:pStyle w:val="Bibliography"/>
        <w:spacing w:after="0" w:line="240" w:lineRule="auto"/>
      </w:pPr>
      <w:r w:rsidRPr="00113ACB">
        <w:t>Grelet, C., E. Froidmont, L. Foldager, M. Salavati, M. Hostens, C.P. Ferris, K.L. Ingvartsen, M.A. Crowe, M.T. Sorensen, J.A. Fernandez Pierna, A. Vanlierde, N. Gengler, and F. Dehareng. 2020. Potential of milk mid-infrared spectra to predict nitrogen use efficiency of individual dairy cows in early lactation. Journal of Dairy Science 103:4435–4445. doi:10.3168/jds.2019-17910.</w:t>
      </w:r>
    </w:p>
    <w:p w14:paraId="6F7C9305" w14:textId="77777777" w:rsidR="00113ACB" w:rsidRPr="00113ACB" w:rsidRDefault="00113ACB" w:rsidP="0012247A">
      <w:pPr>
        <w:pStyle w:val="Bibliography"/>
        <w:spacing w:after="0" w:line="240" w:lineRule="auto"/>
      </w:pPr>
      <w:r w:rsidRPr="00113ACB">
        <w:t>Hastie, T., R. Tibshirani, and J.H. Friedman. 2009. The Elements of Statistical Learning: Data Mining, Inference, and Prediction. Springer series in statistics. Springer.</w:t>
      </w:r>
    </w:p>
    <w:p w14:paraId="19211B42" w14:textId="77777777" w:rsidR="00113ACB" w:rsidRPr="00113ACB" w:rsidRDefault="00113ACB" w:rsidP="0012247A">
      <w:pPr>
        <w:pStyle w:val="Bibliography"/>
        <w:spacing w:after="0" w:line="240" w:lineRule="auto"/>
      </w:pPr>
      <w:r w:rsidRPr="00113ACB">
        <w:t>Hoerl, A.E., and R.W. Kennard. 1970. Ridge Regression: Biased Estimation for Nonorthogonal Problems. Technometrics 12:55–67. doi:10.2307/1267351.</w:t>
      </w:r>
    </w:p>
    <w:p w14:paraId="261F70CB" w14:textId="77777777" w:rsidR="00113ACB" w:rsidRPr="00113ACB" w:rsidRDefault="00113ACB" w:rsidP="0012247A">
      <w:pPr>
        <w:pStyle w:val="Bibliography"/>
        <w:spacing w:after="0" w:line="240" w:lineRule="auto"/>
      </w:pPr>
      <w:r w:rsidRPr="00113ACB">
        <w:t>Jensen, D.B., H. Hogeveen, and A. De Vries. 2016. Bayesian integration of sensor information and a multivariate dynamic linear model for prediction of dairy cow mastitis. Journal of Dairy Science 99:7344–7361. doi:10.3168/jds.2015-10060.</w:t>
      </w:r>
    </w:p>
    <w:p w14:paraId="1F36EFF8" w14:textId="77777777" w:rsidR="00113ACB" w:rsidRPr="00113ACB" w:rsidRDefault="00113ACB" w:rsidP="0012247A">
      <w:pPr>
        <w:pStyle w:val="Bibliography"/>
        <w:spacing w:after="0" w:line="240" w:lineRule="auto"/>
      </w:pPr>
      <w:r w:rsidRPr="00113ACB">
        <w:t>Kandeel, S.A., A.A. Megahed, M.H. Ebeid, and P.D. Constable. 2019. Ability of milk pH to predict subclinical mastitis and intramammary infection in quarters from lactating dairy cattle. Journal of Dairy Science 102:1417–1427. doi:10.3168/jds.2018-14993.</w:t>
      </w:r>
    </w:p>
    <w:p w14:paraId="19A0B6DE" w14:textId="77777777" w:rsidR="00113ACB" w:rsidRPr="00113ACB" w:rsidRDefault="00113ACB" w:rsidP="0012247A">
      <w:pPr>
        <w:pStyle w:val="Bibliography"/>
        <w:spacing w:after="0" w:line="240" w:lineRule="auto"/>
      </w:pPr>
      <w:r w:rsidRPr="00113ACB">
        <w:t>Kang, X., X.D. Zhang, and G. Liu. 2020. Accurate detection of lameness in dairy cattle with computer vision: A new and individualized detection strategy based on the analysis of the supporting phase. Journal of Dairy Science 103:10628–10638. doi:10.3168/jds.2020-18288.</w:t>
      </w:r>
    </w:p>
    <w:p w14:paraId="459417D9" w14:textId="77777777" w:rsidR="00113ACB" w:rsidRPr="00113ACB" w:rsidRDefault="00113ACB" w:rsidP="0012247A">
      <w:pPr>
        <w:pStyle w:val="Bibliography"/>
        <w:spacing w:after="0" w:line="240" w:lineRule="auto"/>
      </w:pPr>
      <w:r w:rsidRPr="00113ACB">
        <w:t>Lahart, B., S. McParland, E. Kennedy, T.M. Boland, T. Condon, M. Williams, N. Galvin, B. McCarthy, and F. Buckley. 2019. Predicting the dry matter intake of grazing dairy cows using infrared reflectance spectroscopy analysis. Journal of Dairy Science 102:8907–8918. doi:10.3168/jds.2019-16363.</w:t>
      </w:r>
    </w:p>
    <w:p w14:paraId="5D63B852" w14:textId="77777777" w:rsidR="00113ACB" w:rsidRPr="00113ACB" w:rsidRDefault="00113ACB" w:rsidP="0012247A">
      <w:pPr>
        <w:pStyle w:val="Bibliography"/>
        <w:spacing w:after="0" w:line="240" w:lineRule="auto"/>
      </w:pPr>
      <w:r w:rsidRPr="00113ACB">
        <w:t>LeCun, Y. 1989. Backpropagation Applied to Handwritten Zip Code Recognition.</w:t>
      </w:r>
    </w:p>
    <w:p w14:paraId="55A30F7C" w14:textId="77777777" w:rsidR="00113ACB" w:rsidRPr="00113ACB" w:rsidRDefault="00113ACB" w:rsidP="0012247A">
      <w:pPr>
        <w:pStyle w:val="Bibliography"/>
        <w:spacing w:after="0" w:line="240" w:lineRule="auto"/>
      </w:pPr>
      <w:r w:rsidRPr="00113ACB">
        <w:t>Mäntysaari, P., E.A. Mäntysaari, T. Kokkonen, T. Mehtiö, S. Kajava, C. Grelet, P. Lidauer, and M.H. Lidauer. 2019. Body and milk traits as indicators of dairy cow energy status in early lactation. Journal of Dairy Science 102:7904–7916. doi:10.3168/jds.2018-15792.</w:t>
      </w:r>
    </w:p>
    <w:p w14:paraId="6B95DEE3" w14:textId="77777777" w:rsidR="00113ACB" w:rsidRPr="00113ACB" w:rsidRDefault="00113ACB" w:rsidP="0012247A">
      <w:pPr>
        <w:pStyle w:val="Bibliography"/>
        <w:spacing w:after="0" w:line="240" w:lineRule="auto"/>
      </w:pPr>
      <w:r w:rsidRPr="00113ACB">
        <w:t>Mota, L.F.M., D. Giannuzzi, V. Bisutti, S. Pegolo, E. Trevisi, S. Schiavon, L. Gallo, D. Fineboym, G. Katz, and A. Cecchinato. 2022. Real-time milk analysis integrated with stacking ensemble learning as a tool for the daily prediction of cheese-making traits in Holstein cattle. Journal of Dairy Science 105:4237–4255. doi:10.3168/jds.2021-21426.</w:t>
      </w:r>
    </w:p>
    <w:p w14:paraId="6F94984F" w14:textId="77777777" w:rsidR="00113ACB" w:rsidRPr="00113ACB" w:rsidRDefault="00113ACB" w:rsidP="0012247A">
      <w:pPr>
        <w:pStyle w:val="Bibliography"/>
        <w:spacing w:after="0" w:line="240" w:lineRule="auto"/>
      </w:pPr>
      <w:r w:rsidRPr="00113ACB">
        <w:lastRenderedPageBreak/>
        <w:t>O’Leary, N.W., D.T. Byrne, A.H. O’Connor, and L. Shalloo. 2020. Invited review: Cattle lameness detection with accelerometers. Journal of Dairy Science 103:3895–3911. doi:10.3168/jds.2019-17123.</w:t>
      </w:r>
    </w:p>
    <w:p w14:paraId="32A3F37B" w14:textId="77777777" w:rsidR="00113ACB" w:rsidRPr="00113ACB" w:rsidRDefault="00113ACB" w:rsidP="0012247A">
      <w:pPr>
        <w:pStyle w:val="Bibliography"/>
        <w:spacing w:after="0" w:line="240" w:lineRule="auto"/>
      </w:pPr>
      <w:r w:rsidRPr="00113ACB">
        <w:t>Ouellet, V., E. Vasseur, W. Heuwieser, O. Burfeind, X. Maldague, and É. Charbonneau. 2016. Evaluation of calving indicators measured by automated monitoring devices to predict the onset of calving in Holstein dairy cows. Journal of Dairy Science 99:1539–1548. doi:10.3168/jds.2015-10057.</w:t>
      </w:r>
    </w:p>
    <w:p w14:paraId="56C074FF" w14:textId="77777777" w:rsidR="00113ACB" w:rsidRPr="00113ACB" w:rsidRDefault="00113ACB" w:rsidP="0012247A">
      <w:pPr>
        <w:pStyle w:val="Bibliography"/>
        <w:spacing w:after="0" w:line="240" w:lineRule="auto"/>
      </w:pPr>
      <w:r w:rsidRPr="00113ACB">
        <w:t>Rovere, G., G. de los Campos, A.L. Lock, L. Worden, A.I. Vazquez, K. Lee, and R.J. Tempelman. 2021. Prediction of fatty acid composition using milk spectral data and its associations with various mid-infrared spectral regions in Michigan Holsteins. Journal of Dairy Science 104:11242–11258. doi:10.3168/jds.2021-20267.</w:t>
      </w:r>
    </w:p>
    <w:p w14:paraId="30554722" w14:textId="77777777" w:rsidR="00113ACB" w:rsidRPr="00113ACB" w:rsidRDefault="00113ACB" w:rsidP="0012247A">
      <w:pPr>
        <w:pStyle w:val="Bibliography"/>
        <w:spacing w:after="0" w:line="240" w:lineRule="auto"/>
      </w:pPr>
      <w:r w:rsidRPr="00113ACB">
        <w:t>Song, X., E.A.M. Bokkers, P.P.J. Van Der Tol, P.W.G. Groot Koerkamp, and S. Van Mourik. 2018. Automated body weight prediction of dairy cows using 3-dimensional vision. Journal of Dairy Science 101:4448–4459. doi:10.3168/jds.2017-13094.</w:t>
      </w:r>
    </w:p>
    <w:p w14:paraId="5296BDCA" w14:textId="77777777" w:rsidR="00113ACB" w:rsidRPr="00113ACB" w:rsidRDefault="00113ACB" w:rsidP="0012247A">
      <w:pPr>
        <w:pStyle w:val="Bibliography"/>
        <w:spacing w:after="0" w:line="240" w:lineRule="auto"/>
      </w:pPr>
      <w:r w:rsidRPr="00113ACB">
        <w:t>de Souza, R.A., R.J. Tempelman, M.S. Allen, W.P. Weiss, J.K. Bernard, and M.J. VandeHaar. 2018. Predicting nutrient digestibility in high-producing dairy cows. Journal of Dairy Science 101:1123–1135. doi:10.3168/jds.2017-13344.</w:t>
      </w:r>
    </w:p>
    <w:p w14:paraId="7BFBD16F" w14:textId="77777777" w:rsidR="00113ACB" w:rsidRPr="00113ACB" w:rsidRDefault="00113ACB" w:rsidP="0012247A">
      <w:pPr>
        <w:pStyle w:val="Bibliography"/>
        <w:spacing w:after="0" w:line="240" w:lineRule="auto"/>
      </w:pPr>
      <w:r w:rsidRPr="00113ACB">
        <w:t>Spoliansky, R., Y. Edan, Y. Parmet, and I. Halachmi. 2016. Development of automatic body condition scoring using a low-cost 3-dimensional Kinect camera. Journal of Dairy Science 99:7714–7725. doi:10.3168/jds.2015-10607.</w:t>
      </w:r>
    </w:p>
    <w:p w14:paraId="069E947A" w14:textId="77777777" w:rsidR="00113ACB" w:rsidRPr="00113ACB" w:rsidRDefault="00113ACB" w:rsidP="0012247A">
      <w:pPr>
        <w:pStyle w:val="Bibliography"/>
        <w:spacing w:after="0" w:line="240" w:lineRule="auto"/>
      </w:pPr>
      <w:r w:rsidRPr="00113ACB">
        <w:t>Stojkov, J., G. Bowers, M. Draper, T. Duffield, P. Duivenvoorden, M. Groleau, D. Haupstein, R. Peters, J. Pritchard, C. Radom, N. Sillett, W. Skippon, H. Trépanier, and D. Fraser. 2018. Hot topic: Management of cull dairy cows—Consensus of an expert consultation in Canada. Journal of Dairy Science 101:11170–11174. doi:10.3168/jds.2018-14919.</w:t>
      </w:r>
    </w:p>
    <w:p w14:paraId="0CB2B742" w14:textId="77777777" w:rsidR="00113ACB" w:rsidRPr="00113ACB" w:rsidRDefault="00113ACB" w:rsidP="0012247A">
      <w:pPr>
        <w:pStyle w:val="Bibliography"/>
        <w:spacing w:after="0" w:line="240" w:lineRule="auto"/>
      </w:pPr>
      <w:r w:rsidRPr="00113ACB">
        <w:t>Tibshirani, R. 1996. Regression Shrinkage and Selection Via the Lasso. Journal of the Royal Statistical Society: Series B (Methodological) 58:267–288. doi:10.1111/j.2517-6161.1996.tb02080.x.</w:t>
      </w:r>
    </w:p>
    <w:p w14:paraId="3F2D1586" w14:textId="77777777" w:rsidR="00113ACB" w:rsidRPr="00113ACB" w:rsidRDefault="00113ACB" w:rsidP="0012247A">
      <w:pPr>
        <w:pStyle w:val="Bibliography"/>
        <w:spacing w:after="0" w:line="240" w:lineRule="auto"/>
      </w:pPr>
      <w:r w:rsidRPr="00113ACB">
        <w:t>Xavier, C., Y. Le Cozler, L. Depuille, A. Caillot, A. Lebreton, C. Allain, J.M. Delouard, L. Delattre, T. Luginbuhl, P. Faverdin, and A. Fischer. 2022. The use of 3-dimensional imaging of Holstein cows to estimate body weight and monitor the composition of body weight change throughout lactation. Journal of Dairy Science 105:4508–4519. doi:10.3168/jds.2021-21337.</w:t>
      </w:r>
    </w:p>
    <w:p w14:paraId="3F9F9883" w14:textId="77777777" w:rsidR="00113ACB" w:rsidRPr="00113ACB" w:rsidRDefault="00113ACB" w:rsidP="0012247A">
      <w:pPr>
        <w:pStyle w:val="Bibliography"/>
        <w:spacing w:after="0" w:line="240" w:lineRule="auto"/>
      </w:pPr>
      <w:r w:rsidRPr="00113ACB">
        <w:t>Yukun, S., H. Pengju, W. Yujie, C. Ziqi, L. Yang, D. Baisheng, L. Runze, and Z. Yonggen. 2019. Automatic monitoring system for individual dairy cows based on a deep learning framework that provides identification via body parts and estimation of body condition score. Journal of Dairy Science 102:10140–10151. doi:10.3168/jds.2018-16164.</w:t>
      </w:r>
    </w:p>
    <w:p w14:paraId="231C8418" w14:textId="115F9F9B" w:rsidR="004E3F3E" w:rsidRPr="004E3F3E" w:rsidRDefault="00DB6BFD" w:rsidP="00F168CC">
      <w:r>
        <w:fldChar w:fldCharType="end"/>
      </w:r>
    </w:p>
    <w:sectPr w:rsidR="004E3F3E" w:rsidRPr="004E3F3E" w:rsidSect="0001406D">
      <w:headerReference w:type="default" r:id="rId19"/>
      <w:footerReference w:type="even" r:id="rId20"/>
      <w:footerReference w:type="default" r:id="rId2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717E8" w14:textId="77777777" w:rsidR="0001406D" w:rsidRDefault="0001406D" w:rsidP="00647E15">
      <w:r>
        <w:separator/>
      </w:r>
    </w:p>
  </w:endnote>
  <w:endnote w:type="continuationSeparator" w:id="0">
    <w:p w14:paraId="51227D01" w14:textId="77777777" w:rsidR="0001406D" w:rsidRDefault="0001406D" w:rsidP="00647E15">
      <w:r>
        <w:continuationSeparator/>
      </w:r>
    </w:p>
  </w:endnote>
  <w:endnote w:type="continuationNotice" w:id="1">
    <w:p w14:paraId="4B21F671" w14:textId="77777777" w:rsidR="0001406D" w:rsidRDefault="000140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C6640" w14:textId="0DE02C00" w:rsidR="004D5B95" w:rsidRDefault="004D5B95" w:rsidP="005947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FE283EA" w14:textId="77777777" w:rsidR="004D5B95" w:rsidRDefault="004D5B95" w:rsidP="004D5B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8097962"/>
      <w:docPartObj>
        <w:docPartGallery w:val="Page Numbers (Bottom of Page)"/>
        <w:docPartUnique/>
      </w:docPartObj>
    </w:sdtPr>
    <w:sdtContent>
      <w:p w14:paraId="5EB925AB" w14:textId="42A1FAE9" w:rsidR="004D5B95" w:rsidRDefault="004D5B95" w:rsidP="005947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A11E5CC" w14:textId="77777777" w:rsidR="004D5B95" w:rsidRDefault="004D5B95" w:rsidP="004D5B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D735E" w14:textId="77777777" w:rsidR="0001406D" w:rsidRDefault="0001406D" w:rsidP="00647E15">
      <w:r>
        <w:separator/>
      </w:r>
    </w:p>
  </w:footnote>
  <w:footnote w:type="continuationSeparator" w:id="0">
    <w:p w14:paraId="075C200D" w14:textId="77777777" w:rsidR="0001406D" w:rsidRDefault="0001406D" w:rsidP="00647E15">
      <w:r>
        <w:continuationSeparator/>
      </w:r>
    </w:p>
  </w:footnote>
  <w:footnote w:type="continuationNotice" w:id="1">
    <w:p w14:paraId="4910CC67" w14:textId="77777777" w:rsidR="0001406D" w:rsidRDefault="000140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EA80" w14:textId="2BFBD515" w:rsidR="00647E15" w:rsidRDefault="00BB0C6C">
    <w:pPr>
      <w:pStyle w:val="Header"/>
    </w:pPr>
    <w:r>
      <w:t xml:space="preserve">C. P. J. </w:t>
    </w:r>
    <w:r w:rsidR="00647E15">
      <w:t>Chen</w:t>
    </w:r>
    <w:r w:rsidR="00716B5B">
      <w:t xml:space="preserve"> and R. R. White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D1F29"/>
    <w:multiLevelType w:val="hybridMultilevel"/>
    <w:tmpl w:val="F9141BC0"/>
    <w:lvl w:ilvl="0" w:tplc="F0EC2A10">
      <w:start w:val="1"/>
      <w:numFmt w:val="bullet"/>
      <w:lvlText w:val="-"/>
      <w:lvlJc w:val="left"/>
      <w:pPr>
        <w:ind w:left="720" w:hanging="360"/>
      </w:pPr>
      <w:rPr>
        <w:rFonts w:ascii="Calibri Light" w:eastAsiaTheme="minorEastAsia"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87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E"/>
    <w:rsid w:val="000010D7"/>
    <w:rsid w:val="0000208E"/>
    <w:rsid w:val="00002A81"/>
    <w:rsid w:val="00002BC1"/>
    <w:rsid w:val="00003637"/>
    <w:rsid w:val="00006751"/>
    <w:rsid w:val="0000695A"/>
    <w:rsid w:val="0000744B"/>
    <w:rsid w:val="00011092"/>
    <w:rsid w:val="00013247"/>
    <w:rsid w:val="00013A06"/>
    <w:rsid w:val="00013BFC"/>
    <w:rsid w:val="0001406D"/>
    <w:rsid w:val="000143E1"/>
    <w:rsid w:val="000145AC"/>
    <w:rsid w:val="00014DFE"/>
    <w:rsid w:val="00015086"/>
    <w:rsid w:val="00015AAD"/>
    <w:rsid w:val="00015E15"/>
    <w:rsid w:val="00021D46"/>
    <w:rsid w:val="00022448"/>
    <w:rsid w:val="000232CF"/>
    <w:rsid w:val="000304C8"/>
    <w:rsid w:val="0003051A"/>
    <w:rsid w:val="00030E63"/>
    <w:rsid w:val="00030F0E"/>
    <w:rsid w:val="00032E10"/>
    <w:rsid w:val="00033683"/>
    <w:rsid w:val="000338E3"/>
    <w:rsid w:val="0003468A"/>
    <w:rsid w:val="0003589B"/>
    <w:rsid w:val="00036108"/>
    <w:rsid w:val="000366EC"/>
    <w:rsid w:val="00037D33"/>
    <w:rsid w:val="0004130D"/>
    <w:rsid w:val="000414F0"/>
    <w:rsid w:val="000452E9"/>
    <w:rsid w:val="00045F2B"/>
    <w:rsid w:val="000463C3"/>
    <w:rsid w:val="00047255"/>
    <w:rsid w:val="00051787"/>
    <w:rsid w:val="00051ED2"/>
    <w:rsid w:val="00052EBB"/>
    <w:rsid w:val="0005306A"/>
    <w:rsid w:val="00053441"/>
    <w:rsid w:val="000558A3"/>
    <w:rsid w:val="0005644D"/>
    <w:rsid w:val="00056F5D"/>
    <w:rsid w:val="000577C2"/>
    <w:rsid w:val="00061E64"/>
    <w:rsid w:val="0006238A"/>
    <w:rsid w:val="000633C4"/>
    <w:rsid w:val="000637AC"/>
    <w:rsid w:val="000647F3"/>
    <w:rsid w:val="00064BB6"/>
    <w:rsid w:val="00065CAD"/>
    <w:rsid w:val="000712FF"/>
    <w:rsid w:val="0007203F"/>
    <w:rsid w:val="00072B01"/>
    <w:rsid w:val="00073DEC"/>
    <w:rsid w:val="00076461"/>
    <w:rsid w:val="000775A5"/>
    <w:rsid w:val="0007792B"/>
    <w:rsid w:val="0008005A"/>
    <w:rsid w:val="00080A7C"/>
    <w:rsid w:val="0008236D"/>
    <w:rsid w:val="00082ACF"/>
    <w:rsid w:val="000840D7"/>
    <w:rsid w:val="000847F7"/>
    <w:rsid w:val="00084F33"/>
    <w:rsid w:val="0009029F"/>
    <w:rsid w:val="000908A9"/>
    <w:rsid w:val="00091B5C"/>
    <w:rsid w:val="00092CED"/>
    <w:rsid w:val="00093336"/>
    <w:rsid w:val="00094A54"/>
    <w:rsid w:val="00094BA3"/>
    <w:rsid w:val="00095FC0"/>
    <w:rsid w:val="0009601B"/>
    <w:rsid w:val="000963FF"/>
    <w:rsid w:val="00096FA5"/>
    <w:rsid w:val="000A20CF"/>
    <w:rsid w:val="000A37DA"/>
    <w:rsid w:val="000A42FB"/>
    <w:rsid w:val="000A4E49"/>
    <w:rsid w:val="000A527E"/>
    <w:rsid w:val="000A79B2"/>
    <w:rsid w:val="000B2C6D"/>
    <w:rsid w:val="000B2FC5"/>
    <w:rsid w:val="000B517A"/>
    <w:rsid w:val="000B5C81"/>
    <w:rsid w:val="000B61C4"/>
    <w:rsid w:val="000B65C5"/>
    <w:rsid w:val="000B7034"/>
    <w:rsid w:val="000C0850"/>
    <w:rsid w:val="000C1E3E"/>
    <w:rsid w:val="000C226E"/>
    <w:rsid w:val="000C288A"/>
    <w:rsid w:val="000C2BC4"/>
    <w:rsid w:val="000C35BD"/>
    <w:rsid w:val="000C4F3C"/>
    <w:rsid w:val="000C5C8E"/>
    <w:rsid w:val="000C7B59"/>
    <w:rsid w:val="000D008A"/>
    <w:rsid w:val="000D119A"/>
    <w:rsid w:val="000D1FA7"/>
    <w:rsid w:val="000D244C"/>
    <w:rsid w:val="000D2A47"/>
    <w:rsid w:val="000D3818"/>
    <w:rsid w:val="000D43B0"/>
    <w:rsid w:val="000D4855"/>
    <w:rsid w:val="000D6890"/>
    <w:rsid w:val="000D7144"/>
    <w:rsid w:val="000E00EF"/>
    <w:rsid w:val="000E215E"/>
    <w:rsid w:val="000E2588"/>
    <w:rsid w:val="000E4B4E"/>
    <w:rsid w:val="000F06A4"/>
    <w:rsid w:val="000F090B"/>
    <w:rsid w:val="000F1464"/>
    <w:rsid w:val="000F2599"/>
    <w:rsid w:val="000F26BA"/>
    <w:rsid w:val="000F3273"/>
    <w:rsid w:val="000F455E"/>
    <w:rsid w:val="000F4AE5"/>
    <w:rsid w:val="000F4C32"/>
    <w:rsid w:val="000F6AFB"/>
    <w:rsid w:val="0010092E"/>
    <w:rsid w:val="00102D48"/>
    <w:rsid w:val="00102DCC"/>
    <w:rsid w:val="001073A0"/>
    <w:rsid w:val="0010742F"/>
    <w:rsid w:val="001076DF"/>
    <w:rsid w:val="0011022F"/>
    <w:rsid w:val="00113ACB"/>
    <w:rsid w:val="00114052"/>
    <w:rsid w:val="00121E93"/>
    <w:rsid w:val="0012247A"/>
    <w:rsid w:val="00122504"/>
    <w:rsid w:val="001230A8"/>
    <w:rsid w:val="00123A8C"/>
    <w:rsid w:val="001243CB"/>
    <w:rsid w:val="001262FA"/>
    <w:rsid w:val="001263D8"/>
    <w:rsid w:val="00130962"/>
    <w:rsid w:val="0013179F"/>
    <w:rsid w:val="00133364"/>
    <w:rsid w:val="001339AC"/>
    <w:rsid w:val="00133BD1"/>
    <w:rsid w:val="001370A3"/>
    <w:rsid w:val="0014063A"/>
    <w:rsid w:val="001407B2"/>
    <w:rsid w:val="00142216"/>
    <w:rsid w:val="00142E1F"/>
    <w:rsid w:val="00143871"/>
    <w:rsid w:val="00146A45"/>
    <w:rsid w:val="00147DF9"/>
    <w:rsid w:val="00150DBA"/>
    <w:rsid w:val="001517F1"/>
    <w:rsid w:val="0015184E"/>
    <w:rsid w:val="00152C26"/>
    <w:rsid w:val="001544EE"/>
    <w:rsid w:val="0015482B"/>
    <w:rsid w:val="00156AB8"/>
    <w:rsid w:val="001638F5"/>
    <w:rsid w:val="001643E7"/>
    <w:rsid w:val="00171F74"/>
    <w:rsid w:val="00173802"/>
    <w:rsid w:val="0017398B"/>
    <w:rsid w:val="00173D82"/>
    <w:rsid w:val="0017470A"/>
    <w:rsid w:val="00174FC5"/>
    <w:rsid w:val="00177D95"/>
    <w:rsid w:val="00180819"/>
    <w:rsid w:val="00180B80"/>
    <w:rsid w:val="001813C4"/>
    <w:rsid w:val="00181968"/>
    <w:rsid w:val="00181C94"/>
    <w:rsid w:val="0018240B"/>
    <w:rsid w:val="00183B89"/>
    <w:rsid w:val="00186253"/>
    <w:rsid w:val="00187013"/>
    <w:rsid w:val="0018728F"/>
    <w:rsid w:val="001954F8"/>
    <w:rsid w:val="00195CAF"/>
    <w:rsid w:val="00197BB2"/>
    <w:rsid w:val="001A1AEF"/>
    <w:rsid w:val="001A4CCD"/>
    <w:rsid w:val="001A6FEB"/>
    <w:rsid w:val="001A7692"/>
    <w:rsid w:val="001B1E6A"/>
    <w:rsid w:val="001B25DD"/>
    <w:rsid w:val="001B454D"/>
    <w:rsid w:val="001B6145"/>
    <w:rsid w:val="001B79B6"/>
    <w:rsid w:val="001B7B15"/>
    <w:rsid w:val="001B7FD7"/>
    <w:rsid w:val="001C1E81"/>
    <w:rsid w:val="001C24A3"/>
    <w:rsid w:val="001C2E5B"/>
    <w:rsid w:val="001C30E2"/>
    <w:rsid w:val="001C457D"/>
    <w:rsid w:val="001C61CF"/>
    <w:rsid w:val="001D0E81"/>
    <w:rsid w:val="001D146B"/>
    <w:rsid w:val="001D23FA"/>
    <w:rsid w:val="001D30CF"/>
    <w:rsid w:val="001D3B8C"/>
    <w:rsid w:val="001D4326"/>
    <w:rsid w:val="001D666E"/>
    <w:rsid w:val="001E019E"/>
    <w:rsid w:val="001E02A0"/>
    <w:rsid w:val="001E069C"/>
    <w:rsid w:val="001E0F22"/>
    <w:rsid w:val="001E1B4D"/>
    <w:rsid w:val="001E3E49"/>
    <w:rsid w:val="001E407C"/>
    <w:rsid w:val="001E4679"/>
    <w:rsid w:val="001E4FF1"/>
    <w:rsid w:val="001E5001"/>
    <w:rsid w:val="001E5B50"/>
    <w:rsid w:val="001F0478"/>
    <w:rsid w:val="001F1B0B"/>
    <w:rsid w:val="001F27F4"/>
    <w:rsid w:val="001F505D"/>
    <w:rsid w:val="001F7129"/>
    <w:rsid w:val="001F7F23"/>
    <w:rsid w:val="0020194E"/>
    <w:rsid w:val="00201AEF"/>
    <w:rsid w:val="00201BA3"/>
    <w:rsid w:val="002021B6"/>
    <w:rsid w:val="00203303"/>
    <w:rsid w:val="0020337D"/>
    <w:rsid w:val="002043A7"/>
    <w:rsid w:val="002043B6"/>
    <w:rsid w:val="00204FF4"/>
    <w:rsid w:val="0020521D"/>
    <w:rsid w:val="00205CFA"/>
    <w:rsid w:val="002064A0"/>
    <w:rsid w:val="002118DF"/>
    <w:rsid w:val="002131F5"/>
    <w:rsid w:val="00213244"/>
    <w:rsid w:val="00213B52"/>
    <w:rsid w:val="00217D49"/>
    <w:rsid w:val="002219D8"/>
    <w:rsid w:val="002252B6"/>
    <w:rsid w:val="002253DA"/>
    <w:rsid w:val="00226776"/>
    <w:rsid w:val="00226834"/>
    <w:rsid w:val="00226BF6"/>
    <w:rsid w:val="002277AA"/>
    <w:rsid w:val="00231174"/>
    <w:rsid w:val="00231664"/>
    <w:rsid w:val="00231DCE"/>
    <w:rsid w:val="0023216E"/>
    <w:rsid w:val="0023368B"/>
    <w:rsid w:val="00235740"/>
    <w:rsid w:val="00236099"/>
    <w:rsid w:val="0023663F"/>
    <w:rsid w:val="00236CBF"/>
    <w:rsid w:val="0023756E"/>
    <w:rsid w:val="00237CF5"/>
    <w:rsid w:val="00237ECA"/>
    <w:rsid w:val="00241AA6"/>
    <w:rsid w:val="002424B3"/>
    <w:rsid w:val="0024374C"/>
    <w:rsid w:val="002449CD"/>
    <w:rsid w:val="00246D29"/>
    <w:rsid w:val="00250917"/>
    <w:rsid w:val="00251194"/>
    <w:rsid w:val="002549F5"/>
    <w:rsid w:val="0026034B"/>
    <w:rsid w:val="002603F7"/>
    <w:rsid w:val="00262883"/>
    <w:rsid w:val="00263AA9"/>
    <w:rsid w:val="00265C1D"/>
    <w:rsid w:val="00266540"/>
    <w:rsid w:val="00266B9E"/>
    <w:rsid w:val="00266CA8"/>
    <w:rsid w:val="00266D70"/>
    <w:rsid w:val="00271108"/>
    <w:rsid w:val="0027272A"/>
    <w:rsid w:val="00273459"/>
    <w:rsid w:val="0027415D"/>
    <w:rsid w:val="002741F9"/>
    <w:rsid w:val="0027628A"/>
    <w:rsid w:val="00277431"/>
    <w:rsid w:val="00277CF2"/>
    <w:rsid w:val="00277F1A"/>
    <w:rsid w:val="00280B72"/>
    <w:rsid w:val="00281218"/>
    <w:rsid w:val="002815DC"/>
    <w:rsid w:val="00283AC2"/>
    <w:rsid w:val="002854EB"/>
    <w:rsid w:val="0028635A"/>
    <w:rsid w:val="0029051E"/>
    <w:rsid w:val="00290799"/>
    <w:rsid w:val="00291359"/>
    <w:rsid w:val="0029163F"/>
    <w:rsid w:val="0029247B"/>
    <w:rsid w:val="002928E2"/>
    <w:rsid w:val="00294698"/>
    <w:rsid w:val="00294CE5"/>
    <w:rsid w:val="002974B4"/>
    <w:rsid w:val="002A0379"/>
    <w:rsid w:val="002A1E14"/>
    <w:rsid w:val="002A22E9"/>
    <w:rsid w:val="002A2422"/>
    <w:rsid w:val="002A3664"/>
    <w:rsid w:val="002A503E"/>
    <w:rsid w:val="002A5243"/>
    <w:rsid w:val="002A5682"/>
    <w:rsid w:val="002A58EB"/>
    <w:rsid w:val="002A5BBB"/>
    <w:rsid w:val="002A74B4"/>
    <w:rsid w:val="002B05B4"/>
    <w:rsid w:val="002B07B7"/>
    <w:rsid w:val="002B107E"/>
    <w:rsid w:val="002B3481"/>
    <w:rsid w:val="002B3F22"/>
    <w:rsid w:val="002B4576"/>
    <w:rsid w:val="002B4DBA"/>
    <w:rsid w:val="002B52A3"/>
    <w:rsid w:val="002B5504"/>
    <w:rsid w:val="002B73CE"/>
    <w:rsid w:val="002B7A45"/>
    <w:rsid w:val="002C02E5"/>
    <w:rsid w:val="002C1152"/>
    <w:rsid w:val="002C1B77"/>
    <w:rsid w:val="002C1DE0"/>
    <w:rsid w:val="002C2352"/>
    <w:rsid w:val="002C2643"/>
    <w:rsid w:val="002C2805"/>
    <w:rsid w:val="002C3517"/>
    <w:rsid w:val="002C681C"/>
    <w:rsid w:val="002D052B"/>
    <w:rsid w:val="002D0587"/>
    <w:rsid w:val="002D22E2"/>
    <w:rsid w:val="002D306C"/>
    <w:rsid w:val="002D3ED7"/>
    <w:rsid w:val="002D4D28"/>
    <w:rsid w:val="002D50E8"/>
    <w:rsid w:val="002D5D28"/>
    <w:rsid w:val="002D5D8A"/>
    <w:rsid w:val="002D65C1"/>
    <w:rsid w:val="002E0696"/>
    <w:rsid w:val="002E1E04"/>
    <w:rsid w:val="002E2378"/>
    <w:rsid w:val="002E3F04"/>
    <w:rsid w:val="002E4C77"/>
    <w:rsid w:val="002E6370"/>
    <w:rsid w:val="002E66A5"/>
    <w:rsid w:val="002E6AB1"/>
    <w:rsid w:val="002F26D9"/>
    <w:rsid w:val="002F2C7B"/>
    <w:rsid w:val="002F30F8"/>
    <w:rsid w:val="002F453B"/>
    <w:rsid w:val="002F4A78"/>
    <w:rsid w:val="002F5580"/>
    <w:rsid w:val="003016DA"/>
    <w:rsid w:val="003032B7"/>
    <w:rsid w:val="003037F8"/>
    <w:rsid w:val="00304EB8"/>
    <w:rsid w:val="00307409"/>
    <w:rsid w:val="0031038B"/>
    <w:rsid w:val="0031076B"/>
    <w:rsid w:val="0031137C"/>
    <w:rsid w:val="00311428"/>
    <w:rsid w:val="00312DE0"/>
    <w:rsid w:val="003145BA"/>
    <w:rsid w:val="00316502"/>
    <w:rsid w:val="003177B3"/>
    <w:rsid w:val="00317E1C"/>
    <w:rsid w:val="00320E34"/>
    <w:rsid w:val="003222C4"/>
    <w:rsid w:val="0032313D"/>
    <w:rsid w:val="00323934"/>
    <w:rsid w:val="00326156"/>
    <w:rsid w:val="0032652A"/>
    <w:rsid w:val="00326E48"/>
    <w:rsid w:val="00327142"/>
    <w:rsid w:val="003302FD"/>
    <w:rsid w:val="0033123D"/>
    <w:rsid w:val="003315EE"/>
    <w:rsid w:val="003325EE"/>
    <w:rsid w:val="00333211"/>
    <w:rsid w:val="00334A55"/>
    <w:rsid w:val="00334B67"/>
    <w:rsid w:val="00336BD1"/>
    <w:rsid w:val="00337241"/>
    <w:rsid w:val="00340276"/>
    <w:rsid w:val="003417E4"/>
    <w:rsid w:val="00342321"/>
    <w:rsid w:val="003435E8"/>
    <w:rsid w:val="0034589A"/>
    <w:rsid w:val="00346004"/>
    <w:rsid w:val="003463AB"/>
    <w:rsid w:val="0035058C"/>
    <w:rsid w:val="003507D6"/>
    <w:rsid w:val="0035149C"/>
    <w:rsid w:val="00351825"/>
    <w:rsid w:val="0035307D"/>
    <w:rsid w:val="00353091"/>
    <w:rsid w:val="00353AD8"/>
    <w:rsid w:val="00354DB0"/>
    <w:rsid w:val="0035562B"/>
    <w:rsid w:val="00356220"/>
    <w:rsid w:val="003565F2"/>
    <w:rsid w:val="0035683B"/>
    <w:rsid w:val="00356B3F"/>
    <w:rsid w:val="003615EF"/>
    <w:rsid w:val="00362046"/>
    <w:rsid w:val="00362D0F"/>
    <w:rsid w:val="003635E8"/>
    <w:rsid w:val="00363A6E"/>
    <w:rsid w:val="00365277"/>
    <w:rsid w:val="00365358"/>
    <w:rsid w:val="0036560B"/>
    <w:rsid w:val="00365D99"/>
    <w:rsid w:val="00366E4E"/>
    <w:rsid w:val="00371109"/>
    <w:rsid w:val="00372044"/>
    <w:rsid w:val="00373EA8"/>
    <w:rsid w:val="00374F9E"/>
    <w:rsid w:val="00375BFA"/>
    <w:rsid w:val="00375ED2"/>
    <w:rsid w:val="003763BA"/>
    <w:rsid w:val="00377870"/>
    <w:rsid w:val="0038136A"/>
    <w:rsid w:val="00384317"/>
    <w:rsid w:val="00384AD9"/>
    <w:rsid w:val="00386AF9"/>
    <w:rsid w:val="00386DD4"/>
    <w:rsid w:val="003924EE"/>
    <w:rsid w:val="00393985"/>
    <w:rsid w:val="00395052"/>
    <w:rsid w:val="00396134"/>
    <w:rsid w:val="00396EC8"/>
    <w:rsid w:val="003A0909"/>
    <w:rsid w:val="003A1EDF"/>
    <w:rsid w:val="003A3002"/>
    <w:rsid w:val="003A4630"/>
    <w:rsid w:val="003A60F1"/>
    <w:rsid w:val="003A7422"/>
    <w:rsid w:val="003A7D35"/>
    <w:rsid w:val="003B1300"/>
    <w:rsid w:val="003B39E5"/>
    <w:rsid w:val="003B3D64"/>
    <w:rsid w:val="003B44F5"/>
    <w:rsid w:val="003B5BC4"/>
    <w:rsid w:val="003C1436"/>
    <w:rsid w:val="003C1F66"/>
    <w:rsid w:val="003C3B8E"/>
    <w:rsid w:val="003C44EB"/>
    <w:rsid w:val="003C4618"/>
    <w:rsid w:val="003C4FC2"/>
    <w:rsid w:val="003C6F83"/>
    <w:rsid w:val="003D1EA6"/>
    <w:rsid w:val="003D2347"/>
    <w:rsid w:val="003D39CF"/>
    <w:rsid w:val="003D40A0"/>
    <w:rsid w:val="003D5018"/>
    <w:rsid w:val="003D5683"/>
    <w:rsid w:val="003E00FA"/>
    <w:rsid w:val="003E0A34"/>
    <w:rsid w:val="003E12CA"/>
    <w:rsid w:val="003E3ED7"/>
    <w:rsid w:val="003E40BE"/>
    <w:rsid w:val="003E4971"/>
    <w:rsid w:val="003E4B42"/>
    <w:rsid w:val="003E582C"/>
    <w:rsid w:val="003E773E"/>
    <w:rsid w:val="003F176C"/>
    <w:rsid w:val="003F235E"/>
    <w:rsid w:val="003F2AD0"/>
    <w:rsid w:val="003F2EA1"/>
    <w:rsid w:val="003F501F"/>
    <w:rsid w:val="003F51DD"/>
    <w:rsid w:val="003F61AA"/>
    <w:rsid w:val="003F6E2E"/>
    <w:rsid w:val="003F6FB5"/>
    <w:rsid w:val="003F7236"/>
    <w:rsid w:val="004011C0"/>
    <w:rsid w:val="004016BA"/>
    <w:rsid w:val="004024FF"/>
    <w:rsid w:val="00402DC4"/>
    <w:rsid w:val="00405CAF"/>
    <w:rsid w:val="00411030"/>
    <w:rsid w:val="00411B64"/>
    <w:rsid w:val="00411D75"/>
    <w:rsid w:val="0041592E"/>
    <w:rsid w:val="00417536"/>
    <w:rsid w:val="0041775B"/>
    <w:rsid w:val="004206DC"/>
    <w:rsid w:val="004253C6"/>
    <w:rsid w:val="004305F2"/>
    <w:rsid w:val="00431139"/>
    <w:rsid w:val="00434512"/>
    <w:rsid w:val="00435268"/>
    <w:rsid w:val="00435AA6"/>
    <w:rsid w:val="00435F32"/>
    <w:rsid w:val="00436770"/>
    <w:rsid w:val="004370A3"/>
    <w:rsid w:val="004374C1"/>
    <w:rsid w:val="00437DD3"/>
    <w:rsid w:val="00440404"/>
    <w:rsid w:val="004404A4"/>
    <w:rsid w:val="00440A13"/>
    <w:rsid w:val="00441462"/>
    <w:rsid w:val="004422D8"/>
    <w:rsid w:val="00442C05"/>
    <w:rsid w:val="00442E32"/>
    <w:rsid w:val="0044461D"/>
    <w:rsid w:val="0044468D"/>
    <w:rsid w:val="00444D08"/>
    <w:rsid w:val="00445735"/>
    <w:rsid w:val="00445D94"/>
    <w:rsid w:val="00447DA3"/>
    <w:rsid w:val="00450390"/>
    <w:rsid w:val="00451FFC"/>
    <w:rsid w:val="004537D5"/>
    <w:rsid w:val="004538EE"/>
    <w:rsid w:val="004544F7"/>
    <w:rsid w:val="004559B0"/>
    <w:rsid w:val="00456D35"/>
    <w:rsid w:val="00457923"/>
    <w:rsid w:val="00460EEF"/>
    <w:rsid w:val="00462141"/>
    <w:rsid w:val="0046249F"/>
    <w:rsid w:val="00462C23"/>
    <w:rsid w:val="00463375"/>
    <w:rsid w:val="0046342E"/>
    <w:rsid w:val="00463548"/>
    <w:rsid w:val="00463A82"/>
    <w:rsid w:val="0046486B"/>
    <w:rsid w:val="00464D79"/>
    <w:rsid w:val="00466013"/>
    <w:rsid w:val="0047061A"/>
    <w:rsid w:val="00474BFC"/>
    <w:rsid w:val="00474E8D"/>
    <w:rsid w:val="0047543A"/>
    <w:rsid w:val="00475A4E"/>
    <w:rsid w:val="004807CA"/>
    <w:rsid w:val="00480956"/>
    <w:rsid w:val="00480D9C"/>
    <w:rsid w:val="00480DC8"/>
    <w:rsid w:val="00480F4F"/>
    <w:rsid w:val="00483E20"/>
    <w:rsid w:val="00483EC2"/>
    <w:rsid w:val="00483F3F"/>
    <w:rsid w:val="00484203"/>
    <w:rsid w:val="00484877"/>
    <w:rsid w:val="004862BD"/>
    <w:rsid w:val="00486634"/>
    <w:rsid w:val="00490E04"/>
    <w:rsid w:val="00491269"/>
    <w:rsid w:val="00492316"/>
    <w:rsid w:val="0049509C"/>
    <w:rsid w:val="004963C6"/>
    <w:rsid w:val="004A1E76"/>
    <w:rsid w:val="004A3570"/>
    <w:rsid w:val="004A3F0D"/>
    <w:rsid w:val="004A3F7C"/>
    <w:rsid w:val="004A5D24"/>
    <w:rsid w:val="004B47F4"/>
    <w:rsid w:val="004B49BB"/>
    <w:rsid w:val="004B4FB3"/>
    <w:rsid w:val="004C009F"/>
    <w:rsid w:val="004C0865"/>
    <w:rsid w:val="004C5973"/>
    <w:rsid w:val="004C6DDB"/>
    <w:rsid w:val="004D2661"/>
    <w:rsid w:val="004D335B"/>
    <w:rsid w:val="004D42A6"/>
    <w:rsid w:val="004D577A"/>
    <w:rsid w:val="004D5B95"/>
    <w:rsid w:val="004D68EF"/>
    <w:rsid w:val="004D77BE"/>
    <w:rsid w:val="004E2E60"/>
    <w:rsid w:val="004E336C"/>
    <w:rsid w:val="004E3F3E"/>
    <w:rsid w:val="004E43E8"/>
    <w:rsid w:val="004E5DAE"/>
    <w:rsid w:val="004E62EC"/>
    <w:rsid w:val="004E7956"/>
    <w:rsid w:val="004E7A9F"/>
    <w:rsid w:val="004E7C7C"/>
    <w:rsid w:val="004E7E9B"/>
    <w:rsid w:val="004F1788"/>
    <w:rsid w:val="004F1E46"/>
    <w:rsid w:val="004F2F65"/>
    <w:rsid w:val="004F3649"/>
    <w:rsid w:val="004F3D89"/>
    <w:rsid w:val="004F460E"/>
    <w:rsid w:val="004F512B"/>
    <w:rsid w:val="004F6358"/>
    <w:rsid w:val="004F66C5"/>
    <w:rsid w:val="004F6E30"/>
    <w:rsid w:val="004F6F31"/>
    <w:rsid w:val="004F7118"/>
    <w:rsid w:val="00500454"/>
    <w:rsid w:val="00500EB5"/>
    <w:rsid w:val="0050176B"/>
    <w:rsid w:val="00503648"/>
    <w:rsid w:val="00503996"/>
    <w:rsid w:val="00505CDC"/>
    <w:rsid w:val="005125A8"/>
    <w:rsid w:val="00512BFD"/>
    <w:rsid w:val="00513615"/>
    <w:rsid w:val="00514244"/>
    <w:rsid w:val="00514EE9"/>
    <w:rsid w:val="005170A4"/>
    <w:rsid w:val="00517EF4"/>
    <w:rsid w:val="00517F2E"/>
    <w:rsid w:val="005221D7"/>
    <w:rsid w:val="0052459B"/>
    <w:rsid w:val="005246A0"/>
    <w:rsid w:val="005260C4"/>
    <w:rsid w:val="0052668A"/>
    <w:rsid w:val="005279EA"/>
    <w:rsid w:val="00530B04"/>
    <w:rsid w:val="00531F60"/>
    <w:rsid w:val="00532BE0"/>
    <w:rsid w:val="00534F24"/>
    <w:rsid w:val="0053514C"/>
    <w:rsid w:val="00535E3B"/>
    <w:rsid w:val="00540289"/>
    <w:rsid w:val="00540C9B"/>
    <w:rsid w:val="00541C2A"/>
    <w:rsid w:val="00542580"/>
    <w:rsid w:val="00546CF3"/>
    <w:rsid w:val="00546DAD"/>
    <w:rsid w:val="005501F9"/>
    <w:rsid w:val="00550C00"/>
    <w:rsid w:val="005511B6"/>
    <w:rsid w:val="00553776"/>
    <w:rsid w:val="005542B7"/>
    <w:rsid w:val="005550B6"/>
    <w:rsid w:val="00555290"/>
    <w:rsid w:val="00555830"/>
    <w:rsid w:val="005559A2"/>
    <w:rsid w:val="00555F1F"/>
    <w:rsid w:val="00556131"/>
    <w:rsid w:val="005569D2"/>
    <w:rsid w:val="00563C07"/>
    <w:rsid w:val="00564239"/>
    <w:rsid w:val="005643F7"/>
    <w:rsid w:val="00564457"/>
    <w:rsid w:val="0056467D"/>
    <w:rsid w:val="00565E52"/>
    <w:rsid w:val="00565EDD"/>
    <w:rsid w:val="00566CC8"/>
    <w:rsid w:val="005733DE"/>
    <w:rsid w:val="0057708A"/>
    <w:rsid w:val="005773AE"/>
    <w:rsid w:val="00577B3D"/>
    <w:rsid w:val="00583F28"/>
    <w:rsid w:val="005859C5"/>
    <w:rsid w:val="00586D5D"/>
    <w:rsid w:val="005873B4"/>
    <w:rsid w:val="00590198"/>
    <w:rsid w:val="00590BB1"/>
    <w:rsid w:val="0059100A"/>
    <w:rsid w:val="005912FA"/>
    <w:rsid w:val="00591EC6"/>
    <w:rsid w:val="00592151"/>
    <w:rsid w:val="005924F5"/>
    <w:rsid w:val="00592CF0"/>
    <w:rsid w:val="00594E48"/>
    <w:rsid w:val="00596830"/>
    <w:rsid w:val="005968F7"/>
    <w:rsid w:val="00596970"/>
    <w:rsid w:val="0059759B"/>
    <w:rsid w:val="00597759"/>
    <w:rsid w:val="0059794D"/>
    <w:rsid w:val="005A08D3"/>
    <w:rsid w:val="005A0ADD"/>
    <w:rsid w:val="005A141B"/>
    <w:rsid w:val="005A1D30"/>
    <w:rsid w:val="005A1D72"/>
    <w:rsid w:val="005A6DED"/>
    <w:rsid w:val="005A70F6"/>
    <w:rsid w:val="005B0648"/>
    <w:rsid w:val="005B1166"/>
    <w:rsid w:val="005B25B4"/>
    <w:rsid w:val="005B5940"/>
    <w:rsid w:val="005C11CE"/>
    <w:rsid w:val="005C3D1F"/>
    <w:rsid w:val="005C3EF8"/>
    <w:rsid w:val="005C3FA0"/>
    <w:rsid w:val="005C4260"/>
    <w:rsid w:val="005C4404"/>
    <w:rsid w:val="005C4A80"/>
    <w:rsid w:val="005C7FD9"/>
    <w:rsid w:val="005D089E"/>
    <w:rsid w:val="005D0DF1"/>
    <w:rsid w:val="005D2893"/>
    <w:rsid w:val="005D3C47"/>
    <w:rsid w:val="005D3FA6"/>
    <w:rsid w:val="005D619B"/>
    <w:rsid w:val="005D69F7"/>
    <w:rsid w:val="005E010E"/>
    <w:rsid w:val="005E0DAE"/>
    <w:rsid w:val="005E41A5"/>
    <w:rsid w:val="005E5732"/>
    <w:rsid w:val="005E5A1B"/>
    <w:rsid w:val="005E7E33"/>
    <w:rsid w:val="005F1117"/>
    <w:rsid w:val="005F1140"/>
    <w:rsid w:val="005F2351"/>
    <w:rsid w:val="005F364F"/>
    <w:rsid w:val="005F3D65"/>
    <w:rsid w:val="005F4F44"/>
    <w:rsid w:val="005F5AD4"/>
    <w:rsid w:val="005F5C4D"/>
    <w:rsid w:val="005F78C6"/>
    <w:rsid w:val="005F790E"/>
    <w:rsid w:val="006008F8"/>
    <w:rsid w:val="00600A4F"/>
    <w:rsid w:val="00602B79"/>
    <w:rsid w:val="00603ADE"/>
    <w:rsid w:val="00603E3C"/>
    <w:rsid w:val="006041F2"/>
    <w:rsid w:val="00605B61"/>
    <w:rsid w:val="0060618C"/>
    <w:rsid w:val="0060630D"/>
    <w:rsid w:val="0060676A"/>
    <w:rsid w:val="00606E3C"/>
    <w:rsid w:val="00607711"/>
    <w:rsid w:val="00610AFE"/>
    <w:rsid w:val="00614BA3"/>
    <w:rsid w:val="00614EC6"/>
    <w:rsid w:val="006159AC"/>
    <w:rsid w:val="00616ABD"/>
    <w:rsid w:val="00616EE8"/>
    <w:rsid w:val="00617424"/>
    <w:rsid w:val="006177E2"/>
    <w:rsid w:val="006215E6"/>
    <w:rsid w:val="00622D2C"/>
    <w:rsid w:val="00623386"/>
    <w:rsid w:val="00623873"/>
    <w:rsid w:val="006262CD"/>
    <w:rsid w:val="00627401"/>
    <w:rsid w:val="006300D7"/>
    <w:rsid w:val="0063151E"/>
    <w:rsid w:val="00631744"/>
    <w:rsid w:val="00633A60"/>
    <w:rsid w:val="006344C5"/>
    <w:rsid w:val="00635371"/>
    <w:rsid w:val="00635641"/>
    <w:rsid w:val="006414BF"/>
    <w:rsid w:val="006422BB"/>
    <w:rsid w:val="0064286B"/>
    <w:rsid w:val="00643B3B"/>
    <w:rsid w:val="00646D9A"/>
    <w:rsid w:val="00647E15"/>
    <w:rsid w:val="00650CF8"/>
    <w:rsid w:val="00652184"/>
    <w:rsid w:val="00652BAB"/>
    <w:rsid w:val="00653740"/>
    <w:rsid w:val="00656763"/>
    <w:rsid w:val="00657FDB"/>
    <w:rsid w:val="00660002"/>
    <w:rsid w:val="0066041D"/>
    <w:rsid w:val="006611F6"/>
    <w:rsid w:val="00662B25"/>
    <w:rsid w:val="00662B93"/>
    <w:rsid w:val="006631E4"/>
    <w:rsid w:val="0066342F"/>
    <w:rsid w:val="00664105"/>
    <w:rsid w:val="006651B0"/>
    <w:rsid w:val="00666972"/>
    <w:rsid w:val="006700E8"/>
    <w:rsid w:val="00671F43"/>
    <w:rsid w:val="00672DF6"/>
    <w:rsid w:val="006731C6"/>
    <w:rsid w:val="00673289"/>
    <w:rsid w:val="00673B65"/>
    <w:rsid w:val="00673EAC"/>
    <w:rsid w:val="00676E40"/>
    <w:rsid w:val="006778FA"/>
    <w:rsid w:val="006802B8"/>
    <w:rsid w:val="00680445"/>
    <w:rsid w:val="006810A9"/>
    <w:rsid w:val="00681CBB"/>
    <w:rsid w:val="00681F82"/>
    <w:rsid w:val="00682D7D"/>
    <w:rsid w:val="006836EA"/>
    <w:rsid w:val="00683743"/>
    <w:rsid w:val="0068476A"/>
    <w:rsid w:val="006864E9"/>
    <w:rsid w:val="0068670B"/>
    <w:rsid w:val="00692793"/>
    <w:rsid w:val="006938FD"/>
    <w:rsid w:val="006950C2"/>
    <w:rsid w:val="0069600B"/>
    <w:rsid w:val="00696405"/>
    <w:rsid w:val="0069711F"/>
    <w:rsid w:val="00697ADF"/>
    <w:rsid w:val="006A0088"/>
    <w:rsid w:val="006A03FB"/>
    <w:rsid w:val="006A165D"/>
    <w:rsid w:val="006A3F26"/>
    <w:rsid w:val="006A667D"/>
    <w:rsid w:val="006A7747"/>
    <w:rsid w:val="006B0D79"/>
    <w:rsid w:val="006B1228"/>
    <w:rsid w:val="006B249E"/>
    <w:rsid w:val="006B33DA"/>
    <w:rsid w:val="006B365A"/>
    <w:rsid w:val="006B4B66"/>
    <w:rsid w:val="006B7A3C"/>
    <w:rsid w:val="006C1428"/>
    <w:rsid w:val="006C1819"/>
    <w:rsid w:val="006C1AB9"/>
    <w:rsid w:val="006C1DCA"/>
    <w:rsid w:val="006C1F79"/>
    <w:rsid w:val="006C24B9"/>
    <w:rsid w:val="006C2616"/>
    <w:rsid w:val="006C2735"/>
    <w:rsid w:val="006C3191"/>
    <w:rsid w:val="006C39C5"/>
    <w:rsid w:val="006C3D25"/>
    <w:rsid w:val="006C6B24"/>
    <w:rsid w:val="006C7885"/>
    <w:rsid w:val="006D045E"/>
    <w:rsid w:val="006D1E67"/>
    <w:rsid w:val="006D2AA3"/>
    <w:rsid w:val="006D4563"/>
    <w:rsid w:val="006D5FF7"/>
    <w:rsid w:val="006D6018"/>
    <w:rsid w:val="006D66F9"/>
    <w:rsid w:val="006D689A"/>
    <w:rsid w:val="006E0651"/>
    <w:rsid w:val="006E120C"/>
    <w:rsid w:val="006E5E28"/>
    <w:rsid w:val="006F0521"/>
    <w:rsid w:val="006F18FF"/>
    <w:rsid w:val="006F1A8B"/>
    <w:rsid w:val="006F4C54"/>
    <w:rsid w:val="006F5811"/>
    <w:rsid w:val="006F646C"/>
    <w:rsid w:val="00700A99"/>
    <w:rsid w:val="007013CB"/>
    <w:rsid w:val="00705D2E"/>
    <w:rsid w:val="00711194"/>
    <w:rsid w:val="00711E30"/>
    <w:rsid w:val="007134A6"/>
    <w:rsid w:val="00713A4F"/>
    <w:rsid w:val="00714A38"/>
    <w:rsid w:val="00714B81"/>
    <w:rsid w:val="00715567"/>
    <w:rsid w:val="007159D4"/>
    <w:rsid w:val="00716B5B"/>
    <w:rsid w:val="00716BFB"/>
    <w:rsid w:val="00717191"/>
    <w:rsid w:val="007179C1"/>
    <w:rsid w:val="00717B9A"/>
    <w:rsid w:val="0072074B"/>
    <w:rsid w:val="00720939"/>
    <w:rsid w:val="00723B7B"/>
    <w:rsid w:val="00723D42"/>
    <w:rsid w:val="0072596B"/>
    <w:rsid w:val="00726174"/>
    <w:rsid w:val="0072622C"/>
    <w:rsid w:val="007268DB"/>
    <w:rsid w:val="00726A21"/>
    <w:rsid w:val="00726C99"/>
    <w:rsid w:val="00726D8E"/>
    <w:rsid w:val="0073004E"/>
    <w:rsid w:val="00730ABB"/>
    <w:rsid w:val="007314CA"/>
    <w:rsid w:val="007323DF"/>
    <w:rsid w:val="00732A92"/>
    <w:rsid w:val="00733CC2"/>
    <w:rsid w:val="00733EEB"/>
    <w:rsid w:val="00734A9D"/>
    <w:rsid w:val="00735764"/>
    <w:rsid w:val="00737460"/>
    <w:rsid w:val="00740C40"/>
    <w:rsid w:val="0074149E"/>
    <w:rsid w:val="00742C19"/>
    <w:rsid w:val="00744781"/>
    <w:rsid w:val="00747DF0"/>
    <w:rsid w:val="00747E01"/>
    <w:rsid w:val="00751D52"/>
    <w:rsid w:val="00751F53"/>
    <w:rsid w:val="0075226D"/>
    <w:rsid w:val="00754A6C"/>
    <w:rsid w:val="0075665F"/>
    <w:rsid w:val="00756E19"/>
    <w:rsid w:val="007576D1"/>
    <w:rsid w:val="00760331"/>
    <w:rsid w:val="00760924"/>
    <w:rsid w:val="007623B7"/>
    <w:rsid w:val="00762739"/>
    <w:rsid w:val="0076321B"/>
    <w:rsid w:val="007637C2"/>
    <w:rsid w:val="007656C0"/>
    <w:rsid w:val="0077003B"/>
    <w:rsid w:val="00772933"/>
    <w:rsid w:val="00773E16"/>
    <w:rsid w:val="0077421F"/>
    <w:rsid w:val="0077472D"/>
    <w:rsid w:val="00774FCD"/>
    <w:rsid w:val="0077553C"/>
    <w:rsid w:val="00775E27"/>
    <w:rsid w:val="00776B40"/>
    <w:rsid w:val="007773FA"/>
    <w:rsid w:val="00777E8D"/>
    <w:rsid w:val="007805AC"/>
    <w:rsid w:val="007822E4"/>
    <w:rsid w:val="007828D4"/>
    <w:rsid w:val="00782C2F"/>
    <w:rsid w:val="00784507"/>
    <w:rsid w:val="00784BE1"/>
    <w:rsid w:val="00786F55"/>
    <w:rsid w:val="00787A18"/>
    <w:rsid w:val="00787C54"/>
    <w:rsid w:val="00787DB0"/>
    <w:rsid w:val="007907D9"/>
    <w:rsid w:val="00793148"/>
    <w:rsid w:val="00796DE5"/>
    <w:rsid w:val="007977F1"/>
    <w:rsid w:val="007A006F"/>
    <w:rsid w:val="007A03FF"/>
    <w:rsid w:val="007A0ADD"/>
    <w:rsid w:val="007A3B10"/>
    <w:rsid w:val="007A4E92"/>
    <w:rsid w:val="007A5D9E"/>
    <w:rsid w:val="007A659A"/>
    <w:rsid w:val="007A6BD6"/>
    <w:rsid w:val="007A7577"/>
    <w:rsid w:val="007A79AD"/>
    <w:rsid w:val="007B0FB7"/>
    <w:rsid w:val="007B1CDA"/>
    <w:rsid w:val="007B24B2"/>
    <w:rsid w:val="007B27F4"/>
    <w:rsid w:val="007B3178"/>
    <w:rsid w:val="007B3CFA"/>
    <w:rsid w:val="007B44D4"/>
    <w:rsid w:val="007B482F"/>
    <w:rsid w:val="007B51E8"/>
    <w:rsid w:val="007B5D3C"/>
    <w:rsid w:val="007B5E1C"/>
    <w:rsid w:val="007B5EF6"/>
    <w:rsid w:val="007B6D7D"/>
    <w:rsid w:val="007C05CE"/>
    <w:rsid w:val="007C13B1"/>
    <w:rsid w:val="007C1B59"/>
    <w:rsid w:val="007C2D3B"/>
    <w:rsid w:val="007C339F"/>
    <w:rsid w:val="007C5FB2"/>
    <w:rsid w:val="007C68C2"/>
    <w:rsid w:val="007C6C85"/>
    <w:rsid w:val="007C7351"/>
    <w:rsid w:val="007D175C"/>
    <w:rsid w:val="007D2865"/>
    <w:rsid w:val="007D304B"/>
    <w:rsid w:val="007D330D"/>
    <w:rsid w:val="007D38F3"/>
    <w:rsid w:val="007D3B19"/>
    <w:rsid w:val="007D47D9"/>
    <w:rsid w:val="007E2CBF"/>
    <w:rsid w:val="007E32C8"/>
    <w:rsid w:val="007E4DC8"/>
    <w:rsid w:val="007F0FCC"/>
    <w:rsid w:val="007F1033"/>
    <w:rsid w:val="007F21E7"/>
    <w:rsid w:val="007F2DC1"/>
    <w:rsid w:val="007F506D"/>
    <w:rsid w:val="007F648F"/>
    <w:rsid w:val="007F67F1"/>
    <w:rsid w:val="00800381"/>
    <w:rsid w:val="00800621"/>
    <w:rsid w:val="00800EF8"/>
    <w:rsid w:val="008011A1"/>
    <w:rsid w:val="0080419D"/>
    <w:rsid w:val="008052EA"/>
    <w:rsid w:val="008062F3"/>
    <w:rsid w:val="00812236"/>
    <w:rsid w:val="008129FB"/>
    <w:rsid w:val="008136AF"/>
    <w:rsid w:val="00813DB1"/>
    <w:rsid w:val="008163F8"/>
    <w:rsid w:val="008171A4"/>
    <w:rsid w:val="008229AC"/>
    <w:rsid w:val="00823B22"/>
    <w:rsid w:val="00825E03"/>
    <w:rsid w:val="0083316B"/>
    <w:rsid w:val="008334CF"/>
    <w:rsid w:val="008338DF"/>
    <w:rsid w:val="008350D2"/>
    <w:rsid w:val="00842551"/>
    <w:rsid w:val="008433DB"/>
    <w:rsid w:val="00844725"/>
    <w:rsid w:val="008460F2"/>
    <w:rsid w:val="008462A9"/>
    <w:rsid w:val="00847172"/>
    <w:rsid w:val="008476D0"/>
    <w:rsid w:val="00847B7E"/>
    <w:rsid w:val="00850DAA"/>
    <w:rsid w:val="00850EF8"/>
    <w:rsid w:val="008519E4"/>
    <w:rsid w:val="00851A42"/>
    <w:rsid w:val="00854BE9"/>
    <w:rsid w:val="008560D7"/>
    <w:rsid w:val="00857D81"/>
    <w:rsid w:val="00861C26"/>
    <w:rsid w:val="00863CDF"/>
    <w:rsid w:val="00867396"/>
    <w:rsid w:val="0086741D"/>
    <w:rsid w:val="008674D9"/>
    <w:rsid w:val="008675F1"/>
    <w:rsid w:val="0086778C"/>
    <w:rsid w:val="0087081A"/>
    <w:rsid w:val="00870EA5"/>
    <w:rsid w:val="0087163B"/>
    <w:rsid w:val="0087191B"/>
    <w:rsid w:val="00873099"/>
    <w:rsid w:val="00874531"/>
    <w:rsid w:val="008746EA"/>
    <w:rsid w:val="00876367"/>
    <w:rsid w:val="008767EF"/>
    <w:rsid w:val="0087729E"/>
    <w:rsid w:val="00877CF1"/>
    <w:rsid w:val="00880351"/>
    <w:rsid w:val="008805F8"/>
    <w:rsid w:val="0088108B"/>
    <w:rsid w:val="0088320B"/>
    <w:rsid w:val="008833C5"/>
    <w:rsid w:val="00883BDB"/>
    <w:rsid w:val="00883E60"/>
    <w:rsid w:val="00885315"/>
    <w:rsid w:val="0088771D"/>
    <w:rsid w:val="00891CA8"/>
    <w:rsid w:val="0089278B"/>
    <w:rsid w:val="00894168"/>
    <w:rsid w:val="008960BB"/>
    <w:rsid w:val="00896B84"/>
    <w:rsid w:val="008A0399"/>
    <w:rsid w:val="008A054D"/>
    <w:rsid w:val="008A179B"/>
    <w:rsid w:val="008A387A"/>
    <w:rsid w:val="008A5CAA"/>
    <w:rsid w:val="008B0EE6"/>
    <w:rsid w:val="008B1169"/>
    <w:rsid w:val="008B256E"/>
    <w:rsid w:val="008B3325"/>
    <w:rsid w:val="008B3F5A"/>
    <w:rsid w:val="008B4191"/>
    <w:rsid w:val="008B48A6"/>
    <w:rsid w:val="008B7E98"/>
    <w:rsid w:val="008C04AE"/>
    <w:rsid w:val="008C06A9"/>
    <w:rsid w:val="008C1B65"/>
    <w:rsid w:val="008C1E45"/>
    <w:rsid w:val="008C3106"/>
    <w:rsid w:val="008C32FA"/>
    <w:rsid w:val="008C5D1E"/>
    <w:rsid w:val="008C7145"/>
    <w:rsid w:val="008C739E"/>
    <w:rsid w:val="008C750E"/>
    <w:rsid w:val="008C7E11"/>
    <w:rsid w:val="008D0B13"/>
    <w:rsid w:val="008D15A3"/>
    <w:rsid w:val="008D20BB"/>
    <w:rsid w:val="008D2F34"/>
    <w:rsid w:val="008D3104"/>
    <w:rsid w:val="008D3E08"/>
    <w:rsid w:val="008D473B"/>
    <w:rsid w:val="008D570B"/>
    <w:rsid w:val="008D62B8"/>
    <w:rsid w:val="008D709D"/>
    <w:rsid w:val="008E03AA"/>
    <w:rsid w:val="008E0B39"/>
    <w:rsid w:val="008E1791"/>
    <w:rsid w:val="008E230B"/>
    <w:rsid w:val="008E4F9E"/>
    <w:rsid w:val="008E5245"/>
    <w:rsid w:val="008F2524"/>
    <w:rsid w:val="008F2E7A"/>
    <w:rsid w:val="008F417F"/>
    <w:rsid w:val="008F48E3"/>
    <w:rsid w:val="008F4A43"/>
    <w:rsid w:val="008F7ED1"/>
    <w:rsid w:val="00900391"/>
    <w:rsid w:val="00901CE8"/>
    <w:rsid w:val="00902757"/>
    <w:rsid w:val="0090373E"/>
    <w:rsid w:val="00904D9E"/>
    <w:rsid w:val="009063B6"/>
    <w:rsid w:val="009077FD"/>
    <w:rsid w:val="00912F39"/>
    <w:rsid w:val="009146DE"/>
    <w:rsid w:val="009147C6"/>
    <w:rsid w:val="00914B3D"/>
    <w:rsid w:val="00920F17"/>
    <w:rsid w:val="00921A25"/>
    <w:rsid w:val="009235F7"/>
    <w:rsid w:val="009236F5"/>
    <w:rsid w:val="00924513"/>
    <w:rsid w:val="00925246"/>
    <w:rsid w:val="009263ED"/>
    <w:rsid w:val="00930706"/>
    <w:rsid w:val="00930F01"/>
    <w:rsid w:val="00934808"/>
    <w:rsid w:val="00937392"/>
    <w:rsid w:val="009377B9"/>
    <w:rsid w:val="00937922"/>
    <w:rsid w:val="00937A03"/>
    <w:rsid w:val="00940037"/>
    <w:rsid w:val="009400A8"/>
    <w:rsid w:val="00940420"/>
    <w:rsid w:val="00943BC6"/>
    <w:rsid w:val="009459F2"/>
    <w:rsid w:val="00946045"/>
    <w:rsid w:val="00946E63"/>
    <w:rsid w:val="00946E80"/>
    <w:rsid w:val="00950A06"/>
    <w:rsid w:val="00950AF7"/>
    <w:rsid w:val="00952E16"/>
    <w:rsid w:val="009542F2"/>
    <w:rsid w:val="009544DB"/>
    <w:rsid w:val="00955078"/>
    <w:rsid w:val="00955179"/>
    <w:rsid w:val="00955C85"/>
    <w:rsid w:val="009613D3"/>
    <w:rsid w:val="00961DFD"/>
    <w:rsid w:val="009627DA"/>
    <w:rsid w:val="00962BA2"/>
    <w:rsid w:val="00963A15"/>
    <w:rsid w:val="00964FB6"/>
    <w:rsid w:val="00965E79"/>
    <w:rsid w:val="009672F2"/>
    <w:rsid w:val="00967585"/>
    <w:rsid w:val="0096764E"/>
    <w:rsid w:val="00970664"/>
    <w:rsid w:val="0097127D"/>
    <w:rsid w:val="009713C7"/>
    <w:rsid w:val="009731A5"/>
    <w:rsid w:val="00973C20"/>
    <w:rsid w:val="00973ECD"/>
    <w:rsid w:val="00973F68"/>
    <w:rsid w:val="00973FAA"/>
    <w:rsid w:val="0097777C"/>
    <w:rsid w:val="00981C29"/>
    <w:rsid w:val="009825C6"/>
    <w:rsid w:val="009857B2"/>
    <w:rsid w:val="009868CA"/>
    <w:rsid w:val="009869F1"/>
    <w:rsid w:val="009869F8"/>
    <w:rsid w:val="009870CA"/>
    <w:rsid w:val="00990175"/>
    <w:rsid w:val="00990C2F"/>
    <w:rsid w:val="00993570"/>
    <w:rsid w:val="00996508"/>
    <w:rsid w:val="009A17CF"/>
    <w:rsid w:val="009A1B2D"/>
    <w:rsid w:val="009A2042"/>
    <w:rsid w:val="009A23BA"/>
    <w:rsid w:val="009A332C"/>
    <w:rsid w:val="009A4103"/>
    <w:rsid w:val="009A5163"/>
    <w:rsid w:val="009A640F"/>
    <w:rsid w:val="009A6BF9"/>
    <w:rsid w:val="009B0A2A"/>
    <w:rsid w:val="009B0CC0"/>
    <w:rsid w:val="009B1C76"/>
    <w:rsid w:val="009B55EC"/>
    <w:rsid w:val="009B64FB"/>
    <w:rsid w:val="009B6757"/>
    <w:rsid w:val="009B7F77"/>
    <w:rsid w:val="009C2096"/>
    <w:rsid w:val="009C23D3"/>
    <w:rsid w:val="009C2687"/>
    <w:rsid w:val="009C268D"/>
    <w:rsid w:val="009C3A6B"/>
    <w:rsid w:val="009C3E1B"/>
    <w:rsid w:val="009C47AE"/>
    <w:rsid w:val="009C6156"/>
    <w:rsid w:val="009C66B0"/>
    <w:rsid w:val="009D280C"/>
    <w:rsid w:val="009D2BB3"/>
    <w:rsid w:val="009D4525"/>
    <w:rsid w:val="009D562D"/>
    <w:rsid w:val="009D5860"/>
    <w:rsid w:val="009D7392"/>
    <w:rsid w:val="009D7986"/>
    <w:rsid w:val="009E0C14"/>
    <w:rsid w:val="009E0C37"/>
    <w:rsid w:val="009E1F64"/>
    <w:rsid w:val="009E2E37"/>
    <w:rsid w:val="009E36FA"/>
    <w:rsid w:val="009E4100"/>
    <w:rsid w:val="009E4356"/>
    <w:rsid w:val="009E6018"/>
    <w:rsid w:val="009E65EE"/>
    <w:rsid w:val="009F024E"/>
    <w:rsid w:val="009F2E5B"/>
    <w:rsid w:val="009F3138"/>
    <w:rsid w:val="009F41D5"/>
    <w:rsid w:val="009F59A9"/>
    <w:rsid w:val="009F670D"/>
    <w:rsid w:val="00A00FCC"/>
    <w:rsid w:val="00A06ED4"/>
    <w:rsid w:val="00A07782"/>
    <w:rsid w:val="00A07E94"/>
    <w:rsid w:val="00A1062B"/>
    <w:rsid w:val="00A149CA"/>
    <w:rsid w:val="00A149CC"/>
    <w:rsid w:val="00A15343"/>
    <w:rsid w:val="00A16123"/>
    <w:rsid w:val="00A1616F"/>
    <w:rsid w:val="00A166A3"/>
    <w:rsid w:val="00A16B27"/>
    <w:rsid w:val="00A17909"/>
    <w:rsid w:val="00A200DC"/>
    <w:rsid w:val="00A217D3"/>
    <w:rsid w:val="00A2335B"/>
    <w:rsid w:val="00A2560D"/>
    <w:rsid w:val="00A26353"/>
    <w:rsid w:val="00A26EAE"/>
    <w:rsid w:val="00A32370"/>
    <w:rsid w:val="00A3320A"/>
    <w:rsid w:val="00A33CE6"/>
    <w:rsid w:val="00A34B12"/>
    <w:rsid w:val="00A35208"/>
    <w:rsid w:val="00A3575F"/>
    <w:rsid w:val="00A35B1D"/>
    <w:rsid w:val="00A37D7E"/>
    <w:rsid w:val="00A407E4"/>
    <w:rsid w:val="00A40851"/>
    <w:rsid w:val="00A40D1A"/>
    <w:rsid w:val="00A415C4"/>
    <w:rsid w:val="00A41FD8"/>
    <w:rsid w:val="00A423EC"/>
    <w:rsid w:val="00A4288F"/>
    <w:rsid w:val="00A435BA"/>
    <w:rsid w:val="00A4542C"/>
    <w:rsid w:val="00A45F06"/>
    <w:rsid w:val="00A4697D"/>
    <w:rsid w:val="00A46BDE"/>
    <w:rsid w:val="00A5049C"/>
    <w:rsid w:val="00A50A2A"/>
    <w:rsid w:val="00A52698"/>
    <w:rsid w:val="00A52CCF"/>
    <w:rsid w:val="00A5341E"/>
    <w:rsid w:val="00A5429A"/>
    <w:rsid w:val="00A553A5"/>
    <w:rsid w:val="00A56BAF"/>
    <w:rsid w:val="00A60A20"/>
    <w:rsid w:val="00A60FCC"/>
    <w:rsid w:val="00A61D1F"/>
    <w:rsid w:val="00A63981"/>
    <w:rsid w:val="00A64AF2"/>
    <w:rsid w:val="00A64C10"/>
    <w:rsid w:val="00A652E4"/>
    <w:rsid w:val="00A66899"/>
    <w:rsid w:val="00A66974"/>
    <w:rsid w:val="00A708A4"/>
    <w:rsid w:val="00A712CA"/>
    <w:rsid w:val="00A713E5"/>
    <w:rsid w:val="00A7180E"/>
    <w:rsid w:val="00A71C2C"/>
    <w:rsid w:val="00A72D5F"/>
    <w:rsid w:val="00A7399F"/>
    <w:rsid w:val="00A7402B"/>
    <w:rsid w:val="00A752FF"/>
    <w:rsid w:val="00A766A4"/>
    <w:rsid w:val="00A76ACD"/>
    <w:rsid w:val="00A77A0F"/>
    <w:rsid w:val="00A77AA1"/>
    <w:rsid w:val="00A77B70"/>
    <w:rsid w:val="00A816EB"/>
    <w:rsid w:val="00A83D8B"/>
    <w:rsid w:val="00A84FE3"/>
    <w:rsid w:val="00A85FA9"/>
    <w:rsid w:val="00A902B0"/>
    <w:rsid w:val="00A90B4D"/>
    <w:rsid w:val="00A961DB"/>
    <w:rsid w:val="00A96F1C"/>
    <w:rsid w:val="00AA1607"/>
    <w:rsid w:val="00AA1E92"/>
    <w:rsid w:val="00AA373F"/>
    <w:rsid w:val="00AA5A28"/>
    <w:rsid w:val="00AA680E"/>
    <w:rsid w:val="00AB1476"/>
    <w:rsid w:val="00AB2537"/>
    <w:rsid w:val="00AB2A0D"/>
    <w:rsid w:val="00AB3209"/>
    <w:rsid w:val="00AB366B"/>
    <w:rsid w:val="00AB540A"/>
    <w:rsid w:val="00AB588B"/>
    <w:rsid w:val="00AB58DF"/>
    <w:rsid w:val="00AB7271"/>
    <w:rsid w:val="00AB7546"/>
    <w:rsid w:val="00AC1A9A"/>
    <w:rsid w:val="00AC321A"/>
    <w:rsid w:val="00AC367A"/>
    <w:rsid w:val="00AC3733"/>
    <w:rsid w:val="00AC5A8E"/>
    <w:rsid w:val="00AC6F17"/>
    <w:rsid w:val="00AC7DC0"/>
    <w:rsid w:val="00AD3BD4"/>
    <w:rsid w:val="00AD3EF5"/>
    <w:rsid w:val="00AD4BAB"/>
    <w:rsid w:val="00AD75CC"/>
    <w:rsid w:val="00AE0A58"/>
    <w:rsid w:val="00AE1BB8"/>
    <w:rsid w:val="00AE20B2"/>
    <w:rsid w:val="00AE3896"/>
    <w:rsid w:val="00AE424B"/>
    <w:rsid w:val="00AE574B"/>
    <w:rsid w:val="00AE791C"/>
    <w:rsid w:val="00AF00A2"/>
    <w:rsid w:val="00AF07A9"/>
    <w:rsid w:val="00AF1CE4"/>
    <w:rsid w:val="00AF1E3A"/>
    <w:rsid w:val="00AF2F87"/>
    <w:rsid w:val="00AF36C5"/>
    <w:rsid w:val="00AF3D9A"/>
    <w:rsid w:val="00AF5A28"/>
    <w:rsid w:val="00AF5E86"/>
    <w:rsid w:val="00AF7CF8"/>
    <w:rsid w:val="00B036AC"/>
    <w:rsid w:val="00B05547"/>
    <w:rsid w:val="00B075A8"/>
    <w:rsid w:val="00B129C9"/>
    <w:rsid w:val="00B14D06"/>
    <w:rsid w:val="00B1634F"/>
    <w:rsid w:val="00B16384"/>
    <w:rsid w:val="00B1694E"/>
    <w:rsid w:val="00B21A1C"/>
    <w:rsid w:val="00B22541"/>
    <w:rsid w:val="00B229C4"/>
    <w:rsid w:val="00B248B3"/>
    <w:rsid w:val="00B258D6"/>
    <w:rsid w:val="00B25FAE"/>
    <w:rsid w:val="00B2721F"/>
    <w:rsid w:val="00B27A39"/>
    <w:rsid w:val="00B31264"/>
    <w:rsid w:val="00B3130D"/>
    <w:rsid w:val="00B31772"/>
    <w:rsid w:val="00B35DDD"/>
    <w:rsid w:val="00B378B8"/>
    <w:rsid w:val="00B37984"/>
    <w:rsid w:val="00B40428"/>
    <w:rsid w:val="00B40785"/>
    <w:rsid w:val="00B41E12"/>
    <w:rsid w:val="00B421E0"/>
    <w:rsid w:val="00B438A7"/>
    <w:rsid w:val="00B43DA6"/>
    <w:rsid w:val="00B43DB9"/>
    <w:rsid w:val="00B4611B"/>
    <w:rsid w:val="00B47A3D"/>
    <w:rsid w:val="00B51AF9"/>
    <w:rsid w:val="00B5293B"/>
    <w:rsid w:val="00B530EB"/>
    <w:rsid w:val="00B540BB"/>
    <w:rsid w:val="00B54BBF"/>
    <w:rsid w:val="00B550D6"/>
    <w:rsid w:val="00B55717"/>
    <w:rsid w:val="00B56C80"/>
    <w:rsid w:val="00B57799"/>
    <w:rsid w:val="00B57C1C"/>
    <w:rsid w:val="00B60AF8"/>
    <w:rsid w:val="00B6234E"/>
    <w:rsid w:val="00B630EF"/>
    <w:rsid w:val="00B66485"/>
    <w:rsid w:val="00B66623"/>
    <w:rsid w:val="00B67079"/>
    <w:rsid w:val="00B67B16"/>
    <w:rsid w:val="00B67E4D"/>
    <w:rsid w:val="00B70AE7"/>
    <w:rsid w:val="00B70AFB"/>
    <w:rsid w:val="00B71031"/>
    <w:rsid w:val="00B7329E"/>
    <w:rsid w:val="00B735F6"/>
    <w:rsid w:val="00B73BC9"/>
    <w:rsid w:val="00B75496"/>
    <w:rsid w:val="00B75762"/>
    <w:rsid w:val="00B77962"/>
    <w:rsid w:val="00B808C7"/>
    <w:rsid w:val="00B80D6C"/>
    <w:rsid w:val="00B82262"/>
    <w:rsid w:val="00B822BE"/>
    <w:rsid w:val="00B83182"/>
    <w:rsid w:val="00B83CDB"/>
    <w:rsid w:val="00B8434F"/>
    <w:rsid w:val="00B84509"/>
    <w:rsid w:val="00B84C26"/>
    <w:rsid w:val="00B84D89"/>
    <w:rsid w:val="00B86E88"/>
    <w:rsid w:val="00B87660"/>
    <w:rsid w:val="00B87ECC"/>
    <w:rsid w:val="00B87F6C"/>
    <w:rsid w:val="00B87FF2"/>
    <w:rsid w:val="00B92FC2"/>
    <w:rsid w:val="00B94851"/>
    <w:rsid w:val="00B95161"/>
    <w:rsid w:val="00B952D5"/>
    <w:rsid w:val="00B967D3"/>
    <w:rsid w:val="00B96992"/>
    <w:rsid w:val="00BA30AA"/>
    <w:rsid w:val="00BA371B"/>
    <w:rsid w:val="00BA57CA"/>
    <w:rsid w:val="00BA60AD"/>
    <w:rsid w:val="00BA7515"/>
    <w:rsid w:val="00BB0B3D"/>
    <w:rsid w:val="00BB0C6C"/>
    <w:rsid w:val="00BB38BD"/>
    <w:rsid w:val="00BB4DED"/>
    <w:rsid w:val="00BB4DF5"/>
    <w:rsid w:val="00BB5770"/>
    <w:rsid w:val="00BB6ED4"/>
    <w:rsid w:val="00BB7A04"/>
    <w:rsid w:val="00BC1833"/>
    <w:rsid w:val="00BC4B22"/>
    <w:rsid w:val="00BC4DBA"/>
    <w:rsid w:val="00BC55ED"/>
    <w:rsid w:val="00BC5852"/>
    <w:rsid w:val="00BC59C5"/>
    <w:rsid w:val="00BC5D45"/>
    <w:rsid w:val="00BC6EBA"/>
    <w:rsid w:val="00BC7FCD"/>
    <w:rsid w:val="00BD1E66"/>
    <w:rsid w:val="00BD1F9E"/>
    <w:rsid w:val="00BD296E"/>
    <w:rsid w:val="00BD2E51"/>
    <w:rsid w:val="00BD3E28"/>
    <w:rsid w:val="00BD3EEC"/>
    <w:rsid w:val="00BD53A6"/>
    <w:rsid w:val="00BD6358"/>
    <w:rsid w:val="00BD6E66"/>
    <w:rsid w:val="00BD725E"/>
    <w:rsid w:val="00BE1871"/>
    <w:rsid w:val="00BE1A1F"/>
    <w:rsid w:val="00BE3BC1"/>
    <w:rsid w:val="00BE4D11"/>
    <w:rsid w:val="00BE4F39"/>
    <w:rsid w:val="00BE5672"/>
    <w:rsid w:val="00BE5747"/>
    <w:rsid w:val="00BF018D"/>
    <w:rsid w:val="00BF1C58"/>
    <w:rsid w:val="00BF349D"/>
    <w:rsid w:val="00BF34A1"/>
    <w:rsid w:val="00BF60B7"/>
    <w:rsid w:val="00BF78DF"/>
    <w:rsid w:val="00C0097D"/>
    <w:rsid w:val="00C023B4"/>
    <w:rsid w:val="00C028AF"/>
    <w:rsid w:val="00C04561"/>
    <w:rsid w:val="00C045F4"/>
    <w:rsid w:val="00C051AF"/>
    <w:rsid w:val="00C0622C"/>
    <w:rsid w:val="00C06C8C"/>
    <w:rsid w:val="00C07956"/>
    <w:rsid w:val="00C11393"/>
    <w:rsid w:val="00C12FEF"/>
    <w:rsid w:val="00C1356F"/>
    <w:rsid w:val="00C13CB6"/>
    <w:rsid w:val="00C140C8"/>
    <w:rsid w:val="00C21BCF"/>
    <w:rsid w:val="00C22664"/>
    <w:rsid w:val="00C22E85"/>
    <w:rsid w:val="00C23DCE"/>
    <w:rsid w:val="00C24308"/>
    <w:rsid w:val="00C26FD5"/>
    <w:rsid w:val="00C30466"/>
    <w:rsid w:val="00C307AA"/>
    <w:rsid w:val="00C3097F"/>
    <w:rsid w:val="00C30EF5"/>
    <w:rsid w:val="00C33886"/>
    <w:rsid w:val="00C36D84"/>
    <w:rsid w:val="00C37F16"/>
    <w:rsid w:val="00C42568"/>
    <w:rsid w:val="00C43895"/>
    <w:rsid w:val="00C4573A"/>
    <w:rsid w:val="00C45865"/>
    <w:rsid w:val="00C45F71"/>
    <w:rsid w:val="00C469F6"/>
    <w:rsid w:val="00C46B76"/>
    <w:rsid w:val="00C50AAC"/>
    <w:rsid w:val="00C51E4D"/>
    <w:rsid w:val="00C5315A"/>
    <w:rsid w:val="00C536E2"/>
    <w:rsid w:val="00C5415F"/>
    <w:rsid w:val="00C54D23"/>
    <w:rsid w:val="00C54EDB"/>
    <w:rsid w:val="00C54F10"/>
    <w:rsid w:val="00C5613A"/>
    <w:rsid w:val="00C56801"/>
    <w:rsid w:val="00C608E1"/>
    <w:rsid w:val="00C6096A"/>
    <w:rsid w:val="00C61009"/>
    <w:rsid w:val="00C61A11"/>
    <w:rsid w:val="00C61B26"/>
    <w:rsid w:val="00C62594"/>
    <w:rsid w:val="00C62F98"/>
    <w:rsid w:val="00C66B3F"/>
    <w:rsid w:val="00C677D6"/>
    <w:rsid w:val="00C67B07"/>
    <w:rsid w:val="00C70B16"/>
    <w:rsid w:val="00C7108C"/>
    <w:rsid w:val="00C74490"/>
    <w:rsid w:val="00C75499"/>
    <w:rsid w:val="00C7558B"/>
    <w:rsid w:val="00C815C3"/>
    <w:rsid w:val="00C82472"/>
    <w:rsid w:val="00C8286F"/>
    <w:rsid w:val="00C83CE6"/>
    <w:rsid w:val="00C841B4"/>
    <w:rsid w:val="00C85C86"/>
    <w:rsid w:val="00C860C5"/>
    <w:rsid w:val="00C86223"/>
    <w:rsid w:val="00C869E7"/>
    <w:rsid w:val="00C8765C"/>
    <w:rsid w:val="00C87772"/>
    <w:rsid w:val="00C90884"/>
    <w:rsid w:val="00C9220E"/>
    <w:rsid w:val="00C92F05"/>
    <w:rsid w:val="00C940C1"/>
    <w:rsid w:val="00C97492"/>
    <w:rsid w:val="00CA0093"/>
    <w:rsid w:val="00CA1F67"/>
    <w:rsid w:val="00CA3861"/>
    <w:rsid w:val="00CA3E99"/>
    <w:rsid w:val="00CA3FE1"/>
    <w:rsid w:val="00CA4033"/>
    <w:rsid w:val="00CA5B38"/>
    <w:rsid w:val="00CA6220"/>
    <w:rsid w:val="00CA7349"/>
    <w:rsid w:val="00CA742C"/>
    <w:rsid w:val="00CA769D"/>
    <w:rsid w:val="00CA780E"/>
    <w:rsid w:val="00CB044C"/>
    <w:rsid w:val="00CB04EA"/>
    <w:rsid w:val="00CB29DB"/>
    <w:rsid w:val="00CB2F60"/>
    <w:rsid w:val="00CB3D8E"/>
    <w:rsid w:val="00CB4F62"/>
    <w:rsid w:val="00CB563D"/>
    <w:rsid w:val="00CB5F1E"/>
    <w:rsid w:val="00CB704D"/>
    <w:rsid w:val="00CC1CFD"/>
    <w:rsid w:val="00CC3153"/>
    <w:rsid w:val="00CC42A7"/>
    <w:rsid w:val="00CD03C2"/>
    <w:rsid w:val="00CD2C72"/>
    <w:rsid w:val="00CD34E7"/>
    <w:rsid w:val="00CD4F29"/>
    <w:rsid w:val="00CD5479"/>
    <w:rsid w:val="00CD70DE"/>
    <w:rsid w:val="00CD718F"/>
    <w:rsid w:val="00CD790F"/>
    <w:rsid w:val="00CE2256"/>
    <w:rsid w:val="00CE2624"/>
    <w:rsid w:val="00CE37E5"/>
    <w:rsid w:val="00CE4B53"/>
    <w:rsid w:val="00CE4D9D"/>
    <w:rsid w:val="00CE594D"/>
    <w:rsid w:val="00CE6163"/>
    <w:rsid w:val="00CF0373"/>
    <w:rsid w:val="00CF07DF"/>
    <w:rsid w:val="00CF3888"/>
    <w:rsid w:val="00CF437C"/>
    <w:rsid w:val="00CF43DC"/>
    <w:rsid w:val="00CF4807"/>
    <w:rsid w:val="00CF5D0A"/>
    <w:rsid w:val="00CF7779"/>
    <w:rsid w:val="00D0110A"/>
    <w:rsid w:val="00D0288A"/>
    <w:rsid w:val="00D02C67"/>
    <w:rsid w:val="00D04B2A"/>
    <w:rsid w:val="00D05BCA"/>
    <w:rsid w:val="00D06E27"/>
    <w:rsid w:val="00D0717E"/>
    <w:rsid w:val="00D1237D"/>
    <w:rsid w:val="00D1297D"/>
    <w:rsid w:val="00D13351"/>
    <w:rsid w:val="00D1349B"/>
    <w:rsid w:val="00D1391A"/>
    <w:rsid w:val="00D13AB7"/>
    <w:rsid w:val="00D160F4"/>
    <w:rsid w:val="00D16DF1"/>
    <w:rsid w:val="00D16E37"/>
    <w:rsid w:val="00D17040"/>
    <w:rsid w:val="00D17AF4"/>
    <w:rsid w:val="00D223EC"/>
    <w:rsid w:val="00D22842"/>
    <w:rsid w:val="00D22D03"/>
    <w:rsid w:val="00D2415D"/>
    <w:rsid w:val="00D24F7B"/>
    <w:rsid w:val="00D266D3"/>
    <w:rsid w:val="00D303EE"/>
    <w:rsid w:val="00D32AA8"/>
    <w:rsid w:val="00D341C3"/>
    <w:rsid w:val="00D34483"/>
    <w:rsid w:val="00D34494"/>
    <w:rsid w:val="00D35580"/>
    <w:rsid w:val="00D355FB"/>
    <w:rsid w:val="00D35C6F"/>
    <w:rsid w:val="00D35DA2"/>
    <w:rsid w:val="00D368E3"/>
    <w:rsid w:val="00D4029E"/>
    <w:rsid w:val="00D4133F"/>
    <w:rsid w:val="00D424DA"/>
    <w:rsid w:val="00D43152"/>
    <w:rsid w:val="00D43B81"/>
    <w:rsid w:val="00D457A9"/>
    <w:rsid w:val="00D46ECD"/>
    <w:rsid w:val="00D47890"/>
    <w:rsid w:val="00D47F28"/>
    <w:rsid w:val="00D50517"/>
    <w:rsid w:val="00D50A08"/>
    <w:rsid w:val="00D50D82"/>
    <w:rsid w:val="00D510E6"/>
    <w:rsid w:val="00D51AD3"/>
    <w:rsid w:val="00D54DD0"/>
    <w:rsid w:val="00D5774E"/>
    <w:rsid w:val="00D610DF"/>
    <w:rsid w:val="00D63441"/>
    <w:rsid w:val="00D637A6"/>
    <w:rsid w:val="00D64690"/>
    <w:rsid w:val="00D653A2"/>
    <w:rsid w:val="00D653B7"/>
    <w:rsid w:val="00D66AE7"/>
    <w:rsid w:val="00D675F9"/>
    <w:rsid w:val="00D67702"/>
    <w:rsid w:val="00D736C6"/>
    <w:rsid w:val="00D748CB"/>
    <w:rsid w:val="00D763A7"/>
    <w:rsid w:val="00D7778D"/>
    <w:rsid w:val="00D778FB"/>
    <w:rsid w:val="00D779B5"/>
    <w:rsid w:val="00D77C0F"/>
    <w:rsid w:val="00D800F3"/>
    <w:rsid w:val="00D816EF"/>
    <w:rsid w:val="00D81F6E"/>
    <w:rsid w:val="00D825B3"/>
    <w:rsid w:val="00D85D06"/>
    <w:rsid w:val="00D85E5B"/>
    <w:rsid w:val="00D85E62"/>
    <w:rsid w:val="00D86431"/>
    <w:rsid w:val="00D868D6"/>
    <w:rsid w:val="00D871CD"/>
    <w:rsid w:val="00D87A55"/>
    <w:rsid w:val="00D87DB2"/>
    <w:rsid w:val="00D90593"/>
    <w:rsid w:val="00D91B3A"/>
    <w:rsid w:val="00D93BB4"/>
    <w:rsid w:val="00D9415C"/>
    <w:rsid w:val="00D94589"/>
    <w:rsid w:val="00D95355"/>
    <w:rsid w:val="00DA0B96"/>
    <w:rsid w:val="00DA13DE"/>
    <w:rsid w:val="00DA1F59"/>
    <w:rsid w:val="00DA2C22"/>
    <w:rsid w:val="00DA31EA"/>
    <w:rsid w:val="00DA46DD"/>
    <w:rsid w:val="00DA61A1"/>
    <w:rsid w:val="00DA6986"/>
    <w:rsid w:val="00DA7792"/>
    <w:rsid w:val="00DB33C0"/>
    <w:rsid w:val="00DB6BFD"/>
    <w:rsid w:val="00DC0330"/>
    <w:rsid w:val="00DC0853"/>
    <w:rsid w:val="00DC0DE7"/>
    <w:rsid w:val="00DC11D4"/>
    <w:rsid w:val="00DC11DA"/>
    <w:rsid w:val="00DC25B7"/>
    <w:rsid w:val="00DC4747"/>
    <w:rsid w:val="00DC6C93"/>
    <w:rsid w:val="00DD10FA"/>
    <w:rsid w:val="00DD1B22"/>
    <w:rsid w:val="00DD26FB"/>
    <w:rsid w:val="00DD2F23"/>
    <w:rsid w:val="00DD3126"/>
    <w:rsid w:val="00DD3259"/>
    <w:rsid w:val="00DD362F"/>
    <w:rsid w:val="00DD3EA3"/>
    <w:rsid w:val="00DD44F1"/>
    <w:rsid w:val="00DD5F35"/>
    <w:rsid w:val="00DE2B52"/>
    <w:rsid w:val="00DE4171"/>
    <w:rsid w:val="00DE4746"/>
    <w:rsid w:val="00DE5DF5"/>
    <w:rsid w:val="00DE676E"/>
    <w:rsid w:val="00DE7B40"/>
    <w:rsid w:val="00DF0354"/>
    <w:rsid w:val="00DF2C70"/>
    <w:rsid w:val="00DF42C1"/>
    <w:rsid w:val="00DF6D38"/>
    <w:rsid w:val="00DF6E0C"/>
    <w:rsid w:val="00DF707C"/>
    <w:rsid w:val="00DF722C"/>
    <w:rsid w:val="00E0083E"/>
    <w:rsid w:val="00E02660"/>
    <w:rsid w:val="00E030C8"/>
    <w:rsid w:val="00E03857"/>
    <w:rsid w:val="00E041BF"/>
    <w:rsid w:val="00E0447A"/>
    <w:rsid w:val="00E04D0F"/>
    <w:rsid w:val="00E05052"/>
    <w:rsid w:val="00E054EC"/>
    <w:rsid w:val="00E05987"/>
    <w:rsid w:val="00E0673F"/>
    <w:rsid w:val="00E10AB7"/>
    <w:rsid w:val="00E10CE1"/>
    <w:rsid w:val="00E11C73"/>
    <w:rsid w:val="00E12F25"/>
    <w:rsid w:val="00E13BE6"/>
    <w:rsid w:val="00E13C30"/>
    <w:rsid w:val="00E14751"/>
    <w:rsid w:val="00E15573"/>
    <w:rsid w:val="00E1565D"/>
    <w:rsid w:val="00E171E9"/>
    <w:rsid w:val="00E17F8C"/>
    <w:rsid w:val="00E20731"/>
    <w:rsid w:val="00E24192"/>
    <w:rsid w:val="00E24B7E"/>
    <w:rsid w:val="00E26430"/>
    <w:rsid w:val="00E2680C"/>
    <w:rsid w:val="00E3070B"/>
    <w:rsid w:val="00E30FC9"/>
    <w:rsid w:val="00E31373"/>
    <w:rsid w:val="00E31478"/>
    <w:rsid w:val="00E32540"/>
    <w:rsid w:val="00E368C0"/>
    <w:rsid w:val="00E36C37"/>
    <w:rsid w:val="00E37BDB"/>
    <w:rsid w:val="00E37D18"/>
    <w:rsid w:val="00E37EAA"/>
    <w:rsid w:val="00E408A6"/>
    <w:rsid w:val="00E415EC"/>
    <w:rsid w:val="00E41B1D"/>
    <w:rsid w:val="00E45318"/>
    <w:rsid w:val="00E502DE"/>
    <w:rsid w:val="00E5214B"/>
    <w:rsid w:val="00E56631"/>
    <w:rsid w:val="00E57886"/>
    <w:rsid w:val="00E61E92"/>
    <w:rsid w:val="00E62BD1"/>
    <w:rsid w:val="00E64275"/>
    <w:rsid w:val="00E6481A"/>
    <w:rsid w:val="00E6524E"/>
    <w:rsid w:val="00E66C0A"/>
    <w:rsid w:val="00E718C2"/>
    <w:rsid w:val="00E724CC"/>
    <w:rsid w:val="00E728A9"/>
    <w:rsid w:val="00E74534"/>
    <w:rsid w:val="00E74916"/>
    <w:rsid w:val="00E75588"/>
    <w:rsid w:val="00E75673"/>
    <w:rsid w:val="00E77A67"/>
    <w:rsid w:val="00E81CE2"/>
    <w:rsid w:val="00E81E11"/>
    <w:rsid w:val="00E84129"/>
    <w:rsid w:val="00E8723D"/>
    <w:rsid w:val="00E876C0"/>
    <w:rsid w:val="00E876D3"/>
    <w:rsid w:val="00E87A56"/>
    <w:rsid w:val="00E95992"/>
    <w:rsid w:val="00E96FDA"/>
    <w:rsid w:val="00E97FD5"/>
    <w:rsid w:val="00EA0760"/>
    <w:rsid w:val="00EA1F23"/>
    <w:rsid w:val="00EA1F7F"/>
    <w:rsid w:val="00EA2BE0"/>
    <w:rsid w:val="00EA51F0"/>
    <w:rsid w:val="00EA5602"/>
    <w:rsid w:val="00EA5FE2"/>
    <w:rsid w:val="00EB0AB7"/>
    <w:rsid w:val="00EB0CDB"/>
    <w:rsid w:val="00EB1509"/>
    <w:rsid w:val="00EB30B0"/>
    <w:rsid w:val="00EB61C0"/>
    <w:rsid w:val="00EB6230"/>
    <w:rsid w:val="00EB6BCC"/>
    <w:rsid w:val="00EB7731"/>
    <w:rsid w:val="00EC0D6C"/>
    <w:rsid w:val="00EC1003"/>
    <w:rsid w:val="00EC11B8"/>
    <w:rsid w:val="00EC16C9"/>
    <w:rsid w:val="00EC23DA"/>
    <w:rsid w:val="00EC292F"/>
    <w:rsid w:val="00EC2DFF"/>
    <w:rsid w:val="00EC36AA"/>
    <w:rsid w:val="00EC593F"/>
    <w:rsid w:val="00EC7E56"/>
    <w:rsid w:val="00ED41A2"/>
    <w:rsid w:val="00ED5D95"/>
    <w:rsid w:val="00ED63F3"/>
    <w:rsid w:val="00EE0664"/>
    <w:rsid w:val="00EE147A"/>
    <w:rsid w:val="00EE1780"/>
    <w:rsid w:val="00EE2528"/>
    <w:rsid w:val="00EE291D"/>
    <w:rsid w:val="00EE3B8F"/>
    <w:rsid w:val="00EE4054"/>
    <w:rsid w:val="00EE6018"/>
    <w:rsid w:val="00EF0679"/>
    <w:rsid w:val="00EF1895"/>
    <w:rsid w:val="00EF4D6E"/>
    <w:rsid w:val="00EF5B66"/>
    <w:rsid w:val="00EF638B"/>
    <w:rsid w:val="00EF6452"/>
    <w:rsid w:val="00EF70AC"/>
    <w:rsid w:val="00F004E9"/>
    <w:rsid w:val="00F00F1C"/>
    <w:rsid w:val="00F0107F"/>
    <w:rsid w:val="00F0252D"/>
    <w:rsid w:val="00F0410D"/>
    <w:rsid w:val="00F04ED7"/>
    <w:rsid w:val="00F0560A"/>
    <w:rsid w:val="00F0773E"/>
    <w:rsid w:val="00F10860"/>
    <w:rsid w:val="00F109F3"/>
    <w:rsid w:val="00F10C51"/>
    <w:rsid w:val="00F15076"/>
    <w:rsid w:val="00F16623"/>
    <w:rsid w:val="00F16679"/>
    <w:rsid w:val="00F168CC"/>
    <w:rsid w:val="00F2048E"/>
    <w:rsid w:val="00F20A36"/>
    <w:rsid w:val="00F2121C"/>
    <w:rsid w:val="00F2186E"/>
    <w:rsid w:val="00F21D76"/>
    <w:rsid w:val="00F22FA5"/>
    <w:rsid w:val="00F30D90"/>
    <w:rsid w:val="00F3122F"/>
    <w:rsid w:val="00F31A4C"/>
    <w:rsid w:val="00F31D36"/>
    <w:rsid w:val="00F3563C"/>
    <w:rsid w:val="00F357CC"/>
    <w:rsid w:val="00F3633E"/>
    <w:rsid w:val="00F36A5E"/>
    <w:rsid w:val="00F40445"/>
    <w:rsid w:val="00F41462"/>
    <w:rsid w:val="00F41E5B"/>
    <w:rsid w:val="00F42ACA"/>
    <w:rsid w:val="00F42C0C"/>
    <w:rsid w:val="00F452AA"/>
    <w:rsid w:val="00F45FEB"/>
    <w:rsid w:val="00F47DEC"/>
    <w:rsid w:val="00F501F9"/>
    <w:rsid w:val="00F53424"/>
    <w:rsid w:val="00F54EFE"/>
    <w:rsid w:val="00F5512C"/>
    <w:rsid w:val="00F55CB3"/>
    <w:rsid w:val="00F55CED"/>
    <w:rsid w:val="00F56BC2"/>
    <w:rsid w:val="00F5740C"/>
    <w:rsid w:val="00F575DD"/>
    <w:rsid w:val="00F5766C"/>
    <w:rsid w:val="00F64920"/>
    <w:rsid w:val="00F64FE5"/>
    <w:rsid w:val="00F657BB"/>
    <w:rsid w:val="00F665D2"/>
    <w:rsid w:val="00F66748"/>
    <w:rsid w:val="00F7007C"/>
    <w:rsid w:val="00F700C3"/>
    <w:rsid w:val="00F7061C"/>
    <w:rsid w:val="00F706EC"/>
    <w:rsid w:val="00F70A46"/>
    <w:rsid w:val="00F712B9"/>
    <w:rsid w:val="00F716F4"/>
    <w:rsid w:val="00F716FB"/>
    <w:rsid w:val="00F73DC2"/>
    <w:rsid w:val="00F745D9"/>
    <w:rsid w:val="00F74DE9"/>
    <w:rsid w:val="00F75143"/>
    <w:rsid w:val="00F751BF"/>
    <w:rsid w:val="00F77C1C"/>
    <w:rsid w:val="00F802A2"/>
    <w:rsid w:val="00F804D2"/>
    <w:rsid w:val="00F80964"/>
    <w:rsid w:val="00F8178F"/>
    <w:rsid w:val="00F8424D"/>
    <w:rsid w:val="00F86135"/>
    <w:rsid w:val="00F866C8"/>
    <w:rsid w:val="00F91026"/>
    <w:rsid w:val="00F931FC"/>
    <w:rsid w:val="00F9348E"/>
    <w:rsid w:val="00F939A6"/>
    <w:rsid w:val="00F95DBF"/>
    <w:rsid w:val="00F9603E"/>
    <w:rsid w:val="00F97E6F"/>
    <w:rsid w:val="00FA00D3"/>
    <w:rsid w:val="00FA0700"/>
    <w:rsid w:val="00FA0C70"/>
    <w:rsid w:val="00FA4105"/>
    <w:rsid w:val="00FA4462"/>
    <w:rsid w:val="00FA46E2"/>
    <w:rsid w:val="00FA484F"/>
    <w:rsid w:val="00FA52F7"/>
    <w:rsid w:val="00FA5826"/>
    <w:rsid w:val="00FA61A2"/>
    <w:rsid w:val="00FA6395"/>
    <w:rsid w:val="00FB1213"/>
    <w:rsid w:val="00FB19E6"/>
    <w:rsid w:val="00FB4A5B"/>
    <w:rsid w:val="00FB536B"/>
    <w:rsid w:val="00FB723D"/>
    <w:rsid w:val="00FB7DA8"/>
    <w:rsid w:val="00FC0277"/>
    <w:rsid w:val="00FC08E3"/>
    <w:rsid w:val="00FC1040"/>
    <w:rsid w:val="00FC143C"/>
    <w:rsid w:val="00FC3677"/>
    <w:rsid w:val="00FC3D8F"/>
    <w:rsid w:val="00FC4595"/>
    <w:rsid w:val="00FC7025"/>
    <w:rsid w:val="00FC76FD"/>
    <w:rsid w:val="00FD5C2A"/>
    <w:rsid w:val="00FD651B"/>
    <w:rsid w:val="00FD67D6"/>
    <w:rsid w:val="00FD7175"/>
    <w:rsid w:val="00FE0EE9"/>
    <w:rsid w:val="00FE2698"/>
    <w:rsid w:val="00FE2A15"/>
    <w:rsid w:val="00FE4605"/>
    <w:rsid w:val="00FE5F13"/>
    <w:rsid w:val="00FE7D7D"/>
    <w:rsid w:val="00FF09F3"/>
    <w:rsid w:val="00FF0B4A"/>
    <w:rsid w:val="00FF144F"/>
    <w:rsid w:val="00FF325D"/>
    <w:rsid w:val="00FF40A6"/>
    <w:rsid w:val="00FF40AD"/>
    <w:rsid w:val="00FF4D31"/>
    <w:rsid w:val="00FF4DCA"/>
    <w:rsid w:val="00FF566D"/>
    <w:rsid w:val="00FF58E4"/>
    <w:rsid w:val="00FF5D46"/>
    <w:rsid w:val="527D38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CFA16"/>
  <w15:docId w15:val="{F25691C8-A6BA-7D4D-8F27-2E5EF1EA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75"/>
    <w:pPr>
      <w:jc w:val="both"/>
    </w:pPr>
    <w:rPr>
      <w:rFonts w:ascii="Calibri Light" w:hAnsi="Calibri Light" w:cs="Calibri Light"/>
    </w:rPr>
  </w:style>
  <w:style w:type="paragraph" w:styleId="Heading1">
    <w:name w:val="heading 1"/>
    <w:basedOn w:val="Normal"/>
    <w:next w:val="Normal"/>
    <w:link w:val="Heading1Char"/>
    <w:uiPriority w:val="9"/>
    <w:qFormat/>
    <w:rsid w:val="00396134"/>
    <w:pPr>
      <w:spacing w:before="240" w:after="240"/>
      <w:jc w:val="center"/>
      <w:outlineLvl w:val="0"/>
    </w:pPr>
    <w:rPr>
      <w:b/>
      <w:bCs/>
    </w:rPr>
  </w:style>
  <w:style w:type="paragraph" w:styleId="Heading2">
    <w:name w:val="heading 2"/>
    <w:basedOn w:val="Normal"/>
    <w:next w:val="Normal"/>
    <w:link w:val="Heading2Char"/>
    <w:uiPriority w:val="9"/>
    <w:unhideWhenUsed/>
    <w:qFormat/>
    <w:rsid w:val="00C51E4D"/>
    <w:pPr>
      <w:spacing w:before="240"/>
      <w:outlineLvl w:val="1"/>
    </w:pPr>
    <w:rPr>
      <w:b/>
      <w:bCs/>
    </w:rPr>
  </w:style>
  <w:style w:type="paragraph" w:styleId="Heading3">
    <w:name w:val="heading 3"/>
    <w:basedOn w:val="Heading2"/>
    <w:next w:val="Normal"/>
    <w:link w:val="Heading3Char"/>
    <w:uiPriority w:val="9"/>
    <w:unhideWhenUsed/>
    <w:qFormat/>
    <w:rsid w:val="00091B5C"/>
    <w:pPr>
      <w:jc w:val="left"/>
      <w:outlineLvl w:val="2"/>
    </w:pPr>
    <w:rPr>
      <w:b w:val="0"/>
      <w:bCs w:val="0"/>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A13DE"/>
    <w:rPr>
      <w:b/>
      <w:bCs/>
      <w:sz w:val="28"/>
      <w:szCs w:val="28"/>
    </w:rPr>
  </w:style>
  <w:style w:type="character" w:customStyle="1" w:styleId="SubtitleChar">
    <w:name w:val="Subtitle Char"/>
    <w:basedOn w:val="DefaultParagraphFont"/>
    <w:link w:val="Subtitle"/>
    <w:uiPriority w:val="11"/>
    <w:rsid w:val="00DA13DE"/>
    <w:rPr>
      <w:rFonts w:ascii="Calibri Light" w:hAnsi="Calibri Light" w:cs="Calibri Light"/>
      <w:b/>
      <w:bCs/>
      <w:sz w:val="28"/>
      <w:szCs w:val="28"/>
    </w:rPr>
  </w:style>
  <w:style w:type="character" w:customStyle="1" w:styleId="Heading1Char">
    <w:name w:val="Heading 1 Char"/>
    <w:basedOn w:val="DefaultParagraphFont"/>
    <w:link w:val="Heading1"/>
    <w:uiPriority w:val="9"/>
    <w:rsid w:val="00396134"/>
    <w:rPr>
      <w:rFonts w:ascii="Calibri Light" w:hAnsi="Calibri Light" w:cs="Calibri Light"/>
      <w:b/>
      <w:bCs/>
    </w:rPr>
  </w:style>
  <w:style w:type="character" w:customStyle="1" w:styleId="Heading2Char">
    <w:name w:val="Heading 2 Char"/>
    <w:basedOn w:val="DefaultParagraphFont"/>
    <w:link w:val="Heading2"/>
    <w:uiPriority w:val="9"/>
    <w:rsid w:val="00C51E4D"/>
    <w:rPr>
      <w:rFonts w:ascii="Calibri Light" w:hAnsi="Calibri Light" w:cs="Calibri Light"/>
      <w:b/>
      <w:bCs/>
    </w:rPr>
  </w:style>
  <w:style w:type="character" w:styleId="PlaceholderText">
    <w:name w:val="Placeholder Text"/>
    <w:basedOn w:val="DefaultParagraphFont"/>
    <w:uiPriority w:val="99"/>
    <w:semiHidden/>
    <w:rsid w:val="00672DF6"/>
    <w:rPr>
      <w:color w:val="666666"/>
    </w:rPr>
  </w:style>
  <w:style w:type="paragraph" w:styleId="ListParagraph">
    <w:name w:val="List Paragraph"/>
    <w:basedOn w:val="Normal"/>
    <w:uiPriority w:val="34"/>
    <w:qFormat/>
    <w:rsid w:val="009F3138"/>
    <w:pPr>
      <w:ind w:left="720"/>
      <w:contextualSpacing/>
    </w:pPr>
  </w:style>
  <w:style w:type="table" w:styleId="TableGrid">
    <w:name w:val="Table Grid"/>
    <w:basedOn w:val="TableNormal"/>
    <w:uiPriority w:val="39"/>
    <w:rsid w:val="00D87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776"/>
    <w:pPr>
      <w:spacing w:after="200"/>
    </w:pPr>
    <w:rPr>
      <w:i/>
      <w:iCs/>
      <w:color w:val="1F497D" w:themeColor="text2"/>
      <w:sz w:val="18"/>
      <w:szCs w:val="18"/>
    </w:rPr>
  </w:style>
  <w:style w:type="paragraph" w:styleId="Bibliography">
    <w:name w:val="Bibliography"/>
    <w:basedOn w:val="Normal"/>
    <w:next w:val="Normal"/>
    <w:uiPriority w:val="37"/>
    <w:unhideWhenUsed/>
    <w:rsid w:val="00532BE0"/>
    <w:pPr>
      <w:tabs>
        <w:tab w:val="left" w:pos="380"/>
      </w:tabs>
      <w:spacing w:after="240" w:line="480" w:lineRule="auto"/>
      <w:ind w:left="720" w:hanging="720"/>
    </w:pPr>
  </w:style>
  <w:style w:type="character" w:customStyle="1" w:styleId="Heading3Char">
    <w:name w:val="Heading 3 Char"/>
    <w:basedOn w:val="DefaultParagraphFont"/>
    <w:link w:val="Heading3"/>
    <w:uiPriority w:val="9"/>
    <w:rsid w:val="00091B5C"/>
    <w:rPr>
      <w:rFonts w:ascii="Calibri Light" w:hAnsi="Calibri Light" w:cs="Calibri Light"/>
      <w:i/>
      <w:iCs/>
      <w:u w:val="single"/>
    </w:rPr>
  </w:style>
  <w:style w:type="paragraph" w:styleId="NoSpacing">
    <w:name w:val="No Spacing"/>
    <w:uiPriority w:val="1"/>
    <w:qFormat/>
    <w:rsid w:val="00546CF3"/>
    <w:pPr>
      <w:jc w:val="both"/>
    </w:pPr>
    <w:rPr>
      <w:rFonts w:ascii="Calibri Light" w:hAnsi="Calibri Light" w:cs="Calibri Light"/>
    </w:rPr>
  </w:style>
  <w:style w:type="paragraph" w:customStyle="1" w:styleId="Body">
    <w:name w:val="Body"/>
    <w:rsid w:val="004E7956"/>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 w:type="paragraph" w:styleId="Header">
    <w:name w:val="header"/>
    <w:basedOn w:val="Normal"/>
    <w:link w:val="HeaderChar"/>
    <w:uiPriority w:val="99"/>
    <w:unhideWhenUsed/>
    <w:rsid w:val="00647E15"/>
    <w:pPr>
      <w:tabs>
        <w:tab w:val="center" w:pos="4680"/>
        <w:tab w:val="right" w:pos="9360"/>
      </w:tabs>
    </w:pPr>
  </w:style>
  <w:style w:type="character" w:customStyle="1" w:styleId="HeaderChar">
    <w:name w:val="Header Char"/>
    <w:basedOn w:val="DefaultParagraphFont"/>
    <w:link w:val="Header"/>
    <w:uiPriority w:val="99"/>
    <w:rsid w:val="00647E15"/>
    <w:rPr>
      <w:rFonts w:ascii="Calibri Light" w:hAnsi="Calibri Light" w:cs="Calibri Light"/>
    </w:rPr>
  </w:style>
  <w:style w:type="paragraph" w:styleId="Footer">
    <w:name w:val="footer"/>
    <w:basedOn w:val="Normal"/>
    <w:link w:val="FooterChar"/>
    <w:uiPriority w:val="99"/>
    <w:unhideWhenUsed/>
    <w:rsid w:val="00647E15"/>
    <w:pPr>
      <w:tabs>
        <w:tab w:val="center" w:pos="4680"/>
        <w:tab w:val="right" w:pos="9360"/>
      </w:tabs>
    </w:pPr>
  </w:style>
  <w:style w:type="character" w:customStyle="1" w:styleId="FooterChar">
    <w:name w:val="Footer Char"/>
    <w:basedOn w:val="DefaultParagraphFont"/>
    <w:link w:val="Footer"/>
    <w:uiPriority w:val="99"/>
    <w:rsid w:val="00647E15"/>
    <w:rPr>
      <w:rFonts w:ascii="Calibri Light" w:hAnsi="Calibri Light" w:cs="Calibri Light"/>
    </w:rPr>
  </w:style>
  <w:style w:type="paragraph" w:styleId="NormalWeb">
    <w:name w:val="Normal (Web)"/>
    <w:basedOn w:val="Normal"/>
    <w:uiPriority w:val="99"/>
    <w:semiHidden/>
    <w:unhideWhenUsed/>
    <w:rsid w:val="00173D82"/>
    <w:pPr>
      <w:spacing w:before="100" w:beforeAutospacing="1" w:after="100" w:afterAutospacing="1"/>
      <w:jc w:val="left"/>
    </w:pPr>
    <w:rPr>
      <w:rFonts w:ascii="Times New Roman" w:eastAsia="Times New Roman" w:hAnsi="Times New Roman" w:cs="Times New Roman"/>
      <w:kern w:val="0"/>
      <w14:ligatures w14:val="none"/>
    </w:rPr>
  </w:style>
  <w:style w:type="character" w:styleId="LineNumber">
    <w:name w:val="line number"/>
    <w:basedOn w:val="DefaultParagraphFont"/>
    <w:uiPriority w:val="99"/>
    <w:semiHidden/>
    <w:unhideWhenUsed/>
    <w:rsid w:val="004F1788"/>
  </w:style>
  <w:style w:type="character" w:styleId="PageNumber">
    <w:name w:val="page number"/>
    <w:basedOn w:val="DefaultParagraphFont"/>
    <w:uiPriority w:val="99"/>
    <w:semiHidden/>
    <w:unhideWhenUsed/>
    <w:rsid w:val="004D5B95"/>
  </w:style>
  <w:style w:type="character" w:customStyle="1" w:styleId="katex-mathml">
    <w:name w:val="katex-mathml"/>
    <w:basedOn w:val="DefaultParagraphFont"/>
    <w:rsid w:val="00BC5852"/>
  </w:style>
  <w:style w:type="character" w:customStyle="1" w:styleId="mord">
    <w:name w:val="mord"/>
    <w:basedOn w:val="DefaultParagraphFont"/>
    <w:rsid w:val="00BC5852"/>
  </w:style>
  <w:style w:type="character" w:customStyle="1" w:styleId="mopen">
    <w:name w:val="mopen"/>
    <w:basedOn w:val="DefaultParagraphFont"/>
    <w:rsid w:val="00BC5852"/>
  </w:style>
  <w:style w:type="character" w:customStyle="1" w:styleId="vlist-s">
    <w:name w:val="vlist-s"/>
    <w:basedOn w:val="DefaultParagraphFont"/>
    <w:rsid w:val="00BC5852"/>
  </w:style>
  <w:style w:type="character" w:customStyle="1" w:styleId="mclose">
    <w:name w:val="mclose"/>
    <w:basedOn w:val="DefaultParagraphFont"/>
    <w:rsid w:val="00BC5852"/>
  </w:style>
  <w:style w:type="character" w:customStyle="1" w:styleId="mbin">
    <w:name w:val="mbin"/>
    <w:basedOn w:val="DefaultParagraphFont"/>
    <w:rsid w:val="00BC5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34756">
      <w:bodyDiv w:val="1"/>
      <w:marLeft w:val="0"/>
      <w:marRight w:val="0"/>
      <w:marTop w:val="0"/>
      <w:marBottom w:val="0"/>
      <w:divBdr>
        <w:top w:val="none" w:sz="0" w:space="0" w:color="auto"/>
        <w:left w:val="none" w:sz="0" w:space="0" w:color="auto"/>
        <w:bottom w:val="none" w:sz="0" w:space="0" w:color="auto"/>
        <w:right w:val="none" w:sz="0" w:space="0" w:color="auto"/>
      </w:divBdr>
      <w:divsChild>
        <w:div w:id="220484784">
          <w:marLeft w:val="0"/>
          <w:marRight w:val="0"/>
          <w:marTop w:val="0"/>
          <w:marBottom w:val="0"/>
          <w:divBdr>
            <w:top w:val="none" w:sz="0" w:space="0" w:color="auto"/>
            <w:left w:val="none" w:sz="0" w:space="0" w:color="auto"/>
            <w:bottom w:val="none" w:sz="0" w:space="0" w:color="auto"/>
            <w:right w:val="none" w:sz="0" w:space="0" w:color="auto"/>
          </w:divBdr>
          <w:divsChild>
            <w:div w:id="16557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7731">
      <w:bodyDiv w:val="1"/>
      <w:marLeft w:val="0"/>
      <w:marRight w:val="0"/>
      <w:marTop w:val="0"/>
      <w:marBottom w:val="0"/>
      <w:divBdr>
        <w:top w:val="none" w:sz="0" w:space="0" w:color="auto"/>
        <w:left w:val="none" w:sz="0" w:space="0" w:color="auto"/>
        <w:bottom w:val="none" w:sz="0" w:space="0" w:color="auto"/>
        <w:right w:val="none" w:sz="0" w:space="0" w:color="auto"/>
      </w:divBdr>
      <w:divsChild>
        <w:div w:id="1744063217">
          <w:marLeft w:val="0"/>
          <w:marRight w:val="0"/>
          <w:marTop w:val="0"/>
          <w:marBottom w:val="0"/>
          <w:divBdr>
            <w:top w:val="none" w:sz="0" w:space="0" w:color="auto"/>
            <w:left w:val="none" w:sz="0" w:space="0" w:color="auto"/>
            <w:bottom w:val="none" w:sz="0" w:space="0" w:color="auto"/>
            <w:right w:val="none" w:sz="0" w:space="0" w:color="auto"/>
          </w:divBdr>
          <w:divsChild>
            <w:div w:id="4206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4222">
      <w:bodyDiv w:val="1"/>
      <w:marLeft w:val="0"/>
      <w:marRight w:val="0"/>
      <w:marTop w:val="0"/>
      <w:marBottom w:val="0"/>
      <w:divBdr>
        <w:top w:val="none" w:sz="0" w:space="0" w:color="auto"/>
        <w:left w:val="none" w:sz="0" w:space="0" w:color="auto"/>
        <w:bottom w:val="none" w:sz="0" w:space="0" w:color="auto"/>
        <w:right w:val="none" w:sz="0" w:space="0" w:color="auto"/>
      </w:divBdr>
      <w:divsChild>
        <w:div w:id="1584030647">
          <w:marLeft w:val="0"/>
          <w:marRight w:val="0"/>
          <w:marTop w:val="0"/>
          <w:marBottom w:val="0"/>
          <w:divBdr>
            <w:top w:val="none" w:sz="0" w:space="0" w:color="auto"/>
            <w:left w:val="none" w:sz="0" w:space="0" w:color="auto"/>
            <w:bottom w:val="none" w:sz="0" w:space="0" w:color="auto"/>
            <w:right w:val="none" w:sz="0" w:space="0" w:color="auto"/>
          </w:divBdr>
          <w:divsChild>
            <w:div w:id="13131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4280">
      <w:bodyDiv w:val="1"/>
      <w:marLeft w:val="0"/>
      <w:marRight w:val="0"/>
      <w:marTop w:val="0"/>
      <w:marBottom w:val="0"/>
      <w:divBdr>
        <w:top w:val="none" w:sz="0" w:space="0" w:color="auto"/>
        <w:left w:val="none" w:sz="0" w:space="0" w:color="auto"/>
        <w:bottom w:val="none" w:sz="0" w:space="0" w:color="auto"/>
        <w:right w:val="none" w:sz="0" w:space="0" w:color="auto"/>
      </w:divBdr>
      <w:divsChild>
        <w:div w:id="602424635">
          <w:marLeft w:val="0"/>
          <w:marRight w:val="0"/>
          <w:marTop w:val="0"/>
          <w:marBottom w:val="0"/>
          <w:divBdr>
            <w:top w:val="none" w:sz="0" w:space="0" w:color="auto"/>
            <w:left w:val="none" w:sz="0" w:space="0" w:color="auto"/>
            <w:bottom w:val="none" w:sz="0" w:space="0" w:color="auto"/>
            <w:right w:val="none" w:sz="0" w:space="0" w:color="auto"/>
          </w:divBdr>
          <w:divsChild>
            <w:div w:id="524290559">
              <w:marLeft w:val="0"/>
              <w:marRight w:val="0"/>
              <w:marTop w:val="0"/>
              <w:marBottom w:val="0"/>
              <w:divBdr>
                <w:top w:val="none" w:sz="0" w:space="0" w:color="auto"/>
                <w:left w:val="none" w:sz="0" w:space="0" w:color="auto"/>
                <w:bottom w:val="none" w:sz="0" w:space="0" w:color="auto"/>
                <w:right w:val="none" w:sz="0" w:space="0" w:color="auto"/>
              </w:divBdr>
            </w:div>
            <w:div w:id="269824200">
              <w:marLeft w:val="0"/>
              <w:marRight w:val="0"/>
              <w:marTop w:val="0"/>
              <w:marBottom w:val="0"/>
              <w:divBdr>
                <w:top w:val="none" w:sz="0" w:space="0" w:color="auto"/>
                <w:left w:val="none" w:sz="0" w:space="0" w:color="auto"/>
                <w:bottom w:val="none" w:sz="0" w:space="0" w:color="auto"/>
                <w:right w:val="none" w:sz="0" w:space="0" w:color="auto"/>
              </w:divBdr>
            </w:div>
            <w:div w:id="2017615833">
              <w:marLeft w:val="0"/>
              <w:marRight w:val="0"/>
              <w:marTop w:val="0"/>
              <w:marBottom w:val="0"/>
              <w:divBdr>
                <w:top w:val="none" w:sz="0" w:space="0" w:color="auto"/>
                <w:left w:val="none" w:sz="0" w:space="0" w:color="auto"/>
                <w:bottom w:val="none" w:sz="0" w:space="0" w:color="auto"/>
                <w:right w:val="none" w:sz="0" w:space="0" w:color="auto"/>
              </w:divBdr>
            </w:div>
            <w:div w:id="491216708">
              <w:marLeft w:val="0"/>
              <w:marRight w:val="0"/>
              <w:marTop w:val="0"/>
              <w:marBottom w:val="0"/>
              <w:divBdr>
                <w:top w:val="none" w:sz="0" w:space="0" w:color="auto"/>
                <w:left w:val="none" w:sz="0" w:space="0" w:color="auto"/>
                <w:bottom w:val="none" w:sz="0" w:space="0" w:color="auto"/>
                <w:right w:val="none" w:sz="0" w:space="0" w:color="auto"/>
              </w:divBdr>
            </w:div>
            <w:div w:id="1715274114">
              <w:marLeft w:val="0"/>
              <w:marRight w:val="0"/>
              <w:marTop w:val="0"/>
              <w:marBottom w:val="0"/>
              <w:divBdr>
                <w:top w:val="none" w:sz="0" w:space="0" w:color="auto"/>
                <w:left w:val="none" w:sz="0" w:space="0" w:color="auto"/>
                <w:bottom w:val="none" w:sz="0" w:space="0" w:color="auto"/>
                <w:right w:val="none" w:sz="0" w:space="0" w:color="auto"/>
              </w:divBdr>
            </w:div>
            <w:div w:id="1661230864">
              <w:marLeft w:val="0"/>
              <w:marRight w:val="0"/>
              <w:marTop w:val="0"/>
              <w:marBottom w:val="0"/>
              <w:divBdr>
                <w:top w:val="none" w:sz="0" w:space="0" w:color="auto"/>
                <w:left w:val="none" w:sz="0" w:space="0" w:color="auto"/>
                <w:bottom w:val="none" w:sz="0" w:space="0" w:color="auto"/>
                <w:right w:val="none" w:sz="0" w:space="0" w:color="auto"/>
              </w:divBdr>
            </w:div>
            <w:div w:id="297540242">
              <w:marLeft w:val="0"/>
              <w:marRight w:val="0"/>
              <w:marTop w:val="0"/>
              <w:marBottom w:val="0"/>
              <w:divBdr>
                <w:top w:val="none" w:sz="0" w:space="0" w:color="auto"/>
                <w:left w:val="none" w:sz="0" w:space="0" w:color="auto"/>
                <w:bottom w:val="none" w:sz="0" w:space="0" w:color="auto"/>
                <w:right w:val="none" w:sz="0" w:space="0" w:color="auto"/>
              </w:divBdr>
            </w:div>
            <w:div w:id="1369993136">
              <w:marLeft w:val="0"/>
              <w:marRight w:val="0"/>
              <w:marTop w:val="0"/>
              <w:marBottom w:val="0"/>
              <w:divBdr>
                <w:top w:val="none" w:sz="0" w:space="0" w:color="auto"/>
                <w:left w:val="none" w:sz="0" w:space="0" w:color="auto"/>
                <w:bottom w:val="none" w:sz="0" w:space="0" w:color="auto"/>
                <w:right w:val="none" w:sz="0" w:space="0" w:color="auto"/>
              </w:divBdr>
            </w:div>
            <w:div w:id="1708026743">
              <w:marLeft w:val="0"/>
              <w:marRight w:val="0"/>
              <w:marTop w:val="0"/>
              <w:marBottom w:val="0"/>
              <w:divBdr>
                <w:top w:val="none" w:sz="0" w:space="0" w:color="auto"/>
                <w:left w:val="none" w:sz="0" w:space="0" w:color="auto"/>
                <w:bottom w:val="none" w:sz="0" w:space="0" w:color="auto"/>
                <w:right w:val="none" w:sz="0" w:space="0" w:color="auto"/>
              </w:divBdr>
            </w:div>
            <w:div w:id="1451704199">
              <w:marLeft w:val="0"/>
              <w:marRight w:val="0"/>
              <w:marTop w:val="0"/>
              <w:marBottom w:val="0"/>
              <w:divBdr>
                <w:top w:val="none" w:sz="0" w:space="0" w:color="auto"/>
                <w:left w:val="none" w:sz="0" w:space="0" w:color="auto"/>
                <w:bottom w:val="none" w:sz="0" w:space="0" w:color="auto"/>
                <w:right w:val="none" w:sz="0" w:space="0" w:color="auto"/>
              </w:divBdr>
            </w:div>
            <w:div w:id="676272006">
              <w:marLeft w:val="0"/>
              <w:marRight w:val="0"/>
              <w:marTop w:val="0"/>
              <w:marBottom w:val="0"/>
              <w:divBdr>
                <w:top w:val="none" w:sz="0" w:space="0" w:color="auto"/>
                <w:left w:val="none" w:sz="0" w:space="0" w:color="auto"/>
                <w:bottom w:val="none" w:sz="0" w:space="0" w:color="auto"/>
                <w:right w:val="none" w:sz="0" w:space="0" w:color="auto"/>
              </w:divBdr>
            </w:div>
            <w:div w:id="1845002121">
              <w:marLeft w:val="0"/>
              <w:marRight w:val="0"/>
              <w:marTop w:val="0"/>
              <w:marBottom w:val="0"/>
              <w:divBdr>
                <w:top w:val="none" w:sz="0" w:space="0" w:color="auto"/>
                <w:left w:val="none" w:sz="0" w:space="0" w:color="auto"/>
                <w:bottom w:val="none" w:sz="0" w:space="0" w:color="auto"/>
                <w:right w:val="none" w:sz="0" w:space="0" w:color="auto"/>
              </w:divBdr>
            </w:div>
            <w:div w:id="1647002773">
              <w:marLeft w:val="0"/>
              <w:marRight w:val="0"/>
              <w:marTop w:val="0"/>
              <w:marBottom w:val="0"/>
              <w:divBdr>
                <w:top w:val="none" w:sz="0" w:space="0" w:color="auto"/>
                <w:left w:val="none" w:sz="0" w:space="0" w:color="auto"/>
                <w:bottom w:val="none" w:sz="0" w:space="0" w:color="auto"/>
                <w:right w:val="none" w:sz="0" w:space="0" w:color="auto"/>
              </w:divBdr>
            </w:div>
            <w:div w:id="892277140">
              <w:marLeft w:val="0"/>
              <w:marRight w:val="0"/>
              <w:marTop w:val="0"/>
              <w:marBottom w:val="0"/>
              <w:divBdr>
                <w:top w:val="none" w:sz="0" w:space="0" w:color="auto"/>
                <w:left w:val="none" w:sz="0" w:space="0" w:color="auto"/>
                <w:bottom w:val="none" w:sz="0" w:space="0" w:color="auto"/>
                <w:right w:val="none" w:sz="0" w:space="0" w:color="auto"/>
              </w:divBdr>
            </w:div>
            <w:div w:id="1632593192">
              <w:marLeft w:val="0"/>
              <w:marRight w:val="0"/>
              <w:marTop w:val="0"/>
              <w:marBottom w:val="0"/>
              <w:divBdr>
                <w:top w:val="none" w:sz="0" w:space="0" w:color="auto"/>
                <w:left w:val="none" w:sz="0" w:space="0" w:color="auto"/>
                <w:bottom w:val="none" w:sz="0" w:space="0" w:color="auto"/>
                <w:right w:val="none" w:sz="0" w:space="0" w:color="auto"/>
              </w:divBdr>
            </w:div>
            <w:div w:id="1422067593">
              <w:marLeft w:val="0"/>
              <w:marRight w:val="0"/>
              <w:marTop w:val="0"/>
              <w:marBottom w:val="0"/>
              <w:divBdr>
                <w:top w:val="none" w:sz="0" w:space="0" w:color="auto"/>
                <w:left w:val="none" w:sz="0" w:space="0" w:color="auto"/>
                <w:bottom w:val="none" w:sz="0" w:space="0" w:color="auto"/>
                <w:right w:val="none" w:sz="0" w:space="0" w:color="auto"/>
              </w:divBdr>
            </w:div>
            <w:div w:id="704647086">
              <w:marLeft w:val="0"/>
              <w:marRight w:val="0"/>
              <w:marTop w:val="0"/>
              <w:marBottom w:val="0"/>
              <w:divBdr>
                <w:top w:val="none" w:sz="0" w:space="0" w:color="auto"/>
                <w:left w:val="none" w:sz="0" w:space="0" w:color="auto"/>
                <w:bottom w:val="none" w:sz="0" w:space="0" w:color="auto"/>
                <w:right w:val="none" w:sz="0" w:space="0" w:color="auto"/>
              </w:divBdr>
            </w:div>
            <w:div w:id="225645767">
              <w:marLeft w:val="0"/>
              <w:marRight w:val="0"/>
              <w:marTop w:val="0"/>
              <w:marBottom w:val="0"/>
              <w:divBdr>
                <w:top w:val="none" w:sz="0" w:space="0" w:color="auto"/>
                <w:left w:val="none" w:sz="0" w:space="0" w:color="auto"/>
                <w:bottom w:val="none" w:sz="0" w:space="0" w:color="auto"/>
                <w:right w:val="none" w:sz="0" w:space="0" w:color="auto"/>
              </w:divBdr>
            </w:div>
            <w:div w:id="5147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2050">
      <w:bodyDiv w:val="1"/>
      <w:marLeft w:val="0"/>
      <w:marRight w:val="0"/>
      <w:marTop w:val="0"/>
      <w:marBottom w:val="0"/>
      <w:divBdr>
        <w:top w:val="none" w:sz="0" w:space="0" w:color="auto"/>
        <w:left w:val="none" w:sz="0" w:space="0" w:color="auto"/>
        <w:bottom w:val="none" w:sz="0" w:space="0" w:color="auto"/>
        <w:right w:val="none" w:sz="0" w:space="0" w:color="auto"/>
      </w:divBdr>
      <w:divsChild>
        <w:div w:id="1262491484">
          <w:marLeft w:val="0"/>
          <w:marRight w:val="0"/>
          <w:marTop w:val="0"/>
          <w:marBottom w:val="0"/>
          <w:divBdr>
            <w:top w:val="none" w:sz="0" w:space="0" w:color="auto"/>
            <w:left w:val="none" w:sz="0" w:space="0" w:color="auto"/>
            <w:bottom w:val="none" w:sz="0" w:space="0" w:color="auto"/>
            <w:right w:val="none" w:sz="0" w:space="0" w:color="auto"/>
          </w:divBdr>
          <w:divsChild>
            <w:div w:id="10471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49">
      <w:bodyDiv w:val="1"/>
      <w:marLeft w:val="0"/>
      <w:marRight w:val="0"/>
      <w:marTop w:val="0"/>
      <w:marBottom w:val="0"/>
      <w:divBdr>
        <w:top w:val="none" w:sz="0" w:space="0" w:color="auto"/>
        <w:left w:val="none" w:sz="0" w:space="0" w:color="auto"/>
        <w:bottom w:val="none" w:sz="0" w:space="0" w:color="auto"/>
        <w:right w:val="none" w:sz="0" w:space="0" w:color="auto"/>
      </w:divBdr>
      <w:divsChild>
        <w:div w:id="1043408376">
          <w:marLeft w:val="0"/>
          <w:marRight w:val="0"/>
          <w:marTop w:val="0"/>
          <w:marBottom w:val="0"/>
          <w:divBdr>
            <w:top w:val="none" w:sz="0" w:space="0" w:color="auto"/>
            <w:left w:val="none" w:sz="0" w:space="0" w:color="auto"/>
            <w:bottom w:val="none" w:sz="0" w:space="0" w:color="auto"/>
            <w:right w:val="none" w:sz="0" w:space="0" w:color="auto"/>
          </w:divBdr>
          <w:divsChild>
            <w:div w:id="20693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441">
      <w:bodyDiv w:val="1"/>
      <w:marLeft w:val="0"/>
      <w:marRight w:val="0"/>
      <w:marTop w:val="0"/>
      <w:marBottom w:val="0"/>
      <w:divBdr>
        <w:top w:val="none" w:sz="0" w:space="0" w:color="auto"/>
        <w:left w:val="none" w:sz="0" w:space="0" w:color="auto"/>
        <w:bottom w:val="none" w:sz="0" w:space="0" w:color="auto"/>
        <w:right w:val="none" w:sz="0" w:space="0" w:color="auto"/>
      </w:divBdr>
      <w:divsChild>
        <w:div w:id="913517079">
          <w:marLeft w:val="0"/>
          <w:marRight w:val="0"/>
          <w:marTop w:val="0"/>
          <w:marBottom w:val="0"/>
          <w:divBdr>
            <w:top w:val="none" w:sz="0" w:space="0" w:color="auto"/>
            <w:left w:val="none" w:sz="0" w:space="0" w:color="auto"/>
            <w:bottom w:val="none" w:sz="0" w:space="0" w:color="auto"/>
            <w:right w:val="none" w:sz="0" w:space="0" w:color="auto"/>
          </w:divBdr>
          <w:divsChild>
            <w:div w:id="1458521613">
              <w:marLeft w:val="0"/>
              <w:marRight w:val="0"/>
              <w:marTop w:val="0"/>
              <w:marBottom w:val="0"/>
              <w:divBdr>
                <w:top w:val="none" w:sz="0" w:space="0" w:color="auto"/>
                <w:left w:val="none" w:sz="0" w:space="0" w:color="auto"/>
                <w:bottom w:val="none" w:sz="0" w:space="0" w:color="auto"/>
                <w:right w:val="none" w:sz="0" w:space="0" w:color="auto"/>
              </w:divBdr>
            </w:div>
            <w:div w:id="175534303">
              <w:marLeft w:val="0"/>
              <w:marRight w:val="0"/>
              <w:marTop w:val="0"/>
              <w:marBottom w:val="0"/>
              <w:divBdr>
                <w:top w:val="none" w:sz="0" w:space="0" w:color="auto"/>
                <w:left w:val="none" w:sz="0" w:space="0" w:color="auto"/>
                <w:bottom w:val="none" w:sz="0" w:space="0" w:color="auto"/>
                <w:right w:val="none" w:sz="0" w:space="0" w:color="auto"/>
              </w:divBdr>
            </w:div>
            <w:div w:id="1323705442">
              <w:marLeft w:val="0"/>
              <w:marRight w:val="0"/>
              <w:marTop w:val="0"/>
              <w:marBottom w:val="0"/>
              <w:divBdr>
                <w:top w:val="none" w:sz="0" w:space="0" w:color="auto"/>
                <w:left w:val="none" w:sz="0" w:space="0" w:color="auto"/>
                <w:bottom w:val="none" w:sz="0" w:space="0" w:color="auto"/>
                <w:right w:val="none" w:sz="0" w:space="0" w:color="auto"/>
              </w:divBdr>
            </w:div>
            <w:div w:id="1456368158">
              <w:marLeft w:val="0"/>
              <w:marRight w:val="0"/>
              <w:marTop w:val="0"/>
              <w:marBottom w:val="0"/>
              <w:divBdr>
                <w:top w:val="none" w:sz="0" w:space="0" w:color="auto"/>
                <w:left w:val="none" w:sz="0" w:space="0" w:color="auto"/>
                <w:bottom w:val="none" w:sz="0" w:space="0" w:color="auto"/>
                <w:right w:val="none" w:sz="0" w:space="0" w:color="auto"/>
              </w:divBdr>
            </w:div>
            <w:div w:id="953170693">
              <w:marLeft w:val="0"/>
              <w:marRight w:val="0"/>
              <w:marTop w:val="0"/>
              <w:marBottom w:val="0"/>
              <w:divBdr>
                <w:top w:val="none" w:sz="0" w:space="0" w:color="auto"/>
                <w:left w:val="none" w:sz="0" w:space="0" w:color="auto"/>
                <w:bottom w:val="none" w:sz="0" w:space="0" w:color="auto"/>
                <w:right w:val="none" w:sz="0" w:space="0" w:color="auto"/>
              </w:divBdr>
            </w:div>
            <w:div w:id="969282784">
              <w:marLeft w:val="0"/>
              <w:marRight w:val="0"/>
              <w:marTop w:val="0"/>
              <w:marBottom w:val="0"/>
              <w:divBdr>
                <w:top w:val="none" w:sz="0" w:space="0" w:color="auto"/>
                <w:left w:val="none" w:sz="0" w:space="0" w:color="auto"/>
                <w:bottom w:val="none" w:sz="0" w:space="0" w:color="auto"/>
                <w:right w:val="none" w:sz="0" w:space="0" w:color="auto"/>
              </w:divBdr>
            </w:div>
            <w:div w:id="1865900467">
              <w:marLeft w:val="0"/>
              <w:marRight w:val="0"/>
              <w:marTop w:val="0"/>
              <w:marBottom w:val="0"/>
              <w:divBdr>
                <w:top w:val="none" w:sz="0" w:space="0" w:color="auto"/>
                <w:left w:val="none" w:sz="0" w:space="0" w:color="auto"/>
                <w:bottom w:val="none" w:sz="0" w:space="0" w:color="auto"/>
                <w:right w:val="none" w:sz="0" w:space="0" w:color="auto"/>
              </w:divBdr>
            </w:div>
            <w:div w:id="968435253">
              <w:marLeft w:val="0"/>
              <w:marRight w:val="0"/>
              <w:marTop w:val="0"/>
              <w:marBottom w:val="0"/>
              <w:divBdr>
                <w:top w:val="none" w:sz="0" w:space="0" w:color="auto"/>
                <w:left w:val="none" w:sz="0" w:space="0" w:color="auto"/>
                <w:bottom w:val="none" w:sz="0" w:space="0" w:color="auto"/>
                <w:right w:val="none" w:sz="0" w:space="0" w:color="auto"/>
              </w:divBdr>
            </w:div>
            <w:div w:id="1067145343">
              <w:marLeft w:val="0"/>
              <w:marRight w:val="0"/>
              <w:marTop w:val="0"/>
              <w:marBottom w:val="0"/>
              <w:divBdr>
                <w:top w:val="none" w:sz="0" w:space="0" w:color="auto"/>
                <w:left w:val="none" w:sz="0" w:space="0" w:color="auto"/>
                <w:bottom w:val="none" w:sz="0" w:space="0" w:color="auto"/>
                <w:right w:val="none" w:sz="0" w:space="0" w:color="auto"/>
              </w:divBdr>
            </w:div>
            <w:div w:id="356388827">
              <w:marLeft w:val="0"/>
              <w:marRight w:val="0"/>
              <w:marTop w:val="0"/>
              <w:marBottom w:val="0"/>
              <w:divBdr>
                <w:top w:val="none" w:sz="0" w:space="0" w:color="auto"/>
                <w:left w:val="none" w:sz="0" w:space="0" w:color="auto"/>
                <w:bottom w:val="none" w:sz="0" w:space="0" w:color="auto"/>
                <w:right w:val="none" w:sz="0" w:space="0" w:color="auto"/>
              </w:divBdr>
            </w:div>
            <w:div w:id="1224416089">
              <w:marLeft w:val="0"/>
              <w:marRight w:val="0"/>
              <w:marTop w:val="0"/>
              <w:marBottom w:val="0"/>
              <w:divBdr>
                <w:top w:val="none" w:sz="0" w:space="0" w:color="auto"/>
                <w:left w:val="none" w:sz="0" w:space="0" w:color="auto"/>
                <w:bottom w:val="none" w:sz="0" w:space="0" w:color="auto"/>
                <w:right w:val="none" w:sz="0" w:space="0" w:color="auto"/>
              </w:divBdr>
            </w:div>
            <w:div w:id="851148631">
              <w:marLeft w:val="0"/>
              <w:marRight w:val="0"/>
              <w:marTop w:val="0"/>
              <w:marBottom w:val="0"/>
              <w:divBdr>
                <w:top w:val="none" w:sz="0" w:space="0" w:color="auto"/>
                <w:left w:val="none" w:sz="0" w:space="0" w:color="auto"/>
                <w:bottom w:val="none" w:sz="0" w:space="0" w:color="auto"/>
                <w:right w:val="none" w:sz="0" w:space="0" w:color="auto"/>
              </w:divBdr>
            </w:div>
            <w:div w:id="1434471206">
              <w:marLeft w:val="0"/>
              <w:marRight w:val="0"/>
              <w:marTop w:val="0"/>
              <w:marBottom w:val="0"/>
              <w:divBdr>
                <w:top w:val="none" w:sz="0" w:space="0" w:color="auto"/>
                <w:left w:val="none" w:sz="0" w:space="0" w:color="auto"/>
                <w:bottom w:val="none" w:sz="0" w:space="0" w:color="auto"/>
                <w:right w:val="none" w:sz="0" w:space="0" w:color="auto"/>
              </w:divBdr>
            </w:div>
            <w:div w:id="18167616">
              <w:marLeft w:val="0"/>
              <w:marRight w:val="0"/>
              <w:marTop w:val="0"/>
              <w:marBottom w:val="0"/>
              <w:divBdr>
                <w:top w:val="none" w:sz="0" w:space="0" w:color="auto"/>
                <w:left w:val="none" w:sz="0" w:space="0" w:color="auto"/>
                <w:bottom w:val="none" w:sz="0" w:space="0" w:color="auto"/>
                <w:right w:val="none" w:sz="0" w:space="0" w:color="auto"/>
              </w:divBdr>
            </w:div>
            <w:div w:id="1006135155">
              <w:marLeft w:val="0"/>
              <w:marRight w:val="0"/>
              <w:marTop w:val="0"/>
              <w:marBottom w:val="0"/>
              <w:divBdr>
                <w:top w:val="none" w:sz="0" w:space="0" w:color="auto"/>
                <w:left w:val="none" w:sz="0" w:space="0" w:color="auto"/>
                <w:bottom w:val="none" w:sz="0" w:space="0" w:color="auto"/>
                <w:right w:val="none" w:sz="0" w:space="0" w:color="auto"/>
              </w:divBdr>
            </w:div>
            <w:div w:id="1498223932">
              <w:marLeft w:val="0"/>
              <w:marRight w:val="0"/>
              <w:marTop w:val="0"/>
              <w:marBottom w:val="0"/>
              <w:divBdr>
                <w:top w:val="none" w:sz="0" w:space="0" w:color="auto"/>
                <w:left w:val="none" w:sz="0" w:space="0" w:color="auto"/>
                <w:bottom w:val="none" w:sz="0" w:space="0" w:color="auto"/>
                <w:right w:val="none" w:sz="0" w:space="0" w:color="auto"/>
              </w:divBdr>
            </w:div>
            <w:div w:id="573317368">
              <w:marLeft w:val="0"/>
              <w:marRight w:val="0"/>
              <w:marTop w:val="0"/>
              <w:marBottom w:val="0"/>
              <w:divBdr>
                <w:top w:val="none" w:sz="0" w:space="0" w:color="auto"/>
                <w:left w:val="none" w:sz="0" w:space="0" w:color="auto"/>
                <w:bottom w:val="none" w:sz="0" w:space="0" w:color="auto"/>
                <w:right w:val="none" w:sz="0" w:space="0" w:color="auto"/>
              </w:divBdr>
            </w:div>
            <w:div w:id="1840806553">
              <w:marLeft w:val="0"/>
              <w:marRight w:val="0"/>
              <w:marTop w:val="0"/>
              <w:marBottom w:val="0"/>
              <w:divBdr>
                <w:top w:val="none" w:sz="0" w:space="0" w:color="auto"/>
                <w:left w:val="none" w:sz="0" w:space="0" w:color="auto"/>
                <w:bottom w:val="none" w:sz="0" w:space="0" w:color="auto"/>
                <w:right w:val="none" w:sz="0" w:space="0" w:color="auto"/>
              </w:divBdr>
            </w:div>
            <w:div w:id="1988320311">
              <w:marLeft w:val="0"/>
              <w:marRight w:val="0"/>
              <w:marTop w:val="0"/>
              <w:marBottom w:val="0"/>
              <w:divBdr>
                <w:top w:val="none" w:sz="0" w:space="0" w:color="auto"/>
                <w:left w:val="none" w:sz="0" w:space="0" w:color="auto"/>
                <w:bottom w:val="none" w:sz="0" w:space="0" w:color="auto"/>
                <w:right w:val="none" w:sz="0" w:space="0" w:color="auto"/>
              </w:divBdr>
            </w:div>
            <w:div w:id="1148084810">
              <w:marLeft w:val="0"/>
              <w:marRight w:val="0"/>
              <w:marTop w:val="0"/>
              <w:marBottom w:val="0"/>
              <w:divBdr>
                <w:top w:val="none" w:sz="0" w:space="0" w:color="auto"/>
                <w:left w:val="none" w:sz="0" w:space="0" w:color="auto"/>
                <w:bottom w:val="none" w:sz="0" w:space="0" w:color="auto"/>
                <w:right w:val="none" w:sz="0" w:space="0" w:color="auto"/>
              </w:divBdr>
            </w:div>
            <w:div w:id="1350378226">
              <w:marLeft w:val="0"/>
              <w:marRight w:val="0"/>
              <w:marTop w:val="0"/>
              <w:marBottom w:val="0"/>
              <w:divBdr>
                <w:top w:val="none" w:sz="0" w:space="0" w:color="auto"/>
                <w:left w:val="none" w:sz="0" w:space="0" w:color="auto"/>
                <w:bottom w:val="none" w:sz="0" w:space="0" w:color="auto"/>
                <w:right w:val="none" w:sz="0" w:space="0" w:color="auto"/>
              </w:divBdr>
            </w:div>
            <w:div w:id="879167155">
              <w:marLeft w:val="0"/>
              <w:marRight w:val="0"/>
              <w:marTop w:val="0"/>
              <w:marBottom w:val="0"/>
              <w:divBdr>
                <w:top w:val="none" w:sz="0" w:space="0" w:color="auto"/>
                <w:left w:val="none" w:sz="0" w:space="0" w:color="auto"/>
                <w:bottom w:val="none" w:sz="0" w:space="0" w:color="auto"/>
                <w:right w:val="none" w:sz="0" w:space="0" w:color="auto"/>
              </w:divBdr>
            </w:div>
            <w:div w:id="300694692">
              <w:marLeft w:val="0"/>
              <w:marRight w:val="0"/>
              <w:marTop w:val="0"/>
              <w:marBottom w:val="0"/>
              <w:divBdr>
                <w:top w:val="none" w:sz="0" w:space="0" w:color="auto"/>
                <w:left w:val="none" w:sz="0" w:space="0" w:color="auto"/>
                <w:bottom w:val="none" w:sz="0" w:space="0" w:color="auto"/>
                <w:right w:val="none" w:sz="0" w:space="0" w:color="auto"/>
              </w:divBdr>
            </w:div>
            <w:div w:id="208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745">
      <w:bodyDiv w:val="1"/>
      <w:marLeft w:val="0"/>
      <w:marRight w:val="0"/>
      <w:marTop w:val="0"/>
      <w:marBottom w:val="0"/>
      <w:divBdr>
        <w:top w:val="none" w:sz="0" w:space="0" w:color="auto"/>
        <w:left w:val="none" w:sz="0" w:space="0" w:color="auto"/>
        <w:bottom w:val="none" w:sz="0" w:space="0" w:color="auto"/>
        <w:right w:val="none" w:sz="0" w:space="0" w:color="auto"/>
      </w:divBdr>
      <w:divsChild>
        <w:div w:id="1327979425">
          <w:marLeft w:val="0"/>
          <w:marRight w:val="0"/>
          <w:marTop w:val="0"/>
          <w:marBottom w:val="0"/>
          <w:divBdr>
            <w:top w:val="none" w:sz="0" w:space="0" w:color="auto"/>
            <w:left w:val="none" w:sz="0" w:space="0" w:color="auto"/>
            <w:bottom w:val="none" w:sz="0" w:space="0" w:color="auto"/>
            <w:right w:val="none" w:sz="0" w:space="0" w:color="auto"/>
          </w:divBdr>
        </w:div>
      </w:divsChild>
    </w:div>
    <w:div w:id="12796826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089">
          <w:marLeft w:val="0"/>
          <w:marRight w:val="0"/>
          <w:marTop w:val="0"/>
          <w:marBottom w:val="0"/>
          <w:divBdr>
            <w:top w:val="none" w:sz="0" w:space="0" w:color="auto"/>
            <w:left w:val="none" w:sz="0" w:space="0" w:color="auto"/>
            <w:bottom w:val="none" w:sz="0" w:space="0" w:color="auto"/>
            <w:right w:val="none" w:sz="0" w:space="0" w:color="auto"/>
          </w:divBdr>
          <w:divsChild>
            <w:div w:id="368992231">
              <w:marLeft w:val="0"/>
              <w:marRight w:val="0"/>
              <w:marTop w:val="0"/>
              <w:marBottom w:val="0"/>
              <w:divBdr>
                <w:top w:val="none" w:sz="0" w:space="0" w:color="auto"/>
                <w:left w:val="none" w:sz="0" w:space="0" w:color="auto"/>
                <w:bottom w:val="none" w:sz="0" w:space="0" w:color="auto"/>
                <w:right w:val="none" w:sz="0" w:space="0" w:color="auto"/>
              </w:divBdr>
            </w:div>
            <w:div w:id="8841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1233">
      <w:bodyDiv w:val="1"/>
      <w:marLeft w:val="0"/>
      <w:marRight w:val="0"/>
      <w:marTop w:val="0"/>
      <w:marBottom w:val="0"/>
      <w:divBdr>
        <w:top w:val="none" w:sz="0" w:space="0" w:color="auto"/>
        <w:left w:val="none" w:sz="0" w:space="0" w:color="auto"/>
        <w:bottom w:val="none" w:sz="0" w:space="0" w:color="auto"/>
        <w:right w:val="none" w:sz="0" w:space="0" w:color="auto"/>
      </w:divBdr>
      <w:divsChild>
        <w:div w:id="546530456">
          <w:marLeft w:val="0"/>
          <w:marRight w:val="0"/>
          <w:marTop w:val="0"/>
          <w:marBottom w:val="0"/>
          <w:divBdr>
            <w:top w:val="none" w:sz="0" w:space="0" w:color="auto"/>
            <w:left w:val="none" w:sz="0" w:space="0" w:color="auto"/>
            <w:bottom w:val="none" w:sz="0" w:space="0" w:color="auto"/>
            <w:right w:val="none" w:sz="0" w:space="0" w:color="auto"/>
          </w:divBdr>
          <w:divsChild>
            <w:div w:id="310911089">
              <w:marLeft w:val="0"/>
              <w:marRight w:val="0"/>
              <w:marTop w:val="0"/>
              <w:marBottom w:val="0"/>
              <w:divBdr>
                <w:top w:val="none" w:sz="0" w:space="0" w:color="auto"/>
                <w:left w:val="none" w:sz="0" w:space="0" w:color="auto"/>
                <w:bottom w:val="none" w:sz="0" w:space="0" w:color="auto"/>
                <w:right w:val="none" w:sz="0" w:space="0" w:color="auto"/>
              </w:divBdr>
            </w:div>
            <w:div w:id="4625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636">
      <w:bodyDiv w:val="1"/>
      <w:marLeft w:val="0"/>
      <w:marRight w:val="0"/>
      <w:marTop w:val="0"/>
      <w:marBottom w:val="0"/>
      <w:divBdr>
        <w:top w:val="none" w:sz="0" w:space="0" w:color="auto"/>
        <w:left w:val="none" w:sz="0" w:space="0" w:color="auto"/>
        <w:bottom w:val="none" w:sz="0" w:space="0" w:color="auto"/>
        <w:right w:val="none" w:sz="0" w:space="0" w:color="auto"/>
      </w:divBdr>
      <w:divsChild>
        <w:div w:id="425881629">
          <w:marLeft w:val="0"/>
          <w:marRight w:val="0"/>
          <w:marTop w:val="0"/>
          <w:marBottom w:val="0"/>
          <w:divBdr>
            <w:top w:val="single" w:sz="2" w:space="0" w:color="D9D9E3"/>
            <w:left w:val="single" w:sz="2" w:space="0" w:color="D9D9E3"/>
            <w:bottom w:val="single" w:sz="2" w:space="0" w:color="D9D9E3"/>
            <w:right w:val="single" w:sz="2" w:space="0" w:color="D9D9E3"/>
          </w:divBdr>
          <w:divsChild>
            <w:div w:id="2118020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19581261">
                  <w:marLeft w:val="0"/>
                  <w:marRight w:val="0"/>
                  <w:marTop w:val="0"/>
                  <w:marBottom w:val="0"/>
                  <w:divBdr>
                    <w:top w:val="single" w:sz="2" w:space="0" w:color="D9D9E3"/>
                    <w:left w:val="single" w:sz="2" w:space="0" w:color="D9D9E3"/>
                    <w:bottom w:val="single" w:sz="2" w:space="0" w:color="D9D9E3"/>
                    <w:right w:val="single" w:sz="2" w:space="0" w:color="D9D9E3"/>
                  </w:divBdr>
                  <w:divsChild>
                    <w:div w:id="1630167027">
                      <w:marLeft w:val="0"/>
                      <w:marRight w:val="0"/>
                      <w:marTop w:val="0"/>
                      <w:marBottom w:val="0"/>
                      <w:divBdr>
                        <w:top w:val="single" w:sz="2" w:space="0" w:color="D9D9E3"/>
                        <w:left w:val="single" w:sz="2" w:space="0" w:color="D9D9E3"/>
                        <w:bottom w:val="single" w:sz="2" w:space="0" w:color="D9D9E3"/>
                        <w:right w:val="single" w:sz="2" w:space="0" w:color="D9D9E3"/>
                      </w:divBdr>
                      <w:divsChild>
                        <w:div w:id="211385775">
                          <w:marLeft w:val="0"/>
                          <w:marRight w:val="0"/>
                          <w:marTop w:val="0"/>
                          <w:marBottom w:val="0"/>
                          <w:divBdr>
                            <w:top w:val="single" w:sz="2" w:space="0" w:color="D9D9E3"/>
                            <w:left w:val="single" w:sz="2" w:space="0" w:color="D9D9E3"/>
                            <w:bottom w:val="single" w:sz="2" w:space="0" w:color="D9D9E3"/>
                            <w:right w:val="single" w:sz="2" w:space="0" w:color="D9D9E3"/>
                          </w:divBdr>
                          <w:divsChild>
                            <w:div w:id="215824178">
                              <w:marLeft w:val="0"/>
                              <w:marRight w:val="0"/>
                              <w:marTop w:val="0"/>
                              <w:marBottom w:val="0"/>
                              <w:divBdr>
                                <w:top w:val="single" w:sz="2" w:space="0" w:color="D9D9E3"/>
                                <w:left w:val="single" w:sz="2" w:space="0" w:color="D9D9E3"/>
                                <w:bottom w:val="single" w:sz="2" w:space="0" w:color="D9D9E3"/>
                                <w:right w:val="single" w:sz="2" w:space="0" w:color="D9D9E3"/>
                              </w:divBdr>
                              <w:divsChild>
                                <w:div w:id="1166827003">
                                  <w:marLeft w:val="0"/>
                                  <w:marRight w:val="0"/>
                                  <w:marTop w:val="0"/>
                                  <w:marBottom w:val="0"/>
                                  <w:divBdr>
                                    <w:top w:val="single" w:sz="2" w:space="0" w:color="D9D9E3"/>
                                    <w:left w:val="single" w:sz="2" w:space="0" w:color="D9D9E3"/>
                                    <w:bottom w:val="single" w:sz="2" w:space="0" w:color="D9D9E3"/>
                                    <w:right w:val="single" w:sz="2" w:space="0" w:color="D9D9E3"/>
                                  </w:divBdr>
                                  <w:divsChild>
                                    <w:div w:id="2024429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9129559">
          <w:marLeft w:val="0"/>
          <w:marRight w:val="0"/>
          <w:marTop w:val="100"/>
          <w:marBottom w:val="100"/>
          <w:divBdr>
            <w:top w:val="single" w:sz="2" w:space="0" w:color="D9D9E3"/>
            <w:left w:val="single" w:sz="2" w:space="0" w:color="D9D9E3"/>
            <w:bottom w:val="single" w:sz="2" w:space="0" w:color="D9D9E3"/>
            <w:right w:val="single" w:sz="2" w:space="0" w:color="D9D9E3"/>
          </w:divBdr>
        </w:div>
      </w:divsChild>
    </w:div>
    <w:div w:id="1445727258">
      <w:bodyDiv w:val="1"/>
      <w:marLeft w:val="0"/>
      <w:marRight w:val="0"/>
      <w:marTop w:val="0"/>
      <w:marBottom w:val="0"/>
      <w:divBdr>
        <w:top w:val="none" w:sz="0" w:space="0" w:color="auto"/>
        <w:left w:val="none" w:sz="0" w:space="0" w:color="auto"/>
        <w:bottom w:val="none" w:sz="0" w:space="0" w:color="auto"/>
        <w:right w:val="none" w:sz="0" w:space="0" w:color="auto"/>
      </w:divBdr>
      <w:divsChild>
        <w:div w:id="375742653">
          <w:marLeft w:val="0"/>
          <w:marRight w:val="0"/>
          <w:marTop w:val="0"/>
          <w:marBottom w:val="0"/>
          <w:divBdr>
            <w:top w:val="none" w:sz="0" w:space="0" w:color="auto"/>
            <w:left w:val="none" w:sz="0" w:space="0" w:color="auto"/>
            <w:bottom w:val="none" w:sz="0" w:space="0" w:color="auto"/>
            <w:right w:val="none" w:sz="0" w:space="0" w:color="auto"/>
          </w:divBdr>
          <w:divsChild>
            <w:div w:id="477645745">
              <w:marLeft w:val="0"/>
              <w:marRight w:val="0"/>
              <w:marTop w:val="0"/>
              <w:marBottom w:val="0"/>
              <w:divBdr>
                <w:top w:val="none" w:sz="0" w:space="0" w:color="auto"/>
                <w:left w:val="none" w:sz="0" w:space="0" w:color="auto"/>
                <w:bottom w:val="none" w:sz="0" w:space="0" w:color="auto"/>
                <w:right w:val="none" w:sz="0" w:space="0" w:color="auto"/>
              </w:divBdr>
            </w:div>
            <w:div w:id="1680157660">
              <w:marLeft w:val="0"/>
              <w:marRight w:val="0"/>
              <w:marTop w:val="0"/>
              <w:marBottom w:val="0"/>
              <w:divBdr>
                <w:top w:val="none" w:sz="0" w:space="0" w:color="auto"/>
                <w:left w:val="none" w:sz="0" w:space="0" w:color="auto"/>
                <w:bottom w:val="none" w:sz="0" w:space="0" w:color="auto"/>
                <w:right w:val="none" w:sz="0" w:space="0" w:color="auto"/>
              </w:divBdr>
            </w:div>
            <w:div w:id="1047724089">
              <w:marLeft w:val="0"/>
              <w:marRight w:val="0"/>
              <w:marTop w:val="0"/>
              <w:marBottom w:val="0"/>
              <w:divBdr>
                <w:top w:val="none" w:sz="0" w:space="0" w:color="auto"/>
                <w:left w:val="none" w:sz="0" w:space="0" w:color="auto"/>
                <w:bottom w:val="none" w:sz="0" w:space="0" w:color="auto"/>
                <w:right w:val="none" w:sz="0" w:space="0" w:color="auto"/>
              </w:divBdr>
            </w:div>
            <w:div w:id="515341891">
              <w:marLeft w:val="0"/>
              <w:marRight w:val="0"/>
              <w:marTop w:val="0"/>
              <w:marBottom w:val="0"/>
              <w:divBdr>
                <w:top w:val="none" w:sz="0" w:space="0" w:color="auto"/>
                <w:left w:val="none" w:sz="0" w:space="0" w:color="auto"/>
                <w:bottom w:val="none" w:sz="0" w:space="0" w:color="auto"/>
                <w:right w:val="none" w:sz="0" w:space="0" w:color="auto"/>
              </w:divBdr>
            </w:div>
            <w:div w:id="1933392658">
              <w:marLeft w:val="0"/>
              <w:marRight w:val="0"/>
              <w:marTop w:val="0"/>
              <w:marBottom w:val="0"/>
              <w:divBdr>
                <w:top w:val="none" w:sz="0" w:space="0" w:color="auto"/>
                <w:left w:val="none" w:sz="0" w:space="0" w:color="auto"/>
                <w:bottom w:val="none" w:sz="0" w:space="0" w:color="auto"/>
                <w:right w:val="none" w:sz="0" w:space="0" w:color="auto"/>
              </w:divBdr>
            </w:div>
            <w:div w:id="910387443">
              <w:marLeft w:val="0"/>
              <w:marRight w:val="0"/>
              <w:marTop w:val="0"/>
              <w:marBottom w:val="0"/>
              <w:divBdr>
                <w:top w:val="none" w:sz="0" w:space="0" w:color="auto"/>
                <w:left w:val="none" w:sz="0" w:space="0" w:color="auto"/>
                <w:bottom w:val="none" w:sz="0" w:space="0" w:color="auto"/>
                <w:right w:val="none" w:sz="0" w:space="0" w:color="auto"/>
              </w:divBdr>
            </w:div>
            <w:div w:id="1802766783">
              <w:marLeft w:val="0"/>
              <w:marRight w:val="0"/>
              <w:marTop w:val="0"/>
              <w:marBottom w:val="0"/>
              <w:divBdr>
                <w:top w:val="none" w:sz="0" w:space="0" w:color="auto"/>
                <w:left w:val="none" w:sz="0" w:space="0" w:color="auto"/>
                <w:bottom w:val="none" w:sz="0" w:space="0" w:color="auto"/>
                <w:right w:val="none" w:sz="0" w:space="0" w:color="auto"/>
              </w:divBdr>
            </w:div>
            <w:div w:id="1615095928">
              <w:marLeft w:val="0"/>
              <w:marRight w:val="0"/>
              <w:marTop w:val="0"/>
              <w:marBottom w:val="0"/>
              <w:divBdr>
                <w:top w:val="none" w:sz="0" w:space="0" w:color="auto"/>
                <w:left w:val="none" w:sz="0" w:space="0" w:color="auto"/>
                <w:bottom w:val="none" w:sz="0" w:space="0" w:color="auto"/>
                <w:right w:val="none" w:sz="0" w:space="0" w:color="auto"/>
              </w:divBdr>
            </w:div>
            <w:div w:id="1957132697">
              <w:marLeft w:val="0"/>
              <w:marRight w:val="0"/>
              <w:marTop w:val="0"/>
              <w:marBottom w:val="0"/>
              <w:divBdr>
                <w:top w:val="none" w:sz="0" w:space="0" w:color="auto"/>
                <w:left w:val="none" w:sz="0" w:space="0" w:color="auto"/>
                <w:bottom w:val="none" w:sz="0" w:space="0" w:color="auto"/>
                <w:right w:val="none" w:sz="0" w:space="0" w:color="auto"/>
              </w:divBdr>
            </w:div>
            <w:div w:id="2121334872">
              <w:marLeft w:val="0"/>
              <w:marRight w:val="0"/>
              <w:marTop w:val="0"/>
              <w:marBottom w:val="0"/>
              <w:divBdr>
                <w:top w:val="none" w:sz="0" w:space="0" w:color="auto"/>
                <w:left w:val="none" w:sz="0" w:space="0" w:color="auto"/>
                <w:bottom w:val="none" w:sz="0" w:space="0" w:color="auto"/>
                <w:right w:val="none" w:sz="0" w:space="0" w:color="auto"/>
              </w:divBdr>
            </w:div>
            <w:div w:id="1201744866">
              <w:marLeft w:val="0"/>
              <w:marRight w:val="0"/>
              <w:marTop w:val="0"/>
              <w:marBottom w:val="0"/>
              <w:divBdr>
                <w:top w:val="none" w:sz="0" w:space="0" w:color="auto"/>
                <w:left w:val="none" w:sz="0" w:space="0" w:color="auto"/>
                <w:bottom w:val="none" w:sz="0" w:space="0" w:color="auto"/>
                <w:right w:val="none" w:sz="0" w:space="0" w:color="auto"/>
              </w:divBdr>
            </w:div>
            <w:div w:id="306518670">
              <w:marLeft w:val="0"/>
              <w:marRight w:val="0"/>
              <w:marTop w:val="0"/>
              <w:marBottom w:val="0"/>
              <w:divBdr>
                <w:top w:val="none" w:sz="0" w:space="0" w:color="auto"/>
                <w:left w:val="none" w:sz="0" w:space="0" w:color="auto"/>
                <w:bottom w:val="none" w:sz="0" w:space="0" w:color="auto"/>
                <w:right w:val="none" w:sz="0" w:space="0" w:color="auto"/>
              </w:divBdr>
            </w:div>
            <w:div w:id="1479348137">
              <w:marLeft w:val="0"/>
              <w:marRight w:val="0"/>
              <w:marTop w:val="0"/>
              <w:marBottom w:val="0"/>
              <w:divBdr>
                <w:top w:val="none" w:sz="0" w:space="0" w:color="auto"/>
                <w:left w:val="none" w:sz="0" w:space="0" w:color="auto"/>
                <w:bottom w:val="none" w:sz="0" w:space="0" w:color="auto"/>
                <w:right w:val="none" w:sz="0" w:space="0" w:color="auto"/>
              </w:divBdr>
            </w:div>
            <w:div w:id="1190723938">
              <w:marLeft w:val="0"/>
              <w:marRight w:val="0"/>
              <w:marTop w:val="0"/>
              <w:marBottom w:val="0"/>
              <w:divBdr>
                <w:top w:val="none" w:sz="0" w:space="0" w:color="auto"/>
                <w:left w:val="none" w:sz="0" w:space="0" w:color="auto"/>
                <w:bottom w:val="none" w:sz="0" w:space="0" w:color="auto"/>
                <w:right w:val="none" w:sz="0" w:space="0" w:color="auto"/>
              </w:divBdr>
            </w:div>
            <w:div w:id="593898777">
              <w:marLeft w:val="0"/>
              <w:marRight w:val="0"/>
              <w:marTop w:val="0"/>
              <w:marBottom w:val="0"/>
              <w:divBdr>
                <w:top w:val="none" w:sz="0" w:space="0" w:color="auto"/>
                <w:left w:val="none" w:sz="0" w:space="0" w:color="auto"/>
                <w:bottom w:val="none" w:sz="0" w:space="0" w:color="auto"/>
                <w:right w:val="none" w:sz="0" w:space="0" w:color="auto"/>
              </w:divBdr>
            </w:div>
            <w:div w:id="962269825">
              <w:marLeft w:val="0"/>
              <w:marRight w:val="0"/>
              <w:marTop w:val="0"/>
              <w:marBottom w:val="0"/>
              <w:divBdr>
                <w:top w:val="none" w:sz="0" w:space="0" w:color="auto"/>
                <w:left w:val="none" w:sz="0" w:space="0" w:color="auto"/>
                <w:bottom w:val="none" w:sz="0" w:space="0" w:color="auto"/>
                <w:right w:val="none" w:sz="0" w:space="0" w:color="auto"/>
              </w:divBdr>
            </w:div>
            <w:div w:id="1725130683">
              <w:marLeft w:val="0"/>
              <w:marRight w:val="0"/>
              <w:marTop w:val="0"/>
              <w:marBottom w:val="0"/>
              <w:divBdr>
                <w:top w:val="none" w:sz="0" w:space="0" w:color="auto"/>
                <w:left w:val="none" w:sz="0" w:space="0" w:color="auto"/>
                <w:bottom w:val="none" w:sz="0" w:space="0" w:color="auto"/>
                <w:right w:val="none" w:sz="0" w:space="0" w:color="auto"/>
              </w:divBdr>
            </w:div>
            <w:div w:id="594217675">
              <w:marLeft w:val="0"/>
              <w:marRight w:val="0"/>
              <w:marTop w:val="0"/>
              <w:marBottom w:val="0"/>
              <w:divBdr>
                <w:top w:val="none" w:sz="0" w:space="0" w:color="auto"/>
                <w:left w:val="none" w:sz="0" w:space="0" w:color="auto"/>
                <w:bottom w:val="none" w:sz="0" w:space="0" w:color="auto"/>
                <w:right w:val="none" w:sz="0" w:space="0" w:color="auto"/>
              </w:divBdr>
            </w:div>
            <w:div w:id="3390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29812">
      <w:bodyDiv w:val="1"/>
      <w:marLeft w:val="0"/>
      <w:marRight w:val="0"/>
      <w:marTop w:val="0"/>
      <w:marBottom w:val="0"/>
      <w:divBdr>
        <w:top w:val="none" w:sz="0" w:space="0" w:color="auto"/>
        <w:left w:val="none" w:sz="0" w:space="0" w:color="auto"/>
        <w:bottom w:val="none" w:sz="0" w:space="0" w:color="auto"/>
        <w:right w:val="none" w:sz="0" w:space="0" w:color="auto"/>
      </w:divBdr>
      <w:divsChild>
        <w:div w:id="943803603">
          <w:marLeft w:val="0"/>
          <w:marRight w:val="0"/>
          <w:marTop w:val="0"/>
          <w:marBottom w:val="0"/>
          <w:divBdr>
            <w:top w:val="none" w:sz="0" w:space="0" w:color="auto"/>
            <w:left w:val="none" w:sz="0" w:space="0" w:color="auto"/>
            <w:bottom w:val="none" w:sz="0" w:space="0" w:color="auto"/>
            <w:right w:val="none" w:sz="0" w:space="0" w:color="auto"/>
          </w:divBdr>
          <w:divsChild>
            <w:div w:id="1002243181">
              <w:marLeft w:val="0"/>
              <w:marRight w:val="0"/>
              <w:marTop w:val="0"/>
              <w:marBottom w:val="0"/>
              <w:divBdr>
                <w:top w:val="none" w:sz="0" w:space="0" w:color="auto"/>
                <w:left w:val="none" w:sz="0" w:space="0" w:color="auto"/>
                <w:bottom w:val="none" w:sz="0" w:space="0" w:color="auto"/>
                <w:right w:val="none" w:sz="0" w:space="0" w:color="auto"/>
              </w:divBdr>
            </w:div>
            <w:div w:id="10761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7679">
      <w:bodyDiv w:val="1"/>
      <w:marLeft w:val="0"/>
      <w:marRight w:val="0"/>
      <w:marTop w:val="0"/>
      <w:marBottom w:val="0"/>
      <w:divBdr>
        <w:top w:val="none" w:sz="0" w:space="0" w:color="auto"/>
        <w:left w:val="none" w:sz="0" w:space="0" w:color="auto"/>
        <w:bottom w:val="none" w:sz="0" w:space="0" w:color="auto"/>
        <w:right w:val="none" w:sz="0" w:space="0" w:color="auto"/>
      </w:divBdr>
      <w:divsChild>
        <w:div w:id="330910090">
          <w:marLeft w:val="0"/>
          <w:marRight w:val="0"/>
          <w:marTop w:val="0"/>
          <w:marBottom w:val="0"/>
          <w:divBdr>
            <w:top w:val="none" w:sz="0" w:space="0" w:color="auto"/>
            <w:left w:val="none" w:sz="0" w:space="0" w:color="auto"/>
            <w:bottom w:val="none" w:sz="0" w:space="0" w:color="auto"/>
            <w:right w:val="none" w:sz="0" w:space="0" w:color="auto"/>
          </w:divBdr>
          <w:divsChild>
            <w:div w:id="7907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1617">
      <w:bodyDiv w:val="1"/>
      <w:marLeft w:val="0"/>
      <w:marRight w:val="0"/>
      <w:marTop w:val="0"/>
      <w:marBottom w:val="0"/>
      <w:divBdr>
        <w:top w:val="none" w:sz="0" w:space="0" w:color="auto"/>
        <w:left w:val="none" w:sz="0" w:space="0" w:color="auto"/>
        <w:bottom w:val="none" w:sz="0" w:space="0" w:color="auto"/>
        <w:right w:val="none" w:sz="0" w:space="0" w:color="auto"/>
      </w:divBdr>
      <w:divsChild>
        <w:div w:id="79956372">
          <w:marLeft w:val="0"/>
          <w:marRight w:val="0"/>
          <w:marTop w:val="0"/>
          <w:marBottom w:val="0"/>
          <w:divBdr>
            <w:top w:val="single" w:sz="2" w:space="0" w:color="D9D9E3"/>
            <w:left w:val="single" w:sz="2" w:space="0" w:color="D9D9E3"/>
            <w:bottom w:val="single" w:sz="2" w:space="0" w:color="D9D9E3"/>
            <w:right w:val="single" w:sz="2" w:space="0" w:color="D9D9E3"/>
          </w:divBdr>
          <w:divsChild>
            <w:div w:id="2142844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270522">
                  <w:marLeft w:val="0"/>
                  <w:marRight w:val="0"/>
                  <w:marTop w:val="0"/>
                  <w:marBottom w:val="0"/>
                  <w:divBdr>
                    <w:top w:val="single" w:sz="2" w:space="0" w:color="D9D9E3"/>
                    <w:left w:val="single" w:sz="2" w:space="0" w:color="D9D9E3"/>
                    <w:bottom w:val="single" w:sz="2" w:space="0" w:color="D9D9E3"/>
                    <w:right w:val="single" w:sz="2" w:space="0" w:color="D9D9E3"/>
                  </w:divBdr>
                  <w:divsChild>
                    <w:div w:id="1983463301">
                      <w:marLeft w:val="0"/>
                      <w:marRight w:val="0"/>
                      <w:marTop w:val="0"/>
                      <w:marBottom w:val="0"/>
                      <w:divBdr>
                        <w:top w:val="single" w:sz="2" w:space="0" w:color="D9D9E3"/>
                        <w:left w:val="single" w:sz="2" w:space="0" w:color="D9D9E3"/>
                        <w:bottom w:val="single" w:sz="2" w:space="0" w:color="D9D9E3"/>
                        <w:right w:val="single" w:sz="2" w:space="0" w:color="D9D9E3"/>
                      </w:divBdr>
                      <w:divsChild>
                        <w:div w:id="1079401138">
                          <w:marLeft w:val="0"/>
                          <w:marRight w:val="0"/>
                          <w:marTop w:val="0"/>
                          <w:marBottom w:val="0"/>
                          <w:divBdr>
                            <w:top w:val="single" w:sz="2" w:space="0" w:color="D9D9E3"/>
                            <w:left w:val="single" w:sz="2" w:space="0" w:color="D9D9E3"/>
                            <w:bottom w:val="single" w:sz="2" w:space="0" w:color="D9D9E3"/>
                            <w:right w:val="single" w:sz="2" w:space="0" w:color="D9D9E3"/>
                          </w:divBdr>
                          <w:divsChild>
                            <w:div w:id="1628320136">
                              <w:marLeft w:val="0"/>
                              <w:marRight w:val="0"/>
                              <w:marTop w:val="0"/>
                              <w:marBottom w:val="0"/>
                              <w:divBdr>
                                <w:top w:val="single" w:sz="2" w:space="0" w:color="D9D9E3"/>
                                <w:left w:val="single" w:sz="2" w:space="0" w:color="D9D9E3"/>
                                <w:bottom w:val="single" w:sz="2" w:space="0" w:color="D9D9E3"/>
                                <w:right w:val="single" w:sz="2" w:space="0" w:color="D9D9E3"/>
                              </w:divBdr>
                              <w:divsChild>
                                <w:div w:id="1577209557">
                                  <w:marLeft w:val="0"/>
                                  <w:marRight w:val="0"/>
                                  <w:marTop w:val="0"/>
                                  <w:marBottom w:val="0"/>
                                  <w:divBdr>
                                    <w:top w:val="single" w:sz="2" w:space="0" w:color="D9D9E3"/>
                                    <w:left w:val="single" w:sz="2" w:space="0" w:color="D9D9E3"/>
                                    <w:bottom w:val="single" w:sz="2" w:space="0" w:color="D9D9E3"/>
                                    <w:right w:val="single" w:sz="2" w:space="0" w:color="D9D9E3"/>
                                  </w:divBdr>
                                  <w:divsChild>
                                    <w:div w:id="170127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4745538">
          <w:marLeft w:val="0"/>
          <w:marRight w:val="0"/>
          <w:marTop w:val="100"/>
          <w:marBottom w:val="100"/>
          <w:divBdr>
            <w:top w:val="single" w:sz="2" w:space="0" w:color="D9D9E3"/>
            <w:left w:val="single" w:sz="2" w:space="0" w:color="D9D9E3"/>
            <w:bottom w:val="single" w:sz="2" w:space="0" w:color="D9D9E3"/>
            <w:right w:val="single" w:sz="2" w:space="0" w:color="D9D9E3"/>
          </w:divBdr>
        </w:div>
      </w:divsChild>
    </w:div>
    <w:div w:id="1574969172">
      <w:bodyDiv w:val="1"/>
      <w:marLeft w:val="0"/>
      <w:marRight w:val="0"/>
      <w:marTop w:val="0"/>
      <w:marBottom w:val="0"/>
      <w:divBdr>
        <w:top w:val="none" w:sz="0" w:space="0" w:color="auto"/>
        <w:left w:val="none" w:sz="0" w:space="0" w:color="auto"/>
        <w:bottom w:val="none" w:sz="0" w:space="0" w:color="auto"/>
        <w:right w:val="none" w:sz="0" w:space="0" w:color="auto"/>
      </w:divBdr>
      <w:divsChild>
        <w:div w:id="1533808110">
          <w:marLeft w:val="0"/>
          <w:marRight w:val="0"/>
          <w:marTop w:val="0"/>
          <w:marBottom w:val="0"/>
          <w:divBdr>
            <w:top w:val="none" w:sz="0" w:space="0" w:color="auto"/>
            <w:left w:val="none" w:sz="0" w:space="0" w:color="auto"/>
            <w:bottom w:val="none" w:sz="0" w:space="0" w:color="auto"/>
            <w:right w:val="none" w:sz="0" w:space="0" w:color="auto"/>
          </w:divBdr>
          <w:divsChild>
            <w:div w:id="237401115">
              <w:marLeft w:val="0"/>
              <w:marRight w:val="0"/>
              <w:marTop w:val="0"/>
              <w:marBottom w:val="0"/>
              <w:divBdr>
                <w:top w:val="none" w:sz="0" w:space="0" w:color="auto"/>
                <w:left w:val="none" w:sz="0" w:space="0" w:color="auto"/>
                <w:bottom w:val="none" w:sz="0" w:space="0" w:color="auto"/>
                <w:right w:val="none" w:sz="0" w:space="0" w:color="auto"/>
              </w:divBdr>
            </w:div>
            <w:div w:id="81595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7976">
      <w:bodyDiv w:val="1"/>
      <w:marLeft w:val="0"/>
      <w:marRight w:val="0"/>
      <w:marTop w:val="0"/>
      <w:marBottom w:val="0"/>
      <w:divBdr>
        <w:top w:val="none" w:sz="0" w:space="0" w:color="auto"/>
        <w:left w:val="none" w:sz="0" w:space="0" w:color="auto"/>
        <w:bottom w:val="none" w:sz="0" w:space="0" w:color="auto"/>
        <w:right w:val="none" w:sz="0" w:space="0" w:color="auto"/>
      </w:divBdr>
      <w:divsChild>
        <w:div w:id="1401949167">
          <w:marLeft w:val="0"/>
          <w:marRight w:val="0"/>
          <w:marTop w:val="0"/>
          <w:marBottom w:val="0"/>
          <w:divBdr>
            <w:top w:val="none" w:sz="0" w:space="0" w:color="auto"/>
            <w:left w:val="none" w:sz="0" w:space="0" w:color="auto"/>
            <w:bottom w:val="none" w:sz="0" w:space="0" w:color="auto"/>
            <w:right w:val="none" w:sz="0" w:space="0" w:color="auto"/>
          </w:divBdr>
          <w:divsChild>
            <w:div w:id="920258679">
              <w:marLeft w:val="0"/>
              <w:marRight w:val="0"/>
              <w:marTop w:val="0"/>
              <w:marBottom w:val="0"/>
              <w:divBdr>
                <w:top w:val="none" w:sz="0" w:space="0" w:color="auto"/>
                <w:left w:val="none" w:sz="0" w:space="0" w:color="auto"/>
                <w:bottom w:val="none" w:sz="0" w:space="0" w:color="auto"/>
                <w:right w:val="none" w:sz="0" w:space="0" w:color="auto"/>
              </w:divBdr>
            </w:div>
            <w:div w:id="9416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5552">
      <w:bodyDiv w:val="1"/>
      <w:marLeft w:val="0"/>
      <w:marRight w:val="0"/>
      <w:marTop w:val="0"/>
      <w:marBottom w:val="0"/>
      <w:divBdr>
        <w:top w:val="none" w:sz="0" w:space="0" w:color="auto"/>
        <w:left w:val="none" w:sz="0" w:space="0" w:color="auto"/>
        <w:bottom w:val="none" w:sz="0" w:space="0" w:color="auto"/>
        <w:right w:val="none" w:sz="0" w:space="0" w:color="auto"/>
      </w:divBdr>
      <w:divsChild>
        <w:div w:id="627049592">
          <w:marLeft w:val="0"/>
          <w:marRight w:val="0"/>
          <w:marTop w:val="0"/>
          <w:marBottom w:val="0"/>
          <w:divBdr>
            <w:top w:val="none" w:sz="0" w:space="0" w:color="auto"/>
            <w:left w:val="none" w:sz="0" w:space="0" w:color="auto"/>
            <w:bottom w:val="none" w:sz="0" w:space="0" w:color="auto"/>
            <w:right w:val="none" w:sz="0" w:space="0" w:color="auto"/>
          </w:divBdr>
          <w:divsChild>
            <w:div w:id="263807668">
              <w:marLeft w:val="0"/>
              <w:marRight w:val="0"/>
              <w:marTop w:val="0"/>
              <w:marBottom w:val="0"/>
              <w:divBdr>
                <w:top w:val="none" w:sz="0" w:space="0" w:color="auto"/>
                <w:left w:val="none" w:sz="0" w:space="0" w:color="auto"/>
                <w:bottom w:val="none" w:sz="0" w:space="0" w:color="auto"/>
                <w:right w:val="none" w:sz="0" w:space="0" w:color="auto"/>
              </w:divBdr>
            </w:div>
            <w:div w:id="11032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8079">
      <w:bodyDiv w:val="1"/>
      <w:marLeft w:val="0"/>
      <w:marRight w:val="0"/>
      <w:marTop w:val="0"/>
      <w:marBottom w:val="0"/>
      <w:divBdr>
        <w:top w:val="none" w:sz="0" w:space="0" w:color="auto"/>
        <w:left w:val="none" w:sz="0" w:space="0" w:color="auto"/>
        <w:bottom w:val="none" w:sz="0" w:space="0" w:color="auto"/>
        <w:right w:val="none" w:sz="0" w:space="0" w:color="auto"/>
      </w:divBdr>
      <w:divsChild>
        <w:div w:id="1149786561">
          <w:marLeft w:val="0"/>
          <w:marRight w:val="0"/>
          <w:marTop w:val="0"/>
          <w:marBottom w:val="0"/>
          <w:divBdr>
            <w:top w:val="none" w:sz="0" w:space="0" w:color="auto"/>
            <w:left w:val="none" w:sz="0" w:space="0" w:color="auto"/>
            <w:bottom w:val="none" w:sz="0" w:space="0" w:color="auto"/>
            <w:right w:val="none" w:sz="0" w:space="0" w:color="auto"/>
          </w:divBdr>
          <w:divsChild>
            <w:div w:id="689068380">
              <w:marLeft w:val="0"/>
              <w:marRight w:val="0"/>
              <w:marTop w:val="0"/>
              <w:marBottom w:val="0"/>
              <w:divBdr>
                <w:top w:val="none" w:sz="0" w:space="0" w:color="auto"/>
                <w:left w:val="none" w:sz="0" w:space="0" w:color="auto"/>
                <w:bottom w:val="none" w:sz="0" w:space="0" w:color="auto"/>
                <w:right w:val="none" w:sz="0" w:space="0" w:color="auto"/>
              </w:divBdr>
            </w:div>
            <w:div w:id="10696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2737">
      <w:bodyDiv w:val="1"/>
      <w:marLeft w:val="0"/>
      <w:marRight w:val="0"/>
      <w:marTop w:val="0"/>
      <w:marBottom w:val="0"/>
      <w:divBdr>
        <w:top w:val="none" w:sz="0" w:space="0" w:color="auto"/>
        <w:left w:val="none" w:sz="0" w:space="0" w:color="auto"/>
        <w:bottom w:val="none" w:sz="0" w:space="0" w:color="auto"/>
        <w:right w:val="none" w:sz="0" w:space="0" w:color="auto"/>
      </w:divBdr>
      <w:divsChild>
        <w:div w:id="954025461">
          <w:marLeft w:val="0"/>
          <w:marRight w:val="0"/>
          <w:marTop w:val="0"/>
          <w:marBottom w:val="0"/>
          <w:divBdr>
            <w:top w:val="none" w:sz="0" w:space="0" w:color="auto"/>
            <w:left w:val="none" w:sz="0" w:space="0" w:color="auto"/>
            <w:bottom w:val="none" w:sz="0" w:space="0" w:color="auto"/>
            <w:right w:val="none" w:sz="0" w:space="0" w:color="auto"/>
          </w:divBdr>
          <w:divsChild>
            <w:div w:id="1320114934">
              <w:marLeft w:val="0"/>
              <w:marRight w:val="0"/>
              <w:marTop w:val="0"/>
              <w:marBottom w:val="0"/>
              <w:divBdr>
                <w:top w:val="none" w:sz="0" w:space="0" w:color="auto"/>
                <w:left w:val="none" w:sz="0" w:space="0" w:color="auto"/>
                <w:bottom w:val="none" w:sz="0" w:space="0" w:color="auto"/>
                <w:right w:val="none" w:sz="0" w:space="0" w:color="auto"/>
              </w:divBdr>
              <w:divsChild>
                <w:div w:id="1668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5432">
      <w:bodyDiv w:val="1"/>
      <w:marLeft w:val="0"/>
      <w:marRight w:val="0"/>
      <w:marTop w:val="0"/>
      <w:marBottom w:val="0"/>
      <w:divBdr>
        <w:top w:val="none" w:sz="0" w:space="0" w:color="auto"/>
        <w:left w:val="none" w:sz="0" w:space="0" w:color="auto"/>
        <w:bottom w:val="none" w:sz="0" w:space="0" w:color="auto"/>
        <w:right w:val="none" w:sz="0" w:space="0" w:color="auto"/>
      </w:divBdr>
      <w:divsChild>
        <w:div w:id="201334999">
          <w:marLeft w:val="0"/>
          <w:marRight w:val="0"/>
          <w:marTop w:val="0"/>
          <w:marBottom w:val="0"/>
          <w:divBdr>
            <w:top w:val="none" w:sz="0" w:space="0" w:color="auto"/>
            <w:left w:val="none" w:sz="0" w:space="0" w:color="auto"/>
            <w:bottom w:val="none" w:sz="0" w:space="0" w:color="auto"/>
            <w:right w:val="none" w:sz="0" w:space="0" w:color="auto"/>
          </w:divBdr>
          <w:divsChild>
            <w:div w:id="8844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98">
      <w:bodyDiv w:val="1"/>
      <w:marLeft w:val="0"/>
      <w:marRight w:val="0"/>
      <w:marTop w:val="0"/>
      <w:marBottom w:val="0"/>
      <w:divBdr>
        <w:top w:val="none" w:sz="0" w:space="0" w:color="auto"/>
        <w:left w:val="none" w:sz="0" w:space="0" w:color="auto"/>
        <w:bottom w:val="none" w:sz="0" w:space="0" w:color="auto"/>
        <w:right w:val="none" w:sz="0" w:space="0" w:color="auto"/>
      </w:divBdr>
      <w:divsChild>
        <w:div w:id="120610312">
          <w:marLeft w:val="0"/>
          <w:marRight w:val="0"/>
          <w:marTop w:val="0"/>
          <w:marBottom w:val="0"/>
          <w:divBdr>
            <w:top w:val="none" w:sz="0" w:space="0" w:color="auto"/>
            <w:left w:val="none" w:sz="0" w:space="0" w:color="auto"/>
            <w:bottom w:val="none" w:sz="0" w:space="0" w:color="auto"/>
            <w:right w:val="none" w:sz="0" w:space="0" w:color="auto"/>
          </w:divBdr>
          <w:divsChild>
            <w:div w:id="83381754">
              <w:marLeft w:val="0"/>
              <w:marRight w:val="0"/>
              <w:marTop w:val="0"/>
              <w:marBottom w:val="0"/>
              <w:divBdr>
                <w:top w:val="none" w:sz="0" w:space="0" w:color="auto"/>
                <w:left w:val="none" w:sz="0" w:space="0" w:color="auto"/>
                <w:bottom w:val="none" w:sz="0" w:space="0" w:color="auto"/>
                <w:right w:val="none" w:sz="0" w:space="0" w:color="auto"/>
              </w:divBdr>
            </w:div>
            <w:div w:id="903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30341">
      <w:bodyDiv w:val="1"/>
      <w:marLeft w:val="0"/>
      <w:marRight w:val="0"/>
      <w:marTop w:val="0"/>
      <w:marBottom w:val="0"/>
      <w:divBdr>
        <w:top w:val="none" w:sz="0" w:space="0" w:color="auto"/>
        <w:left w:val="none" w:sz="0" w:space="0" w:color="auto"/>
        <w:bottom w:val="none" w:sz="0" w:space="0" w:color="auto"/>
        <w:right w:val="none" w:sz="0" w:space="0" w:color="auto"/>
      </w:divBdr>
      <w:divsChild>
        <w:div w:id="784735707">
          <w:marLeft w:val="0"/>
          <w:marRight w:val="0"/>
          <w:marTop w:val="0"/>
          <w:marBottom w:val="0"/>
          <w:divBdr>
            <w:top w:val="none" w:sz="0" w:space="0" w:color="auto"/>
            <w:left w:val="none" w:sz="0" w:space="0" w:color="auto"/>
            <w:bottom w:val="none" w:sz="0" w:space="0" w:color="auto"/>
            <w:right w:val="none" w:sz="0" w:space="0" w:color="auto"/>
          </w:divBdr>
          <w:divsChild>
            <w:div w:id="17585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eta xmlns="http://schemas.apple.com/cocoa/2006/metadata">
  <generator>CocoaOOXMLWriter/2487</generator>
</meta>
</file>

<file path=customXml/itemProps1.xml><?xml version="1.0" encoding="utf-8"?>
<ds:datastoreItem xmlns:ds="http://schemas.openxmlformats.org/officeDocument/2006/customXml" ds:itemID="{1C2C530F-E98D-B14F-82C3-17F6E90ED648}">
  <ds:schemaRefs>
    <ds:schemaRef ds:uri="http://schemas.openxmlformats.org/officeDocument/2006/bibliography"/>
  </ds:schemaRefs>
</ds:datastoreItem>
</file>

<file path=customXml/itemProps2.xml><?xml version="1.0" encoding="utf-8"?>
<ds:datastoreItem xmlns:ds="http://schemas.openxmlformats.org/officeDocument/2006/customXml" ds:itemID="{ADB9EEB8-B77A-264A-8D0D-B80E680C8600}">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32055</Words>
  <Characters>182717</Characters>
  <Application>Microsoft Office Word</Application>
  <DocSecurity>0</DocSecurity>
  <Lines>1522</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James</dc:creator>
  <cp:keywords/>
  <dc:description/>
  <cp:lastModifiedBy>Chen, James</cp:lastModifiedBy>
  <cp:revision>3</cp:revision>
  <cp:lastPrinted>2024-04-01T20:10:00Z</cp:lastPrinted>
  <dcterms:created xsi:type="dcterms:W3CDTF">2024-04-01T20:10:00Z</dcterms:created>
  <dcterms:modified xsi:type="dcterms:W3CDTF">2024-04-01T20:12:00Z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id="0OGFw2dE"/&gt;&lt;style id="http://www.zotero.org/styles/journal-of-dairy-science" hasBibliography="1" bibliographyStyleHasBeenSet="1"/&gt;&lt;prefs&gt;&lt;pref name="fieldType" value="Field"/&gt;&lt;pref name="delayCit</vt:lpwstr>
  </property>
  <property fmtid="{D5CDD505-2E9C-101B-9397-08002B2CF9AE}" pid="3" name="GrammarlyDocumentId">
    <vt:lpwstr>022c01b8643b6e4dccd9f3756e4f87b0333dda4b752e1890d502d199124d74b7</vt:lpwstr>
  </property>
  <property fmtid="{D5CDD505-2E9C-101B-9397-08002B2CF9AE}" pid="4" name="ZOTERO_PREF_2">
    <vt:lpwstr>ationUpdates" value="true"/&gt;&lt;/prefs&gt;&lt;/data&gt;</vt:lpwstr>
  </property>
</Properties>
</file>