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4463" w14:textId="5CDB642A" w:rsidR="00544CEA" w:rsidRPr="00544CEA" w:rsidRDefault="00544CEA" w:rsidP="00544CEA">
      <w:pPr>
        <w:jc w:val="center"/>
        <w:rPr>
          <w:rFonts w:ascii="黑体" w:eastAsia="黑体" w:hAnsi="黑体" w:hint="eastAsia"/>
          <w:sz w:val="28"/>
          <w:szCs w:val="32"/>
        </w:rPr>
      </w:pPr>
      <w:r w:rsidRPr="00544CEA">
        <w:rPr>
          <w:rFonts w:ascii="黑体" w:eastAsia="黑体" w:hAnsi="黑体" w:hint="eastAsia"/>
          <w:sz w:val="28"/>
          <w:szCs w:val="32"/>
        </w:rPr>
        <w:t>SV</w:t>
      </w:r>
      <w:r w:rsidRPr="00544CEA">
        <w:rPr>
          <w:rFonts w:ascii="黑体" w:eastAsia="黑体" w:hAnsi="黑体"/>
          <w:sz w:val="28"/>
          <w:szCs w:val="32"/>
        </w:rPr>
        <w:t>R</w:t>
      </w:r>
      <w:r w:rsidRPr="00544CEA">
        <w:rPr>
          <w:rFonts w:ascii="黑体" w:eastAsia="黑体" w:hAnsi="黑体" w:hint="eastAsia"/>
          <w:sz w:val="28"/>
          <w:szCs w:val="32"/>
        </w:rPr>
        <w:t>程序参数分析研究报告</w:t>
      </w:r>
    </w:p>
    <w:p w14:paraId="7C4C1549" w14:textId="7B98B266" w:rsidR="00544CEA" w:rsidRDefault="00544CEA" w:rsidP="00544CEA">
      <w:pPr>
        <w:spacing w:line="360" w:lineRule="auto"/>
        <w:ind w:firstLineChars="200" w:firstLine="420"/>
        <w:rPr>
          <w:rFonts w:ascii="宋体" w:eastAsia="宋体" w:hAnsi="宋体"/>
        </w:rPr>
      </w:pPr>
      <w:r w:rsidRPr="00544CEA">
        <w:rPr>
          <w:rFonts w:ascii="宋体" w:eastAsia="宋体" w:hAnsi="宋体" w:hint="eastAsia"/>
        </w:rPr>
        <w:t>支持</w:t>
      </w:r>
      <w:proofErr w:type="gramStart"/>
      <w:r w:rsidRPr="00544CEA">
        <w:rPr>
          <w:rFonts w:ascii="宋体" w:eastAsia="宋体" w:hAnsi="宋体" w:hint="eastAsia"/>
        </w:rPr>
        <w:t>向量机</w:t>
      </w:r>
      <w:proofErr w:type="gramEnd"/>
      <w:r w:rsidRPr="00544CEA">
        <w:rPr>
          <w:rFonts w:ascii="宋体" w:eastAsia="宋体" w:hAnsi="宋体" w:hint="eastAsia"/>
        </w:rPr>
        <w:t>可以用于回归问题，即支持</w:t>
      </w:r>
      <w:proofErr w:type="gramStart"/>
      <w:r w:rsidRPr="00544CEA">
        <w:rPr>
          <w:rFonts w:ascii="宋体" w:eastAsia="宋体" w:hAnsi="宋体" w:hint="eastAsia"/>
        </w:rPr>
        <w:t>向量机</w:t>
      </w:r>
      <w:proofErr w:type="gramEnd"/>
      <w:r w:rsidRPr="00544CEA">
        <w:rPr>
          <w:rFonts w:ascii="宋体" w:eastAsia="宋体" w:hAnsi="宋体" w:hint="eastAsia"/>
        </w:rPr>
        <w:t>回归，简称支持向量回归（</w:t>
      </w:r>
      <w:r w:rsidRPr="00544CEA">
        <w:rPr>
          <w:rFonts w:ascii="宋体" w:eastAsia="宋体" w:hAnsi="宋体"/>
        </w:rPr>
        <w:t xml:space="preserve">Support vector regression, SVR）。支持向量机（SVM）建立在 VC </w:t>
      </w:r>
      <w:proofErr w:type="gramStart"/>
      <w:r w:rsidRPr="00544CEA">
        <w:rPr>
          <w:rFonts w:ascii="宋体" w:eastAsia="宋体" w:hAnsi="宋体"/>
        </w:rPr>
        <w:t>维理论</w:t>
      </w:r>
      <w:proofErr w:type="gramEnd"/>
      <w:r w:rsidRPr="00544CEA">
        <w:rPr>
          <w:rFonts w:ascii="宋体" w:eastAsia="宋体" w:hAnsi="宋体"/>
        </w:rPr>
        <w:t>和</w:t>
      </w:r>
      <w:r w:rsidRPr="00544CEA">
        <w:rPr>
          <w:rFonts w:ascii="宋体" w:eastAsia="宋体" w:hAnsi="宋体" w:hint="eastAsia"/>
        </w:rPr>
        <w:t>结构风险最小化原理基础之上，最初用于解决二分类问题（支持</w:t>
      </w:r>
      <w:proofErr w:type="gramStart"/>
      <w:r w:rsidRPr="00544CEA">
        <w:rPr>
          <w:rFonts w:ascii="宋体" w:eastAsia="宋体" w:hAnsi="宋体" w:hint="eastAsia"/>
        </w:rPr>
        <w:t>向量机</w:t>
      </w:r>
      <w:proofErr w:type="gramEnd"/>
      <w:r w:rsidRPr="00544CEA">
        <w:rPr>
          <w:rFonts w:ascii="宋体" w:eastAsia="宋体" w:hAnsi="宋体" w:hint="eastAsia"/>
        </w:rPr>
        <w:t>分类），后被推广到用于解决函数逼近问题，即支持向量回归（</w:t>
      </w:r>
      <w:r w:rsidRPr="00544CEA">
        <w:rPr>
          <w:rFonts w:ascii="宋体" w:eastAsia="宋体" w:hAnsi="宋体"/>
        </w:rPr>
        <w:t>SVR）。通常而言，可以使</w:t>
      </w:r>
      <w:r w:rsidRPr="00544CEA">
        <w:rPr>
          <w:rFonts w:ascii="宋体" w:eastAsia="宋体" w:hAnsi="宋体" w:hint="eastAsia"/>
        </w:rPr>
        <w:t>用核技巧将作为输入的非线性样本集变换到高维空间而改善样本分离状况。本项目使用</w:t>
      </w:r>
      <w:r w:rsidRPr="00544CEA">
        <w:rPr>
          <w:rFonts w:ascii="宋体" w:eastAsia="宋体" w:hAnsi="宋体"/>
        </w:rPr>
        <w:t xml:space="preserve"> </w:t>
      </w:r>
      <w:r w:rsidR="00F9611A">
        <w:rPr>
          <w:rFonts w:ascii="宋体" w:eastAsia="宋体" w:hAnsi="宋体" w:hint="eastAsia"/>
        </w:rPr>
        <w:t>SVR</w:t>
      </w:r>
      <w:r w:rsidRPr="00544CEA">
        <w:rPr>
          <w:rFonts w:ascii="宋体" w:eastAsia="宋体" w:hAnsi="宋体"/>
        </w:rPr>
        <w:t>算法进行建模预测。</w:t>
      </w:r>
    </w:p>
    <w:p w14:paraId="734C93C0" w14:textId="77777777" w:rsidR="00544CEA" w:rsidRPr="00544CEA" w:rsidRDefault="00544CEA" w:rsidP="00544CEA">
      <w:pPr>
        <w:ind w:firstLineChars="200" w:firstLine="420"/>
        <w:rPr>
          <w:rFonts w:ascii="宋体" w:eastAsia="宋体" w:hAnsi="宋体" w:hint="eastAsia"/>
        </w:rPr>
      </w:pPr>
    </w:p>
    <w:p w14:paraId="5987B4D9" w14:textId="43144948" w:rsidR="00FC078E" w:rsidRPr="00544CEA" w:rsidRDefault="00FC078E" w:rsidP="00FC078E">
      <w:pPr>
        <w:rPr>
          <w:rFonts w:ascii="宋体" w:eastAsia="宋体" w:hAnsi="宋体"/>
        </w:rPr>
      </w:pPr>
      <w:r w:rsidRPr="00544CEA">
        <w:rPr>
          <w:rFonts w:ascii="宋体" w:eastAsia="宋体" w:hAnsi="宋体" w:hint="eastAsia"/>
        </w:rPr>
        <w:t>1</w:t>
      </w:r>
      <w:r w:rsidRPr="00544CEA">
        <w:rPr>
          <w:rFonts w:ascii="宋体" w:eastAsia="宋体" w:hAnsi="宋体"/>
        </w:rPr>
        <w:t>.</w:t>
      </w:r>
      <w:r w:rsidRPr="00544CEA">
        <w:rPr>
          <w:rFonts w:ascii="宋体" w:eastAsia="宋体" w:hAnsi="宋体"/>
        </w:rPr>
        <w:t xml:space="preserve">构建 SVR 回归模型 </w:t>
      </w:r>
    </w:p>
    <w:p w14:paraId="472360F7" w14:textId="14C69F98" w:rsidR="001C11FB" w:rsidRPr="00544CEA" w:rsidRDefault="00FC078E" w:rsidP="00FC078E">
      <w:pPr>
        <w:ind w:firstLineChars="200" w:firstLine="420"/>
        <w:rPr>
          <w:rFonts w:ascii="宋体" w:eastAsia="宋体" w:hAnsi="宋体"/>
        </w:rPr>
      </w:pPr>
      <w:r w:rsidRPr="00544CEA">
        <w:rPr>
          <w:rFonts w:ascii="宋体" w:eastAsia="宋体" w:hAnsi="宋体"/>
        </w:rPr>
        <w:t xml:space="preserve">主要使用 </w:t>
      </w:r>
      <w:proofErr w:type="spellStart"/>
      <w:r w:rsidRPr="00544CEA">
        <w:rPr>
          <w:rFonts w:ascii="宋体" w:eastAsia="宋体" w:hAnsi="宋体"/>
        </w:rPr>
        <w:t>svr</w:t>
      </w:r>
      <w:proofErr w:type="spellEnd"/>
      <w:r w:rsidRPr="00544CEA">
        <w:rPr>
          <w:rFonts w:ascii="宋体" w:eastAsia="宋体" w:hAnsi="宋体"/>
        </w:rPr>
        <w:t xml:space="preserve"> 算法，用于目标回归。</w:t>
      </w:r>
    </w:p>
    <w:p w14:paraId="22E55992" w14:textId="2C0FDF39" w:rsidR="00FC078E" w:rsidRPr="00544CEA" w:rsidRDefault="00FC078E">
      <w:pPr>
        <w:rPr>
          <w:rFonts w:ascii="宋体" w:eastAsia="宋体" w:hAnsi="宋体"/>
        </w:rPr>
      </w:pPr>
      <w:r w:rsidRPr="00544CEA">
        <w:rPr>
          <w:rFonts w:ascii="宋体" w:eastAsia="宋体" w:hAnsi="宋体" w:hint="eastAsia"/>
        </w:rPr>
        <w:t>2</w:t>
      </w:r>
      <w:r w:rsidRPr="00544CEA">
        <w:rPr>
          <w:rFonts w:ascii="宋体" w:eastAsia="宋体" w:hAnsi="宋体"/>
        </w:rPr>
        <w:t>.</w:t>
      </w:r>
      <w:r w:rsidRPr="00544CEA">
        <w:rPr>
          <w:rFonts w:ascii="宋体" w:eastAsia="宋体" w:hAnsi="宋体" w:hint="eastAsia"/>
        </w:rPr>
        <w:t>模型参数</w:t>
      </w:r>
    </w:p>
    <w:tbl>
      <w:tblPr>
        <w:tblStyle w:val="a4"/>
        <w:tblW w:w="0" w:type="auto"/>
        <w:tblLook w:val="04A0" w:firstRow="1" w:lastRow="0" w:firstColumn="1" w:lastColumn="0" w:noHBand="0" w:noVBand="1"/>
      </w:tblPr>
      <w:tblGrid>
        <w:gridCol w:w="2765"/>
        <w:gridCol w:w="2765"/>
        <w:gridCol w:w="2766"/>
      </w:tblGrid>
      <w:tr w:rsidR="00FC078E" w:rsidRPr="00544CEA" w14:paraId="55F46325" w14:textId="77777777" w:rsidTr="00FC078E">
        <w:tc>
          <w:tcPr>
            <w:tcW w:w="2765" w:type="dxa"/>
          </w:tcPr>
          <w:p w14:paraId="4E4D6123" w14:textId="534D58F0" w:rsidR="00FC078E" w:rsidRPr="00544CEA" w:rsidRDefault="00FC078E">
            <w:pPr>
              <w:rPr>
                <w:rFonts w:ascii="宋体" w:eastAsia="宋体" w:hAnsi="宋体" w:hint="eastAsia"/>
              </w:rPr>
            </w:pPr>
            <w:r w:rsidRPr="00544CEA">
              <w:rPr>
                <w:rFonts w:ascii="宋体" w:eastAsia="宋体" w:hAnsi="宋体" w:hint="eastAsia"/>
              </w:rPr>
              <w:t>编号</w:t>
            </w:r>
          </w:p>
        </w:tc>
        <w:tc>
          <w:tcPr>
            <w:tcW w:w="2765" w:type="dxa"/>
          </w:tcPr>
          <w:p w14:paraId="099455B5" w14:textId="560E5A24" w:rsidR="00FC078E" w:rsidRPr="00544CEA" w:rsidRDefault="00FC078E">
            <w:pPr>
              <w:rPr>
                <w:rFonts w:ascii="宋体" w:eastAsia="宋体" w:hAnsi="宋体" w:hint="eastAsia"/>
              </w:rPr>
            </w:pPr>
            <w:r w:rsidRPr="00544CEA">
              <w:rPr>
                <w:rFonts w:ascii="宋体" w:eastAsia="宋体" w:hAnsi="宋体" w:hint="eastAsia"/>
              </w:rPr>
              <w:t>模型名称</w:t>
            </w:r>
          </w:p>
        </w:tc>
        <w:tc>
          <w:tcPr>
            <w:tcW w:w="2766" w:type="dxa"/>
          </w:tcPr>
          <w:p w14:paraId="1AA8BA00" w14:textId="7ED8C381" w:rsidR="00FC078E" w:rsidRPr="00544CEA" w:rsidRDefault="00FC078E">
            <w:pPr>
              <w:rPr>
                <w:rFonts w:ascii="宋体" w:eastAsia="宋体" w:hAnsi="宋体" w:hint="eastAsia"/>
              </w:rPr>
            </w:pPr>
            <w:r w:rsidRPr="00544CEA">
              <w:rPr>
                <w:rFonts w:ascii="宋体" w:eastAsia="宋体" w:hAnsi="宋体" w:hint="eastAsia"/>
              </w:rPr>
              <w:t>参数</w:t>
            </w:r>
          </w:p>
        </w:tc>
      </w:tr>
      <w:tr w:rsidR="00FC078E" w:rsidRPr="00544CEA" w14:paraId="31C2436C" w14:textId="77777777" w:rsidTr="00FC078E">
        <w:tc>
          <w:tcPr>
            <w:tcW w:w="2765" w:type="dxa"/>
          </w:tcPr>
          <w:p w14:paraId="1B8C77C8" w14:textId="5959DBAF" w:rsidR="00FC078E" w:rsidRPr="00544CEA" w:rsidRDefault="00FC078E">
            <w:pPr>
              <w:rPr>
                <w:rFonts w:ascii="宋体" w:eastAsia="宋体" w:hAnsi="宋体" w:hint="eastAsia"/>
              </w:rPr>
            </w:pPr>
            <w:r w:rsidRPr="00544CEA">
              <w:rPr>
                <w:rFonts w:ascii="宋体" w:eastAsia="宋体" w:hAnsi="宋体" w:hint="eastAsia"/>
              </w:rPr>
              <w:t>1</w:t>
            </w:r>
          </w:p>
        </w:tc>
        <w:tc>
          <w:tcPr>
            <w:tcW w:w="2765" w:type="dxa"/>
            <w:vMerge w:val="restart"/>
            <w:vAlign w:val="center"/>
          </w:tcPr>
          <w:p w14:paraId="76DBF85D" w14:textId="15FA0C4C" w:rsidR="00FC078E" w:rsidRPr="00544CEA" w:rsidRDefault="00FC078E" w:rsidP="00FC078E">
            <w:pPr>
              <w:jc w:val="center"/>
              <w:rPr>
                <w:rFonts w:ascii="宋体" w:eastAsia="宋体" w:hAnsi="宋体" w:hint="eastAsia"/>
              </w:rPr>
            </w:pPr>
            <w:r w:rsidRPr="00544CEA">
              <w:rPr>
                <w:rFonts w:ascii="宋体" w:eastAsia="宋体" w:hAnsi="宋体" w:hint="eastAsia"/>
              </w:rPr>
              <w:t>SVR模型</w:t>
            </w:r>
          </w:p>
        </w:tc>
        <w:tc>
          <w:tcPr>
            <w:tcW w:w="2766" w:type="dxa"/>
          </w:tcPr>
          <w:p w14:paraId="6FD3F747" w14:textId="197D05EA" w:rsidR="00FC078E" w:rsidRPr="00544CEA" w:rsidRDefault="00FC078E">
            <w:pPr>
              <w:rPr>
                <w:rFonts w:ascii="宋体" w:eastAsia="宋体" w:hAnsi="宋体" w:hint="eastAsia"/>
              </w:rPr>
            </w:pPr>
            <w:r w:rsidRPr="00544CEA">
              <w:rPr>
                <w:rFonts w:ascii="宋体" w:eastAsia="宋体" w:hAnsi="宋体" w:hint="eastAsia"/>
              </w:rPr>
              <w:t>kernel</w:t>
            </w:r>
            <w:r w:rsidRPr="00544CEA">
              <w:rPr>
                <w:rFonts w:ascii="宋体" w:eastAsia="宋体" w:hAnsi="宋体"/>
              </w:rPr>
              <w:t>=</w:t>
            </w:r>
            <w:r w:rsidR="00544CEA">
              <w:rPr>
                <w:rFonts w:ascii="宋体" w:eastAsia="宋体" w:hAnsi="宋体" w:hint="eastAsia"/>
              </w:rPr>
              <w:t>‘</w:t>
            </w:r>
            <w:proofErr w:type="spellStart"/>
            <w:r w:rsidRPr="00544CEA">
              <w:rPr>
                <w:rFonts w:ascii="宋体" w:eastAsia="宋体" w:hAnsi="宋体" w:hint="eastAsia"/>
              </w:rPr>
              <w:t>rbf</w:t>
            </w:r>
            <w:proofErr w:type="spellEnd"/>
            <w:r w:rsidR="00544CEA">
              <w:rPr>
                <w:rFonts w:ascii="宋体" w:eastAsia="宋体" w:hAnsi="宋体"/>
              </w:rPr>
              <w:t>’</w:t>
            </w:r>
          </w:p>
        </w:tc>
      </w:tr>
      <w:tr w:rsidR="00FC078E" w:rsidRPr="00544CEA" w14:paraId="37B32E4B" w14:textId="77777777" w:rsidTr="00FC078E">
        <w:tc>
          <w:tcPr>
            <w:tcW w:w="2765" w:type="dxa"/>
          </w:tcPr>
          <w:p w14:paraId="04A15DFB" w14:textId="674DB0A6" w:rsidR="00FC078E" w:rsidRPr="00544CEA" w:rsidRDefault="00FC078E">
            <w:pPr>
              <w:rPr>
                <w:rFonts w:ascii="宋体" w:eastAsia="宋体" w:hAnsi="宋体" w:hint="eastAsia"/>
              </w:rPr>
            </w:pPr>
            <w:r w:rsidRPr="00544CEA">
              <w:rPr>
                <w:rFonts w:ascii="宋体" w:eastAsia="宋体" w:hAnsi="宋体" w:hint="eastAsia"/>
              </w:rPr>
              <w:t>2</w:t>
            </w:r>
          </w:p>
        </w:tc>
        <w:tc>
          <w:tcPr>
            <w:tcW w:w="2765" w:type="dxa"/>
            <w:vMerge/>
          </w:tcPr>
          <w:p w14:paraId="3D9F0E32" w14:textId="54ECA81C" w:rsidR="00FC078E" w:rsidRPr="00544CEA" w:rsidRDefault="00FC078E">
            <w:pPr>
              <w:rPr>
                <w:rFonts w:ascii="宋体" w:eastAsia="宋体" w:hAnsi="宋体" w:hint="eastAsia"/>
              </w:rPr>
            </w:pPr>
          </w:p>
        </w:tc>
        <w:tc>
          <w:tcPr>
            <w:tcW w:w="2766" w:type="dxa"/>
          </w:tcPr>
          <w:p w14:paraId="19F06DDB" w14:textId="2E191F63" w:rsidR="00FC078E" w:rsidRPr="00544CEA" w:rsidRDefault="00FC078E">
            <w:pPr>
              <w:rPr>
                <w:rFonts w:ascii="宋体" w:eastAsia="宋体" w:hAnsi="宋体" w:hint="eastAsia"/>
              </w:rPr>
            </w:pPr>
            <w:r w:rsidRPr="00544CEA">
              <w:rPr>
                <w:rFonts w:ascii="宋体" w:eastAsia="宋体" w:hAnsi="宋体" w:hint="eastAsia"/>
              </w:rPr>
              <w:t>C</w:t>
            </w:r>
            <w:r w:rsidRPr="00544CEA">
              <w:rPr>
                <w:rFonts w:ascii="宋体" w:eastAsia="宋体" w:hAnsi="宋体"/>
              </w:rPr>
              <w:t>=1</w:t>
            </w:r>
          </w:p>
        </w:tc>
      </w:tr>
      <w:tr w:rsidR="00FC078E" w:rsidRPr="00544CEA" w14:paraId="66A1C1DB" w14:textId="77777777" w:rsidTr="00FC078E">
        <w:tc>
          <w:tcPr>
            <w:tcW w:w="2765" w:type="dxa"/>
          </w:tcPr>
          <w:p w14:paraId="7003D4E0" w14:textId="2A7EB59C" w:rsidR="00FC078E" w:rsidRPr="00544CEA" w:rsidRDefault="00FC078E">
            <w:pPr>
              <w:rPr>
                <w:rFonts w:ascii="宋体" w:eastAsia="宋体" w:hAnsi="宋体" w:hint="eastAsia"/>
              </w:rPr>
            </w:pPr>
            <w:r w:rsidRPr="00544CEA">
              <w:rPr>
                <w:rFonts w:ascii="宋体" w:eastAsia="宋体" w:hAnsi="宋体" w:hint="eastAsia"/>
              </w:rPr>
              <w:t>3</w:t>
            </w:r>
          </w:p>
        </w:tc>
        <w:tc>
          <w:tcPr>
            <w:tcW w:w="2765" w:type="dxa"/>
            <w:vMerge/>
          </w:tcPr>
          <w:p w14:paraId="5E0A8936" w14:textId="77777777" w:rsidR="00FC078E" w:rsidRPr="00544CEA" w:rsidRDefault="00FC078E">
            <w:pPr>
              <w:rPr>
                <w:rFonts w:ascii="宋体" w:eastAsia="宋体" w:hAnsi="宋体" w:hint="eastAsia"/>
              </w:rPr>
            </w:pPr>
          </w:p>
        </w:tc>
        <w:tc>
          <w:tcPr>
            <w:tcW w:w="2766" w:type="dxa"/>
          </w:tcPr>
          <w:p w14:paraId="553ED5ED" w14:textId="17196D42" w:rsidR="00FC078E" w:rsidRPr="00544CEA" w:rsidRDefault="00FC078E">
            <w:pPr>
              <w:rPr>
                <w:rFonts w:ascii="宋体" w:eastAsia="宋体" w:hAnsi="宋体" w:hint="eastAsia"/>
              </w:rPr>
            </w:pPr>
            <w:r w:rsidRPr="00544CEA">
              <w:rPr>
                <w:rFonts w:ascii="宋体" w:eastAsia="宋体" w:hAnsi="宋体" w:hint="eastAsia"/>
              </w:rPr>
              <w:t>gamma</w:t>
            </w:r>
            <w:r w:rsidRPr="00544CEA">
              <w:rPr>
                <w:rFonts w:ascii="宋体" w:eastAsia="宋体" w:hAnsi="宋体"/>
              </w:rPr>
              <w:t>=0.5</w:t>
            </w:r>
          </w:p>
        </w:tc>
      </w:tr>
    </w:tbl>
    <w:p w14:paraId="77F36140" w14:textId="0A0675C4" w:rsidR="00FC078E" w:rsidRPr="00544CEA" w:rsidRDefault="00FC078E">
      <w:pPr>
        <w:rPr>
          <w:rFonts w:ascii="宋体" w:eastAsia="宋体" w:hAnsi="宋体"/>
        </w:rPr>
      </w:pPr>
      <w:r w:rsidRPr="00544CEA">
        <w:rPr>
          <w:rFonts w:ascii="宋体" w:eastAsia="宋体" w:hAnsi="宋体" w:hint="eastAsia"/>
        </w:rPr>
        <w:t>3</w:t>
      </w:r>
      <w:r w:rsidRPr="00544CEA">
        <w:rPr>
          <w:rFonts w:ascii="宋体" w:eastAsia="宋体" w:hAnsi="宋体"/>
        </w:rPr>
        <w:t>.</w:t>
      </w:r>
      <w:r w:rsidRPr="00544CEA">
        <w:rPr>
          <w:rFonts w:ascii="宋体" w:eastAsia="宋体" w:hAnsi="宋体" w:hint="eastAsia"/>
        </w:rPr>
        <w:t>模型评估</w:t>
      </w:r>
    </w:p>
    <w:tbl>
      <w:tblPr>
        <w:tblStyle w:val="a4"/>
        <w:tblW w:w="0" w:type="auto"/>
        <w:tblLook w:val="04A0" w:firstRow="1" w:lastRow="0" w:firstColumn="1" w:lastColumn="0" w:noHBand="0" w:noVBand="1"/>
      </w:tblPr>
      <w:tblGrid>
        <w:gridCol w:w="2765"/>
        <w:gridCol w:w="2765"/>
        <w:gridCol w:w="2766"/>
      </w:tblGrid>
      <w:tr w:rsidR="00FC078E" w:rsidRPr="00544CEA" w14:paraId="0F8E24D5" w14:textId="77777777" w:rsidTr="00FC078E">
        <w:tc>
          <w:tcPr>
            <w:tcW w:w="2765" w:type="dxa"/>
          </w:tcPr>
          <w:p w14:paraId="44CC1208" w14:textId="1C0BB89E" w:rsidR="00FC078E" w:rsidRPr="00544CEA" w:rsidRDefault="00FC078E">
            <w:pPr>
              <w:rPr>
                <w:rFonts w:ascii="宋体" w:eastAsia="宋体" w:hAnsi="宋体" w:hint="eastAsia"/>
              </w:rPr>
            </w:pPr>
            <w:r w:rsidRPr="00544CEA">
              <w:rPr>
                <w:rFonts w:ascii="宋体" w:eastAsia="宋体" w:hAnsi="宋体" w:hint="eastAsia"/>
              </w:rPr>
              <w:t>模型名称</w:t>
            </w:r>
          </w:p>
        </w:tc>
        <w:tc>
          <w:tcPr>
            <w:tcW w:w="2765" w:type="dxa"/>
          </w:tcPr>
          <w:p w14:paraId="63DC9FA9" w14:textId="11CE6389" w:rsidR="00FC078E" w:rsidRPr="00544CEA" w:rsidRDefault="00FC078E">
            <w:pPr>
              <w:rPr>
                <w:rFonts w:ascii="宋体" w:eastAsia="宋体" w:hAnsi="宋体" w:hint="eastAsia"/>
              </w:rPr>
            </w:pPr>
            <w:r w:rsidRPr="00544CEA">
              <w:rPr>
                <w:rFonts w:ascii="宋体" w:eastAsia="宋体" w:hAnsi="宋体" w:hint="eastAsia"/>
              </w:rPr>
              <w:t>指标名称</w:t>
            </w:r>
          </w:p>
        </w:tc>
        <w:tc>
          <w:tcPr>
            <w:tcW w:w="2766" w:type="dxa"/>
          </w:tcPr>
          <w:p w14:paraId="21E5FFAC" w14:textId="5B8AA5A4" w:rsidR="00FC078E" w:rsidRPr="00544CEA" w:rsidRDefault="00FC078E">
            <w:pPr>
              <w:rPr>
                <w:rFonts w:ascii="宋体" w:eastAsia="宋体" w:hAnsi="宋体" w:hint="eastAsia"/>
              </w:rPr>
            </w:pPr>
            <w:r w:rsidRPr="00544CEA">
              <w:rPr>
                <w:rFonts w:ascii="宋体" w:eastAsia="宋体" w:hAnsi="宋体" w:hint="eastAsia"/>
              </w:rPr>
              <w:t>指标值</w:t>
            </w:r>
          </w:p>
        </w:tc>
      </w:tr>
      <w:tr w:rsidR="00FC078E" w:rsidRPr="00544CEA" w14:paraId="62B94347" w14:textId="77777777" w:rsidTr="00FC078E">
        <w:tc>
          <w:tcPr>
            <w:tcW w:w="8296" w:type="dxa"/>
            <w:gridSpan w:val="3"/>
            <w:vAlign w:val="center"/>
          </w:tcPr>
          <w:p w14:paraId="6BA2E1B1" w14:textId="45B71CA1" w:rsidR="00FC078E" w:rsidRPr="00544CEA" w:rsidRDefault="00FC078E" w:rsidP="00FC078E">
            <w:pPr>
              <w:jc w:val="center"/>
              <w:rPr>
                <w:rFonts w:ascii="宋体" w:eastAsia="宋体" w:hAnsi="宋体" w:hint="eastAsia"/>
              </w:rPr>
            </w:pPr>
            <w:r w:rsidRPr="00544CEA">
              <w:rPr>
                <w:rFonts w:ascii="宋体" w:eastAsia="宋体" w:hAnsi="宋体" w:hint="eastAsia"/>
              </w:rPr>
              <w:t>测试集</w:t>
            </w:r>
          </w:p>
        </w:tc>
      </w:tr>
      <w:tr w:rsidR="00FC078E" w:rsidRPr="00544CEA" w14:paraId="78808BA5" w14:textId="77777777" w:rsidTr="00FC078E">
        <w:tc>
          <w:tcPr>
            <w:tcW w:w="2765" w:type="dxa"/>
            <w:vMerge w:val="restart"/>
            <w:vAlign w:val="center"/>
          </w:tcPr>
          <w:p w14:paraId="7856DDEC" w14:textId="0E7C4163" w:rsidR="00FC078E" w:rsidRPr="00544CEA" w:rsidRDefault="00FC078E" w:rsidP="00FC078E">
            <w:pPr>
              <w:jc w:val="center"/>
              <w:rPr>
                <w:rFonts w:ascii="宋体" w:eastAsia="宋体" w:hAnsi="宋体" w:hint="eastAsia"/>
              </w:rPr>
            </w:pPr>
            <w:r w:rsidRPr="00544CEA">
              <w:rPr>
                <w:rFonts w:ascii="宋体" w:eastAsia="宋体" w:hAnsi="宋体" w:hint="eastAsia"/>
              </w:rPr>
              <w:t>SVR回归模型</w:t>
            </w:r>
          </w:p>
        </w:tc>
        <w:tc>
          <w:tcPr>
            <w:tcW w:w="2765" w:type="dxa"/>
          </w:tcPr>
          <w:p w14:paraId="378C8C7D" w14:textId="2E1D3545" w:rsidR="00FC078E" w:rsidRPr="00544CEA" w:rsidRDefault="00FC078E">
            <w:pPr>
              <w:rPr>
                <w:rFonts w:ascii="宋体" w:eastAsia="宋体" w:hAnsi="宋体" w:hint="eastAsia"/>
              </w:rPr>
            </w:pPr>
            <w:r w:rsidRPr="00544CEA">
              <w:rPr>
                <w:rFonts w:ascii="宋体" w:eastAsia="宋体" w:hAnsi="宋体" w:hint="eastAsia"/>
              </w:rPr>
              <w:t>分值</w:t>
            </w:r>
          </w:p>
        </w:tc>
        <w:tc>
          <w:tcPr>
            <w:tcW w:w="2766" w:type="dxa"/>
          </w:tcPr>
          <w:p w14:paraId="25F664AA" w14:textId="02538970" w:rsidR="00FC078E" w:rsidRPr="00544CEA" w:rsidRDefault="00FC078E">
            <w:pPr>
              <w:rPr>
                <w:rFonts w:ascii="宋体" w:eastAsia="宋体" w:hAnsi="宋体" w:hint="eastAsia"/>
              </w:rPr>
            </w:pPr>
            <w:r w:rsidRPr="00544CEA">
              <w:rPr>
                <w:rFonts w:ascii="宋体" w:eastAsia="宋体" w:hAnsi="宋体" w:hint="eastAsia"/>
              </w:rPr>
              <w:t>0</w:t>
            </w:r>
            <w:r w:rsidRPr="00544CEA">
              <w:rPr>
                <w:rFonts w:ascii="宋体" w:eastAsia="宋体" w:hAnsi="宋体"/>
              </w:rPr>
              <w:t>.82</w:t>
            </w:r>
          </w:p>
        </w:tc>
      </w:tr>
      <w:tr w:rsidR="00FC078E" w:rsidRPr="00544CEA" w14:paraId="225B2EBC" w14:textId="77777777" w:rsidTr="00FC078E">
        <w:tc>
          <w:tcPr>
            <w:tcW w:w="2765" w:type="dxa"/>
            <w:vMerge/>
          </w:tcPr>
          <w:p w14:paraId="767A3A7D" w14:textId="60C20665" w:rsidR="00FC078E" w:rsidRPr="00544CEA" w:rsidRDefault="00FC078E" w:rsidP="0037320C">
            <w:pPr>
              <w:rPr>
                <w:rFonts w:ascii="宋体" w:eastAsia="宋体" w:hAnsi="宋体" w:hint="eastAsia"/>
              </w:rPr>
            </w:pPr>
          </w:p>
        </w:tc>
        <w:tc>
          <w:tcPr>
            <w:tcW w:w="2765" w:type="dxa"/>
          </w:tcPr>
          <w:p w14:paraId="4A22CFDC" w14:textId="45C73E26" w:rsidR="00FC078E" w:rsidRPr="00544CEA" w:rsidRDefault="00FC078E">
            <w:pPr>
              <w:rPr>
                <w:rFonts w:ascii="宋体" w:eastAsia="宋体" w:hAnsi="宋体" w:hint="eastAsia"/>
              </w:rPr>
            </w:pPr>
            <w:proofErr w:type="gramStart"/>
            <w:r w:rsidRPr="00544CEA">
              <w:rPr>
                <w:rFonts w:ascii="宋体" w:eastAsia="宋体" w:hAnsi="宋体" w:hint="eastAsia"/>
              </w:rPr>
              <w:t>方差值</w:t>
            </w:r>
            <w:proofErr w:type="gramEnd"/>
          </w:p>
        </w:tc>
        <w:tc>
          <w:tcPr>
            <w:tcW w:w="2766" w:type="dxa"/>
          </w:tcPr>
          <w:p w14:paraId="348D0DE7" w14:textId="5111FCC5" w:rsidR="00FC078E" w:rsidRPr="00544CEA" w:rsidRDefault="00FC078E">
            <w:pPr>
              <w:rPr>
                <w:rFonts w:ascii="宋体" w:eastAsia="宋体" w:hAnsi="宋体" w:hint="eastAsia"/>
              </w:rPr>
            </w:pPr>
            <w:r w:rsidRPr="00544CEA">
              <w:rPr>
                <w:rFonts w:ascii="宋体" w:eastAsia="宋体" w:hAnsi="宋体" w:hint="eastAsia"/>
              </w:rPr>
              <w:t>0</w:t>
            </w:r>
            <w:r w:rsidRPr="00544CEA">
              <w:rPr>
                <w:rFonts w:ascii="宋体" w:eastAsia="宋体" w:hAnsi="宋体"/>
              </w:rPr>
              <w:t>.55</w:t>
            </w:r>
          </w:p>
        </w:tc>
      </w:tr>
      <w:tr w:rsidR="00FC078E" w:rsidRPr="00544CEA" w14:paraId="53AE741E" w14:textId="77777777" w:rsidTr="00FC078E">
        <w:tc>
          <w:tcPr>
            <w:tcW w:w="2765" w:type="dxa"/>
            <w:vMerge/>
          </w:tcPr>
          <w:p w14:paraId="1F1CB7A4" w14:textId="132DA7C6" w:rsidR="00FC078E" w:rsidRPr="00544CEA" w:rsidRDefault="00FC078E">
            <w:pPr>
              <w:rPr>
                <w:rFonts w:ascii="宋体" w:eastAsia="宋体" w:hAnsi="宋体" w:hint="eastAsia"/>
              </w:rPr>
            </w:pPr>
          </w:p>
        </w:tc>
        <w:tc>
          <w:tcPr>
            <w:tcW w:w="2765" w:type="dxa"/>
          </w:tcPr>
          <w:p w14:paraId="2BBDE426" w14:textId="54E67E98" w:rsidR="00FC078E" w:rsidRPr="00544CEA" w:rsidRDefault="00FC078E">
            <w:pPr>
              <w:rPr>
                <w:rFonts w:ascii="宋体" w:eastAsia="宋体" w:hAnsi="宋体" w:hint="eastAsia"/>
              </w:rPr>
            </w:pPr>
            <w:r w:rsidRPr="00544CEA">
              <w:rPr>
                <w:rFonts w:ascii="宋体" w:eastAsia="宋体" w:hAnsi="宋体" w:hint="eastAsia"/>
              </w:rPr>
              <w:t>均方误差</w:t>
            </w:r>
          </w:p>
        </w:tc>
        <w:tc>
          <w:tcPr>
            <w:tcW w:w="2766" w:type="dxa"/>
          </w:tcPr>
          <w:p w14:paraId="2EE649EA" w14:textId="41CD3296" w:rsidR="00FC078E" w:rsidRPr="00544CEA" w:rsidRDefault="00FC078E">
            <w:pPr>
              <w:rPr>
                <w:rFonts w:ascii="宋体" w:eastAsia="宋体" w:hAnsi="宋体" w:hint="eastAsia"/>
              </w:rPr>
            </w:pPr>
            <w:r w:rsidRPr="00544CEA">
              <w:rPr>
                <w:rFonts w:ascii="宋体" w:eastAsia="宋体" w:hAnsi="宋体" w:hint="eastAsia"/>
              </w:rPr>
              <w:t>0</w:t>
            </w:r>
            <w:r w:rsidRPr="00544CEA">
              <w:rPr>
                <w:rFonts w:ascii="宋体" w:eastAsia="宋体" w:hAnsi="宋体"/>
              </w:rPr>
              <w:t>.02</w:t>
            </w:r>
          </w:p>
        </w:tc>
      </w:tr>
      <w:tr w:rsidR="00FC078E" w:rsidRPr="00544CEA" w14:paraId="5A2DE1E4" w14:textId="77777777" w:rsidTr="00FC078E">
        <w:tc>
          <w:tcPr>
            <w:tcW w:w="2765" w:type="dxa"/>
            <w:vMerge/>
          </w:tcPr>
          <w:p w14:paraId="66A98221" w14:textId="77777777" w:rsidR="00FC078E" w:rsidRPr="00544CEA" w:rsidRDefault="00FC078E">
            <w:pPr>
              <w:rPr>
                <w:rFonts w:ascii="宋体" w:eastAsia="宋体" w:hAnsi="宋体" w:hint="eastAsia"/>
              </w:rPr>
            </w:pPr>
          </w:p>
        </w:tc>
        <w:tc>
          <w:tcPr>
            <w:tcW w:w="2765" w:type="dxa"/>
          </w:tcPr>
          <w:p w14:paraId="0FF22706" w14:textId="2381A7AF" w:rsidR="00FC078E" w:rsidRPr="00544CEA" w:rsidRDefault="00FC078E">
            <w:pPr>
              <w:rPr>
                <w:rFonts w:ascii="宋体" w:eastAsia="宋体" w:hAnsi="宋体" w:hint="eastAsia"/>
              </w:rPr>
            </w:pPr>
            <w:r w:rsidRPr="00544CEA">
              <w:rPr>
                <w:rFonts w:ascii="宋体" w:eastAsia="宋体" w:hAnsi="宋体" w:hint="eastAsia"/>
              </w:rPr>
              <w:t>均方根误差</w:t>
            </w:r>
          </w:p>
        </w:tc>
        <w:tc>
          <w:tcPr>
            <w:tcW w:w="2766" w:type="dxa"/>
          </w:tcPr>
          <w:p w14:paraId="57CFCE65" w14:textId="305A56A7" w:rsidR="00FC078E" w:rsidRPr="00544CEA" w:rsidRDefault="00FC078E">
            <w:pPr>
              <w:rPr>
                <w:rFonts w:ascii="宋体" w:eastAsia="宋体" w:hAnsi="宋体" w:hint="eastAsia"/>
              </w:rPr>
            </w:pPr>
            <w:r w:rsidRPr="00544CEA">
              <w:rPr>
                <w:rFonts w:ascii="宋体" w:eastAsia="宋体" w:hAnsi="宋体" w:hint="eastAsia"/>
              </w:rPr>
              <w:t>0</w:t>
            </w:r>
            <w:r w:rsidRPr="00544CEA">
              <w:rPr>
                <w:rFonts w:ascii="宋体" w:eastAsia="宋体" w:hAnsi="宋体"/>
              </w:rPr>
              <w:t>.14</w:t>
            </w:r>
          </w:p>
        </w:tc>
      </w:tr>
      <w:tr w:rsidR="00FC078E" w:rsidRPr="00544CEA" w14:paraId="533E5E60" w14:textId="77777777" w:rsidTr="00FC078E">
        <w:tc>
          <w:tcPr>
            <w:tcW w:w="2765" w:type="dxa"/>
            <w:vMerge/>
          </w:tcPr>
          <w:p w14:paraId="2D3FC291" w14:textId="77777777" w:rsidR="00FC078E" w:rsidRPr="00544CEA" w:rsidRDefault="00FC078E">
            <w:pPr>
              <w:rPr>
                <w:rFonts w:ascii="宋体" w:eastAsia="宋体" w:hAnsi="宋体" w:hint="eastAsia"/>
              </w:rPr>
            </w:pPr>
          </w:p>
        </w:tc>
        <w:tc>
          <w:tcPr>
            <w:tcW w:w="2765" w:type="dxa"/>
          </w:tcPr>
          <w:p w14:paraId="02180D3F" w14:textId="2178488A" w:rsidR="00FC078E" w:rsidRPr="00544CEA" w:rsidRDefault="00FC078E">
            <w:pPr>
              <w:rPr>
                <w:rFonts w:ascii="宋体" w:eastAsia="宋体" w:hAnsi="宋体" w:hint="eastAsia"/>
              </w:rPr>
            </w:pPr>
            <w:r w:rsidRPr="00544CEA">
              <w:rPr>
                <w:rFonts w:ascii="宋体" w:eastAsia="宋体" w:hAnsi="宋体" w:hint="eastAsia"/>
              </w:rPr>
              <w:t>R</w:t>
            </w:r>
            <w:r w:rsidRPr="00544CEA">
              <w:rPr>
                <w:rFonts w:ascii="宋体" w:eastAsia="宋体" w:hAnsi="宋体"/>
                <w:vertAlign w:val="superscript"/>
              </w:rPr>
              <w:t>2</w:t>
            </w:r>
          </w:p>
        </w:tc>
        <w:tc>
          <w:tcPr>
            <w:tcW w:w="2766" w:type="dxa"/>
          </w:tcPr>
          <w:p w14:paraId="6FC0D1D2" w14:textId="42A87651" w:rsidR="00FC078E" w:rsidRPr="00544CEA" w:rsidRDefault="00FC078E">
            <w:pPr>
              <w:rPr>
                <w:rFonts w:ascii="宋体" w:eastAsia="宋体" w:hAnsi="宋体" w:hint="eastAsia"/>
              </w:rPr>
            </w:pPr>
            <w:r w:rsidRPr="00544CEA">
              <w:rPr>
                <w:rFonts w:ascii="宋体" w:eastAsia="宋体" w:hAnsi="宋体" w:hint="eastAsia"/>
              </w:rPr>
              <w:t>0</w:t>
            </w:r>
            <w:r w:rsidRPr="00544CEA">
              <w:rPr>
                <w:rFonts w:ascii="宋体" w:eastAsia="宋体" w:hAnsi="宋体"/>
              </w:rPr>
              <w:t>.3</w:t>
            </w:r>
          </w:p>
        </w:tc>
      </w:tr>
    </w:tbl>
    <w:p w14:paraId="34E0A836" w14:textId="3206564A" w:rsidR="00FC078E" w:rsidRDefault="00544CEA" w:rsidP="00544CEA">
      <w:pPr>
        <w:ind w:firstLineChars="200" w:firstLine="420"/>
        <w:rPr>
          <w:rFonts w:ascii="宋体" w:eastAsia="宋体" w:hAnsi="宋体"/>
        </w:rPr>
      </w:pPr>
      <w:r w:rsidRPr="00544CEA">
        <w:rPr>
          <w:rFonts w:ascii="宋体" w:eastAsia="宋体" w:hAnsi="宋体"/>
        </w:rPr>
        <w:t>从上表可以看出，分值 0.82，</w:t>
      </w:r>
      <w:proofErr w:type="spellStart"/>
      <w:r w:rsidRPr="00544CEA">
        <w:rPr>
          <w:rFonts w:ascii="宋体" w:eastAsia="宋体" w:hAnsi="宋体"/>
        </w:rPr>
        <w:t>svr</w:t>
      </w:r>
      <w:proofErr w:type="spellEnd"/>
      <w:r w:rsidRPr="00544CEA">
        <w:rPr>
          <w:rFonts w:ascii="宋体" w:eastAsia="宋体" w:hAnsi="宋体"/>
        </w:rPr>
        <w:t xml:space="preserve"> 回归模型良好。</w:t>
      </w:r>
    </w:p>
    <w:p w14:paraId="382934B8" w14:textId="566947E9" w:rsidR="005C7D3C" w:rsidRPr="00241ABF" w:rsidRDefault="005C7D3C" w:rsidP="005C7D3C">
      <w:pPr>
        <w:rPr>
          <w:rFonts w:ascii="宋体" w:eastAsia="宋体" w:hAnsi="宋体" w:hint="eastAsia"/>
        </w:rPr>
      </w:pPr>
      <w:r w:rsidRPr="00241ABF">
        <w:rPr>
          <w:rFonts w:ascii="宋体" w:eastAsia="宋体" w:hAnsi="宋体" w:hint="eastAsia"/>
        </w:rPr>
        <w:t>4</w:t>
      </w:r>
      <w:r w:rsidRPr="00241ABF">
        <w:rPr>
          <w:rFonts w:ascii="宋体" w:eastAsia="宋体" w:hAnsi="宋体"/>
        </w:rPr>
        <w:t>.</w:t>
      </w:r>
      <w:r w:rsidRPr="00241ABF">
        <w:rPr>
          <w:rFonts w:ascii="宋体" w:eastAsia="宋体" w:hAnsi="宋体"/>
        </w:rPr>
        <w:t>可视化与平均价格变量高度相关的变量</w:t>
      </w:r>
    </w:p>
    <w:p w14:paraId="483367C0" w14:textId="6BBADD08" w:rsidR="00544CEA" w:rsidRPr="00241ABF" w:rsidRDefault="005C7D3C" w:rsidP="005C7D3C">
      <w:pPr>
        <w:rPr>
          <w:rFonts w:ascii="宋体" w:eastAsia="宋体" w:hAnsi="宋体"/>
        </w:rPr>
      </w:pPr>
      <w:r w:rsidRPr="00241ABF">
        <w:rPr>
          <w:rFonts w:ascii="宋体" w:eastAsia="宋体" w:hAnsi="宋体"/>
          <w:noProof/>
        </w:rPr>
        <w:drawing>
          <wp:inline distT="0" distB="0" distL="0" distR="0" wp14:anchorId="53076C39" wp14:editId="19083A8C">
            <wp:extent cx="5274310" cy="2775585"/>
            <wp:effectExtent l="0" t="0" r="2540" b="5715"/>
            <wp:docPr id="1200008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08850" name=""/>
                    <pic:cNvPicPr/>
                  </pic:nvPicPr>
                  <pic:blipFill>
                    <a:blip r:embed="rId5"/>
                    <a:stretch>
                      <a:fillRect/>
                    </a:stretch>
                  </pic:blipFill>
                  <pic:spPr>
                    <a:xfrm>
                      <a:off x="0" y="0"/>
                      <a:ext cx="5274310" cy="2775585"/>
                    </a:xfrm>
                    <a:prstGeom prst="rect">
                      <a:avLst/>
                    </a:prstGeom>
                  </pic:spPr>
                </pic:pic>
              </a:graphicData>
            </a:graphic>
          </wp:inline>
        </w:drawing>
      </w:r>
    </w:p>
    <w:p w14:paraId="7ABE7A62" w14:textId="07C12453" w:rsidR="005C7D3C" w:rsidRPr="00241ABF" w:rsidRDefault="005C7D3C" w:rsidP="005C7D3C">
      <w:pPr>
        <w:ind w:firstLineChars="200" w:firstLine="420"/>
        <w:rPr>
          <w:rFonts w:ascii="宋体" w:eastAsia="宋体" w:hAnsi="宋体"/>
        </w:rPr>
      </w:pPr>
      <w:r w:rsidRPr="00241ABF">
        <w:rPr>
          <w:rFonts w:ascii="宋体" w:eastAsia="宋体" w:hAnsi="宋体"/>
        </w:rPr>
        <w:t>通过上图可以看出，随着 Small Hass 的增大，平均价格整体</w:t>
      </w:r>
      <w:proofErr w:type="gramStart"/>
      <w:r w:rsidRPr="00241ABF">
        <w:rPr>
          <w:rFonts w:ascii="宋体" w:eastAsia="宋体" w:hAnsi="宋体"/>
        </w:rPr>
        <w:t>成下降</w:t>
      </w:r>
      <w:proofErr w:type="gramEnd"/>
      <w:r w:rsidRPr="00241ABF">
        <w:rPr>
          <w:rFonts w:ascii="宋体" w:eastAsia="宋体" w:hAnsi="宋体"/>
        </w:rPr>
        <w:t>趋势。</w:t>
      </w:r>
    </w:p>
    <w:p w14:paraId="179B365B" w14:textId="63C7F513" w:rsidR="005C7D3C" w:rsidRPr="00241ABF" w:rsidRDefault="005C7D3C" w:rsidP="005C7D3C">
      <w:pPr>
        <w:rPr>
          <w:rFonts w:ascii="宋体" w:eastAsia="宋体" w:hAnsi="宋体"/>
        </w:rPr>
      </w:pPr>
      <w:r w:rsidRPr="00241ABF">
        <w:rPr>
          <w:rFonts w:ascii="宋体" w:eastAsia="宋体" w:hAnsi="宋体"/>
          <w:noProof/>
        </w:rPr>
        <w:lastRenderedPageBreak/>
        <w:drawing>
          <wp:inline distT="0" distB="0" distL="0" distR="0" wp14:anchorId="654A05D7" wp14:editId="4658567A">
            <wp:extent cx="4828309" cy="2508907"/>
            <wp:effectExtent l="0" t="0" r="0" b="5715"/>
            <wp:docPr id="1896362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62069" name=""/>
                    <pic:cNvPicPr/>
                  </pic:nvPicPr>
                  <pic:blipFill>
                    <a:blip r:embed="rId6"/>
                    <a:stretch>
                      <a:fillRect/>
                    </a:stretch>
                  </pic:blipFill>
                  <pic:spPr>
                    <a:xfrm>
                      <a:off x="0" y="0"/>
                      <a:ext cx="4833070" cy="2511381"/>
                    </a:xfrm>
                    <a:prstGeom prst="rect">
                      <a:avLst/>
                    </a:prstGeom>
                  </pic:spPr>
                </pic:pic>
              </a:graphicData>
            </a:graphic>
          </wp:inline>
        </w:drawing>
      </w:r>
    </w:p>
    <w:p w14:paraId="0911C6DA" w14:textId="32F4C7B7" w:rsidR="005C7D3C" w:rsidRPr="00241ABF" w:rsidRDefault="005C7D3C" w:rsidP="005C7D3C">
      <w:pPr>
        <w:ind w:firstLineChars="200" w:firstLine="420"/>
        <w:rPr>
          <w:rFonts w:ascii="宋体" w:eastAsia="宋体" w:hAnsi="宋体"/>
        </w:rPr>
      </w:pPr>
      <w:r w:rsidRPr="00241ABF">
        <w:rPr>
          <w:rFonts w:ascii="宋体" w:eastAsia="宋体" w:hAnsi="宋体" w:hint="eastAsia"/>
        </w:rPr>
        <w:t>通过上图可以看出，随着</w:t>
      </w:r>
      <w:r w:rsidRPr="00241ABF">
        <w:rPr>
          <w:rFonts w:ascii="宋体" w:eastAsia="宋体" w:hAnsi="宋体"/>
        </w:rPr>
        <w:t xml:space="preserve"> Small Bags 的增大，平均价格整体较为平稳。</w:t>
      </w:r>
    </w:p>
    <w:p w14:paraId="739E936A" w14:textId="607AE2EF" w:rsidR="005C7D3C" w:rsidRPr="00241ABF" w:rsidRDefault="005C7D3C" w:rsidP="005C7D3C">
      <w:pPr>
        <w:rPr>
          <w:rFonts w:ascii="宋体" w:eastAsia="宋体" w:hAnsi="宋体"/>
        </w:rPr>
      </w:pPr>
      <w:r w:rsidRPr="00241ABF">
        <w:rPr>
          <w:rFonts w:ascii="宋体" w:eastAsia="宋体" w:hAnsi="宋体"/>
          <w:noProof/>
        </w:rPr>
        <w:drawing>
          <wp:inline distT="0" distB="0" distL="0" distR="0" wp14:anchorId="760B8624" wp14:editId="2437C77A">
            <wp:extent cx="4904509" cy="2582160"/>
            <wp:effectExtent l="0" t="0" r="0" b="8890"/>
            <wp:docPr id="2080477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77497" name=""/>
                    <pic:cNvPicPr/>
                  </pic:nvPicPr>
                  <pic:blipFill>
                    <a:blip r:embed="rId7"/>
                    <a:stretch>
                      <a:fillRect/>
                    </a:stretch>
                  </pic:blipFill>
                  <pic:spPr>
                    <a:xfrm>
                      <a:off x="0" y="0"/>
                      <a:ext cx="4913378" cy="2586829"/>
                    </a:xfrm>
                    <a:prstGeom prst="rect">
                      <a:avLst/>
                    </a:prstGeom>
                  </pic:spPr>
                </pic:pic>
              </a:graphicData>
            </a:graphic>
          </wp:inline>
        </w:drawing>
      </w:r>
    </w:p>
    <w:p w14:paraId="6560CAF5" w14:textId="07A05E53" w:rsidR="005C7D3C" w:rsidRPr="00241ABF" w:rsidRDefault="005C7D3C" w:rsidP="005C7D3C">
      <w:pPr>
        <w:ind w:firstLineChars="200" w:firstLine="420"/>
        <w:rPr>
          <w:rFonts w:ascii="宋体" w:eastAsia="宋体" w:hAnsi="宋体"/>
        </w:rPr>
      </w:pPr>
      <w:r w:rsidRPr="00241ABF">
        <w:rPr>
          <w:rFonts w:ascii="宋体" w:eastAsia="宋体" w:hAnsi="宋体"/>
        </w:rPr>
        <w:t>通过上图可以看出，随着 Large Bags 的增大，平均价格整体较为平稳。</w:t>
      </w:r>
    </w:p>
    <w:p w14:paraId="2E4F4A87" w14:textId="3142EA76" w:rsidR="005C7D3C" w:rsidRPr="00241ABF" w:rsidRDefault="005C7D3C" w:rsidP="005C7D3C">
      <w:pPr>
        <w:rPr>
          <w:rFonts w:ascii="宋体" w:eastAsia="宋体" w:hAnsi="宋体"/>
        </w:rPr>
      </w:pPr>
      <w:r w:rsidRPr="00241ABF">
        <w:rPr>
          <w:rFonts w:ascii="宋体" w:eastAsia="宋体" w:hAnsi="宋体"/>
          <w:noProof/>
        </w:rPr>
        <w:drawing>
          <wp:inline distT="0" distB="0" distL="0" distR="0" wp14:anchorId="26C281A0" wp14:editId="4F8EB858">
            <wp:extent cx="4842164" cy="2376776"/>
            <wp:effectExtent l="0" t="0" r="0" b="5080"/>
            <wp:docPr id="2110781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81647" name=""/>
                    <pic:cNvPicPr/>
                  </pic:nvPicPr>
                  <pic:blipFill>
                    <a:blip r:embed="rId8"/>
                    <a:stretch>
                      <a:fillRect/>
                    </a:stretch>
                  </pic:blipFill>
                  <pic:spPr>
                    <a:xfrm>
                      <a:off x="0" y="0"/>
                      <a:ext cx="4851621" cy="2381418"/>
                    </a:xfrm>
                    <a:prstGeom prst="rect">
                      <a:avLst/>
                    </a:prstGeom>
                  </pic:spPr>
                </pic:pic>
              </a:graphicData>
            </a:graphic>
          </wp:inline>
        </w:drawing>
      </w:r>
    </w:p>
    <w:p w14:paraId="12386552" w14:textId="77777777" w:rsidR="005C7D3C" w:rsidRPr="00241ABF" w:rsidRDefault="005C7D3C" w:rsidP="005C7D3C">
      <w:pPr>
        <w:ind w:firstLineChars="200" w:firstLine="420"/>
        <w:rPr>
          <w:rFonts w:ascii="宋体" w:eastAsia="宋体" w:hAnsi="宋体"/>
        </w:rPr>
      </w:pPr>
      <w:r w:rsidRPr="00241ABF">
        <w:rPr>
          <w:rFonts w:ascii="宋体" w:eastAsia="宋体" w:hAnsi="宋体" w:hint="eastAsia"/>
        </w:rPr>
        <w:t>通过上图可以看出，</w:t>
      </w:r>
      <w:r w:rsidRPr="00241ABF">
        <w:rPr>
          <w:rFonts w:ascii="宋体" w:eastAsia="宋体" w:hAnsi="宋体"/>
        </w:rPr>
        <w:t>organic 类型相较于 Conventional 类型对平均价格影响较</w:t>
      </w:r>
    </w:p>
    <w:p w14:paraId="6F2980D0" w14:textId="77B3344A" w:rsidR="005C7D3C" w:rsidRPr="00241ABF" w:rsidRDefault="005C7D3C" w:rsidP="005C7D3C">
      <w:pPr>
        <w:rPr>
          <w:rFonts w:ascii="宋体" w:eastAsia="宋体" w:hAnsi="宋体"/>
        </w:rPr>
      </w:pPr>
      <w:r w:rsidRPr="00241ABF">
        <w:rPr>
          <w:rFonts w:ascii="宋体" w:eastAsia="宋体" w:hAnsi="宋体" w:hint="eastAsia"/>
        </w:rPr>
        <w:t>小。</w:t>
      </w:r>
    </w:p>
    <w:p w14:paraId="30E9FBC3" w14:textId="418133BB" w:rsidR="005C7D3C" w:rsidRPr="00241ABF" w:rsidRDefault="005C7D3C" w:rsidP="005C7D3C">
      <w:pPr>
        <w:rPr>
          <w:rFonts w:ascii="宋体" w:eastAsia="宋体" w:hAnsi="宋体"/>
        </w:rPr>
      </w:pPr>
      <w:r w:rsidRPr="00241ABF">
        <w:rPr>
          <w:rFonts w:ascii="宋体" w:eastAsia="宋体" w:hAnsi="宋体"/>
          <w:noProof/>
        </w:rPr>
        <w:lastRenderedPageBreak/>
        <w:drawing>
          <wp:inline distT="0" distB="0" distL="0" distR="0" wp14:anchorId="3C702149" wp14:editId="2904CDCC">
            <wp:extent cx="4786745" cy="2466563"/>
            <wp:effectExtent l="0" t="0" r="0" b="0"/>
            <wp:docPr id="1424589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89641" name=""/>
                    <pic:cNvPicPr/>
                  </pic:nvPicPr>
                  <pic:blipFill>
                    <a:blip r:embed="rId9"/>
                    <a:stretch>
                      <a:fillRect/>
                    </a:stretch>
                  </pic:blipFill>
                  <pic:spPr>
                    <a:xfrm>
                      <a:off x="0" y="0"/>
                      <a:ext cx="4799368" cy="2473068"/>
                    </a:xfrm>
                    <a:prstGeom prst="rect">
                      <a:avLst/>
                    </a:prstGeom>
                  </pic:spPr>
                </pic:pic>
              </a:graphicData>
            </a:graphic>
          </wp:inline>
        </w:drawing>
      </w:r>
    </w:p>
    <w:p w14:paraId="14AA58D7" w14:textId="298BB55E" w:rsidR="005C7D3C" w:rsidRPr="00241ABF" w:rsidRDefault="005C7D3C" w:rsidP="005C7D3C">
      <w:pPr>
        <w:ind w:firstLineChars="200" w:firstLine="420"/>
        <w:rPr>
          <w:rFonts w:ascii="宋体" w:eastAsia="宋体" w:hAnsi="宋体"/>
        </w:rPr>
      </w:pPr>
      <w:r w:rsidRPr="00241ABF">
        <w:rPr>
          <w:rFonts w:ascii="宋体" w:eastAsia="宋体" w:hAnsi="宋体"/>
        </w:rPr>
        <w:t>从上图可以看出真实值和预测值波动基本一致，模型拟合效果良好。</w:t>
      </w:r>
    </w:p>
    <w:p w14:paraId="6FB9AD2A" w14:textId="420EC246" w:rsidR="005C7D3C" w:rsidRPr="00241ABF" w:rsidRDefault="005C7D3C" w:rsidP="005C7D3C">
      <w:pPr>
        <w:ind w:firstLineChars="200" w:firstLine="420"/>
        <w:rPr>
          <w:rFonts w:ascii="宋体" w:eastAsia="宋体" w:hAnsi="宋体" w:hint="eastAsia"/>
        </w:rPr>
      </w:pPr>
      <w:r w:rsidRPr="00241ABF">
        <w:rPr>
          <w:rFonts w:ascii="宋体" w:eastAsia="宋体" w:hAnsi="宋体"/>
        </w:rPr>
        <w:t xml:space="preserve">综上所述，本文采用了 </w:t>
      </w:r>
      <w:proofErr w:type="spellStart"/>
      <w:r w:rsidRPr="00241ABF">
        <w:rPr>
          <w:rFonts w:ascii="宋体" w:eastAsia="宋体" w:hAnsi="宋体"/>
        </w:rPr>
        <w:t>svr</w:t>
      </w:r>
      <w:proofErr w:type="spellEnd"/>
      <w:r w:rsidRPr="00241ABF">
        <w:rPr>
          <w:rFonts w:ascii="宋体" w:eastAsia="宋体" w:hAnsi="宋体"/>
        </w:rPr>
        <w:t xml:space="preserve"> 回归模型，最终证明了我们提出的模型效果良好。 可用于实际业务中建模预测</w:t>
      </w:r>
      <w:r w:rsidRPr="00241ABF">
        <w:rPr>
          <w:rFonts w:ascii="宋体" w:eastAsia="宋体" w:hAnsi="宋体" w:hint="eastAsia"/>
        </w:rPr>
        <w:t>。</w:t>
      </w:r>
    </w:p>
    <w:sectPr w:rsidR="005C7D3C" w:rsidRPr="00241A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7E10"/>
    <w:multiLevelType w:val="hybridMultilevel"/>
    <w:tmpl w:val="362A395C"/>
    <w:lvl w:ilvl="0" w:tplc="7CA07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9049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82"/>
    <w:rsid w:val="001C11FB"/>
    <w:rsid w:val="00241ABF"/>
    <w:rsid w:val="004B7C82"/>
    <w:rsid w:val="00544CEA"/>
    <w:rsid w:val="005C7D3C"/>
    <w:rsid w:val="00CE3845"/>
    <w:rsid w:val="00F9611A"/>
    <w:rsid w:val="00FC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03FA"/>
  <w15:chartTrackingRefBased/>
  <w15:docId w15:val="{199A08A8-8F23-49CC-B089-B56D3196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078E"/>
    <w:pPr>
      <w:ind w:firstLineChars="200" w:firstLine="420"/>
    </w:pPr>
  </w:style>
  <w:style w:type="table" w:styleId="a4">
    <w:name w:val="Table Grid"/>
    <w:basedOn w:val="a1"/>
    <w:uiPriority w:val="39"/>
    <w:rsid w:val="00FC0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Ganlin Qin</dc:creator>
  <cp:keywords/>
  <dc:description/>
  <cp:lastModifiedBy>Ganlin Qin</cp:lastModifiedBy>
  <cp:revision>6</cp:revision>
  <dcterms:created xsi:type="dcterms:W3CDTF">2023-06-02T11:29:00Z</dcterms:created>
  <dcterms:modified xsi:type="dcterms:W3CDTF">2023-06-02T11:49:00Z</dcterms:modified>
</cp:coreProperties>
</file>