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4" w:name="footnotes-and-endnotes-test-document"/>
    <w:p>
      <w:pPr>
        <w:pStyle w:val="Heading1"/>
      </w:pPr>
      <w:r>
        <w:t xml:space="preserve">Footnotes and Endnotes Test Document</w:t>
      </w:r>
    </w:p>
    <w:p>
      <w:pPr>
        <w:pStyle w:val="FirstParagraph"/>
      </w:pPr>
      <w:r>
        <w:t xml:space="preserve">This document tests footnote and endnote conversion across formats.</w:t>
      </w:r>
    </w:p>
    <w:bookmarkStart w:id="11" w:name="introduction"/>
    <w:p>
      <w:pPr>
        <w:pStyle w:val="Heading2"/>
      </w:pPr>
      <w:r>
        <w:t xml:space="preserve">Introduction</w:t>
      </w:r>
    </w:p>
    <w:p>
      <w:pPr>
        <w:pStyle w:val="FirstParagraph"/>
      </w:pPr>
      <w:r>
        <w:t xml:space="preserve">Rich text formats like DOCX and ODT support footnotes</w:t>
      </w:r>
      <w:r>
        <w:rPr>
          <w:rStyle w:val="FootnoteReference"/>
        </w:rPr>
        <w:footnoteReference w:id="9"/>
      </w:r>
      <w:r>
        <w:t xml:space="preserve"> </w:t>
      </w:r>
      <w:r>
        <w:t xml:space="preserve">and endnotes</w:t>
      </w:r>
      <w:r>
        <w:rPr>
          <w:rStyle w:val="FootnoteReference"/>
        </w:rPr>
        <w:footnoteReference w:id="10"/>
      </w:r>
      <w:r>
        <w:t xml:space="preserve"> </w:t>
      </w:r>
      <w:r>
        <w:t xml:space="preserve">for academic and professional documents. Footnotes appear at the bottom of the page, while endnotes appear at the end of the document or section.</w:t>
      </w:r>
    </w:p>
    <w:bookmarkEnd w:id="11"/>
    <w:bookmarkStart w:id="14" w:name="text-with-multiple-notes"/>
    <w:p>
      <w:pPr>
        <w:pStyle w:val="Heading2"/>
      </w:pPr>
      <w:r>
        <w:t xml:space="preserve">Text with Multiple Notes</w:t>
      </w:r>
    </w:p>
    <w:p>
      <w:pPr>
        <w:pStyle w:val="FirstParagraph"/>
      </w:pPr>
      <w:r>
        <w:t xml:space="preserve">First paragraph with a footnote reference</w:t>
      </w:r>
      <w:r>
        <w:rPr>
          <w:rStyle w:val="FootnoteReference"/>
        </w:rPr>
        <w:footnoteReference w:id="12"/>
      </w:r>
      <w:r>
        <w:t xml:space="preserve">. This helps validate that footnotes are preserved during format conversion.</w:t>
      </w:r>
    </w:p>
    <w:p>
      <w:pPr>
        <w:pStyle w:val="BodyText"/>
      </w:pPr>
      <w:r>
        <w:t xml:space="preserve">Second paragraph with another footnote</w:t>
      </w:r>
      <w:r>
        <w:rPr>
          <w:rStyle w:val="FootnoteReference"/>
        </w:rPr>
        <w:footnoteReference w:id="13"/>
      </w:r>
      <w:r>
        <w:t xml:space="preserve"> </w:t>
      </w:r>
      <w:r>
        <w:t xml:space="preserve">to test multiple notes in sequence. The converter should maintain the note markers and their corresponding definitions.</w:t>
      </w:r>
    </w:p>
    <w:bookmarkEnd w:id="14"/>
    <w:bookmarkStart w:id="21" w:name="nested-content"/>
    <w:p>
      <w:pPr>
        <w:pStyle w:val="Heading2"/>
      </w:pPr>
      <w:r>
        <w:t xml:space="preserve">Nested Content</w:t>
      </w:r>
    </w:p>
    <w:bookmarkStart w:id="17" w:name="lists-with-footnotes"/>
    <w:p>
      <w:pPr>
        <w:pStyle w:val="Heading3"/>
      </w:pPr>
      <w:r>
        <w:t xml:space="preserve">Lists with Footnotes</w:t>
      </w:r>
    </w:p>
    <w:p>
      <w:pPr>
        <w:pStyle w:val="Compact"/>
        <w:numPr>
          <w:ilvl w:val="0"/>
          <w:numId w:val="1001"/>
        </w:numPr>
      </w:pPr>
      <w:r>
        <w:t xml:space="preserve">List item one with a note</w:t>
      </w:r>
      <w:r>
        <w:rPr>
          <w:rStyle w:val="FootnoteReference"/>
        </w:rPr>
        <w:footnoteReference w:id="15"/>
      </w:r>
    </w:p>
    <w:p>
      <w:pPr>
        <w:pStyle w:val="Compact"/>
        <w:numPr>
          <w:ilvl w:val="0"/>
          <w:numId w:val="1001"/>
        </w:numPr>
      </w:pPr>
      <w:r>
        <w:t xml:space="preserve">List item two without a note</w:t>
      </w:r>
    </w:p>
    <w:p>
      <w:pPr>
        <w:pStyle w:val="Compact"/>
        <w:numPr>
          <w:ilvl w:val="0"/>
          <w:numId w:val="1001"/>
        </w:numPr>
      </w:pPr>
      <w:r>
        <w:t xml:space="preserve">List item three with another note</w:t>
      </w:r>
      <w:r>
        <w:rPr>
          <w:rStyle w:val="FootnoteReference"/>
        </w:rPr>
        <w:footnoteReference w:id="16"/>
      </w:r>
    </w:p>
    <w:bookmarkEnd w:id="17"/>
    <w:bookmarkStart w:id="20" w:name="tables-with-footnotes"/>
    <w:p>
      <w:pPr>
        <w:pStyle w:val="Heading3"/>
      </w:pPr>
      <w:r>
        <w:t xml:space="preserve">Tables with Footnotes</w:t>
      </w:r>
    </w:p>
    <w:tbl>
      <w:tblPr>
        <w:tblStyle w:val="Table"/>
        <w:tblW w:type="auto" w:w="0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</w:pPr>
            <w:r>
              <w:t xml:space="preserve">Column A</w:t>
            </w:r>
          </w:p>
        </w:tc>
        <w:tc>
          <w:tcPr/>
          <w:p>
            <w:pPr>
              <w:pStyle w:val="Compact"/>
            </w:pPr>
            <w:r>
              <w:t xml:space="preserve">Column B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1</w:t>
            </w:r>
            <w:r>
              <w:rPr>
                <w:rStyle w:val="FootnoteReference"/>
              </w:rPr>
              <w:footnoteReference w:id="18"/>
            </w:r>
          </w:p>
        </w:tc>
        <w:tc>
          <w:tcPr/>
          <w:p>
            <w:pPr>
              <w:pStyle w:val="Compact"/>
            </w:pPr>
            <w:r>
              <w:t xml:space="preserve">Value 2</w:t>
            </w:r>
          </w:p>
        </w:tc>
      </w:tr>
      <w:tr>
        <w:tc>
          <w:tcPr/>
          <w:p>
            <w:pPr>
              <w:pStyle w:val="Compact"/>
            </w:pPr>
            <w:r>
              <w:t xml:space="preserve">Value 3</w:t>
            </w:r>
          </w:p>
        </w:tc>
        <w:tc>
          <w:tcPr/>
          <w:p>
            <w:pPr>
              <w:pStyle w:val="Compact"/>
            </w:pPr>
            <w:r>
              <w:t xml:space="preserve">Value 4</w:t>
            </w:r>
            <w:r>
              <w:rPr>
                <w:rStyle w:val="FootnoteReference"/>
              </w:rPr>
              <w:footnoteReference w:id="19"/>
            </w:r>
          </w:p>
        </w:tc>
      </w:tr>
    </w:tbl>
    <w:bookmarkEnd w:id="20"/>
    <w:bookmarkEnd w:id="21"/>
    <w:bookmarkStart w:id="23" w:name="conclusion"/>
    <w:p>
      <w:pPr>
        <w:pStyle w:val="Heading2"/>
      </w:pPr>
      <w:r>
        <w:t xml:space="preserve">Conclusion</w:t>
      </w:r>
    </w:p>
    <w:p>
      <w:pPr>
        <w:pStyle w:val="FirstParagraph"/>
      </w:pPr>
      <w:r>
        <w:t xml:space="preserve">This document contains seven footnotes total, which should be detected and preserved when converting between formats like DOCX, ODT, and Markdown</w:t>
      </w:r>
      <w:r>
        <w:rPr>
          <w:rStyle w:val="FootnoteReference"/>
        </w:rPr>
        <w:footnoteReference w:id="22"/>
      </w:r>
      <w:r>
        <w:t xml:space="preserve">.</w:t>
      </w:r>
    </w:p>
    <w:bookmarkEnd w:id="23"/>
    <w:bookmarkEnd w:id="24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  <w:footnote w:id="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the first footnote, testing basic footnote conversion.</w:t>
      </w:r>
    </w:p>
  </w:footnote>
  <w:footnote w:id="10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This is an endnote example (though Markdown doesn’t distinguish footnotes from endnotes - both use the same syntax).</w:t>
      </w:r>
    </w:p>
  </w:footnote>
  <w:footnote w:id="1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Second footnote with more detailed content. Footnotes can contain</w:t>
      </w:r>
      <w:r>
        <w:t xml:space="preserve"> </w:t>
      </w:r>
      <w:r>
        <w:rPr>
          <w:b/>
          <w:bCs/>
        </w:rPr>
        <w:t xml:space="preserve">bold</w:t>
      </w:r>
      <w:r>
        <w:t xml:space="preserve"> </w:t>
      </w:r>
      <w:r>
        <w:t xml:space="preserve">and</w:t>
      </w:r>
      <w:r>
        <w:t xml:space="preserve"> </w:t>
      </w:r>
      <w:r>
        <w:rPr>
          <w:i/>
          <w:iCs/>
        </w:rPr>
        <w:t xml:space="preserve">italic</w:t>
      </w:r>
      <w:r>
        <w:t xml:space="preserve"> </w:t>
      </w:r>
      <w:r>
        <w:t xml:space="preserve">formatting.</w:t>
      </w:r>
    </w:p>
  </w:footnote>
  <w:footnote w:id="13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Third footnote. Testing sequential numbering across paragraphs.</w:t>
      </w:r>
    </w:p>
  </w:footnote>
  <w:footnote w:id="15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within a list item, testing structural nesting.</w:t>
      </w:r>
    </w:p>
  </w:footnote>
  <w:footnote w:id="16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Another list footnote to ensure multiple notes in lists work.</w:t>
      </w:r>
    </w:p>
  </w:footnote>
  <w:footnote w:id="18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Footnote in a table cell, testing notes in complex structures.</w:t>
      </w:r>
    </w:p>
  </w:footnote>
  <w:footnote w:id="19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Another table footnote in a different cell.</w:t>
      </w:r>
    </w:p>
  </w:footnote>
  <w:footnote w:id="22">
    <w:p>
      <w:pPr>
        <w:pStyle w:val="FootnoteText"/>
      </w:pPr>
      <w:r>
        <w:rPr>
          <w:rStyle w:val="FootnoteReference"/>
        </w:rPr>
        <w:footnoteRef/>
      </w:r>
      <w:r>
        <w:t xml:space="preserve"> </w:t>
      </w:r>
      <w:r>
        <w:t xml:space="preserve">Final footnote in the conclusion.</w:t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2025-12-03T17:01:12Z</dcterms:created>
  <dcterms:modified xsi:type="dcterms:W3CDTF">2025-12-03T17:01:12Z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