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nnual-report-2025"/>
    <w:p>
      <w:pPr>
        <w:pStyle w:val="Heading1"/>
      </w:pPr>
      <w:r>
        <w:t xml:space="preserve">Annual Report 2025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comprehensive report documents performance metrics, key achievements, and strategic recommendations for the fiscal year 2025.</w:t>
      </w:r>
    </w:p>
    <w:p>
      <w:pPr>
        <w:pStyle w:val="BodyText"/>
      </w:pPr>
      <w:r>
        <w:rPr>
          <w:b/>
          <w:bCs/>
        </w:rPr>
        <w:t xml:space="preserve">Key Highlights:</w:t>
      </w:r>
      <w:r>
        <w:t xml:space="preserve"> </w:t>
      </w:r>
      <w:r>
        <w:t xml:space="preserve">- Revenue increased by 23% compared to 2024</w:t>
      </w:r>
      <w:r>
        <w:t xml:space="preserve"> </w:t>
      </w:r>
      <w:r>
        <w:t xml:space="preserve">- Customer satisfaction score reached 4.7/5.0</w:t>
      </w:r>
      <w:r>
        <w:t xml:space="preserve"> </w:t>
      </w:r>
      <w:r>
        <w:t xml:space="preserve">- Market share grew from 12% to 18%</w:t>
      </w:r>
      <w:r>
        <w:t xml:space="preserve"> </w:t>
      </w:r>
      <w:r>
        <w:t xml:space="preserve">- Operational efficiency improved by 15%</w:t>
      </w:r>
    </w:p>
    <w:p>
      <w:r>
        <w:pict>
          <v:rect style="width:0;height:1.5pt" o:hralign="center" o:hrstd="t" o:hr="t"/>
        </w:pict>
      </w:r>
    </w:p>
    <w:bookmarkEnd w:id="9"/>
    <w:bookmarkStart w:id="13" w:name="business-performance"/>
    <w:p>
      <w:pPr>
        <w:pStyle w:val="Heading2"/>
      </w:pPr>
      <w:r>
        <w:t xml:space="preserve">1. Business Performance</w:t>
      </w:r>
    </w:p>
    <w:bookmarkStart w:id="10" w:name="revenue-analysis"/>
    <w:p>
      <w:pPr>
        <w:pStyle w:val="Heading3"/>
      </w:pPr>
      <w:r>
        <w:t xml:space="preserve">1.1 Revenue Analysis</w:t>
      </w:r>
    </w:p>
    <w:p>
      <w:pPr>
        <w:pStyle w:val="FirstParagraph"/>
      </w:pPr>
      <w:r>
        <w:rPr>
          <w:b/>
          <w:bCs/>
        </w:rPr>
        <w:t xml:space="preserve">Q1-Q4 Performance: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 (M)</w:t>
            </w:r>
          </w:p>
        </w:tc>
        <w:tc>
          <w:tcPr/>
          <w:p>
            <w:pPr>
              <w:pStyle w:val="Compact"/>
            </w:pPr>
            <w:r>
              <w:t xml:space="preserve">YoY Growth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2025</w:t>
            </w:r>
          </w:p>
        </w:tc>
        <w:tc>
          <w:tcPr/>
          <w:p>
            <w:pPr>
              <w:pStyle w:val="Compact"/>
            </w:pPr>
            <w:r>
              <w:t xml:space="preserve">$45.2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2025</w:t>
            </w:r>
          </w:p>
        </w:tc>
        <w:tc>
          <w:tcPr/>
          <w:p>
            <w:pPr>
              <w:pStyle w:val="Compact"/>
            </w:pPr>
            <w:r>
              <w:t xml:space="preserve">$52.1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2025</w:t>
            </w:r>
          </w:p>
        </w:tc>
        <w:tc>
          <w:tcPr/>
          <w:p>
            <w:pPr>
              <w:pStyle w:val="Compact"/>
            </w:pPr>
            <w:r>
              <w:t xml:space="preserve">$58.7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2025</w:t>
            </w:r>
          </w:p>
        </w:tc>
        <w:tc>
          <w:tcPr/>
          <w:p>
            <w:pPr>
              <w:pStyle w:val="Compact"/>
            </w:pPr>
            <w:r>
              <w:t xml:space="preserve">$61.4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Year Total: $217.4M (+23% YoY)</w:t>
      </w:r>
    </w:p>
    <w:bookmarkEnd w:id="10"/>
    <w:bookmarkStart w:id="11" w:name="customer-acquisition"/>
    <w:p>
      <w:pPr>
        <w:pStyle w:val="Heading3"/>
      </w:pPr>
      <w:r>
        <w:t xml:space="preserve">1.2 Customer Acquisition</w:t>
      </w:r>
    </w:p>
    <w:p>
      <w:pPr>
        <w:pStyle w:val="FirstParagraph"/>
      </w:pPr>
      <w:r>
        <w:t xml:space="preserve">Customer base expansion across all segments: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Segment</w:t>
      </w:r>
    </w:p>
    <w:p>
      <w:pPr>
        <w:pStyle w:val="Compact"/>
        <w:numPr>
          <w:ilvl w:val="1"/>
          <w:numId w:val="1002"/>
        </w:numPr>
      </w:pPr>
      <w:r>
        <w:t xml:space="preserve">New enterprise clients: 45</w:t>
      </w:r>
    </w:p>
    <w:p>
      <w:pPr>
        <w:pStyle w:val="Compact"/>
        <w:numPr>
          <w:ilvl w:val="1"/>
          <w:numId w:val="1002"/>
        </w:numPr>
      </w:pPr>
      <w:r>
        <w:t xml:space="preserve">Net new ARR: $12.3M</w:t>
      </w:r>
    </w:p>
    <w:p>
      <w:pPr>
        <w:pStyle w:val="Compact"/>
        <w:numPr>
          <w:ilvl w:val="1"/>
          <w:numId w:val="1002"/>
        </w:numPr>
      </w:pPr>
      <w:r>
        <w:t xml:space="preserve">Churn rate: 2.1%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Mid-Market Segment</w:t>
      </w:r>
    </w:p>
    <w:p>
      <w:pPr>
        <w:pStyle w:val="Compact"/>
        <w:numPr>
          <w:ilvl w:val="1"/>
          <w:numId w:val="1003"/>
        </w:numPr>
      </w:pPr>
      <w:r>
        <w:t xml:space="preserve">New customers: 156</w:t>
      </w:r>
    </w:p>
    <w:p>
      <w:pPr>
        <w:pStyle w:val="Compact"/>
        <w:numPr>
          <w:ilvl w:val="1"/>
          <w:numId w:val="1003"/>
        </w:numPr>
      </w:pPr>
      <w:r>
        <w:t xml:space="preserve">Net new ARR: $8.7M</w:t>
      </w:r>
    </w:p>
    <w:p>
      <w:pPr>
        <w:pStyle w:val="Compact"/>
        <w:numPr>
          <w:ilvl w:val="1"/>
          <w:numId w:val="1003"/>
        </w:numPr>
      </w:pPr>
      <w:r>
        <w:t xml:space="preserve">Churn rate: 4.3%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SMB Segment</w:t>
      </w:r>
    </w:p>
    <w:p>
      <w:pPr>
        <w:pStyle w:val="Compact"/>
        <w:numPr>
          <w:ilvl w:val="1"/>
          <w:numId w:val="1004"/>
        </w:numPr>
      </w:pPr>
      <w:r>
        <w:t xml:space="preserve">New customers: 892</w:t>
      </w:r>
    </w:p>
    <w:p>
      <w:pPr>
        <w:pStyle w:val="Compact"/>
        <w:numPr>
          <w:ilvl w:val="1"/>
          <w:numId w:val="1004"/>
        </w:numPr>
      </w:pPr>
      <w:r>
        <w:t xml:space="preserve">Net new ARR: $4.2M</w:t>
      </w:r>
    </w:p>
    <w:p>
      <w:pPr>
        <w:pStyle w:val="Compact"/>
        <w:numPr>
          <w:ilvl w:val="1"/>
          <w:numId w:val="1004"/>
        </w:numPr>
      </w:pPr>
      <w:r>
        <w:t xml:space="preserve">Churn rate: 8.1%</w:t>
      </w:r>
    </w:p>
    <w:bookmarkEnd w:id="11"/>
    <w:bookmarkStart w:id="12" w:name="geographic-expansion"/>
    <w:p>
      <w:pPr>
        <w:pStyle w:val="Heading3"/>
      </w:pPr>
      <w:r>
        <w:t xml:space="preserve">1.3 Geographic Expansion</w:t>
      </w:r>
    </w:p>
    <w:p>
      <w:pPr>
        <w:pStyle w:val="FirstParagraph"/>
      </w:pPr>
      <w:r>
        <w:t xml:space="preserve">Market penetration by region: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+11%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Asia-Pacific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-12%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product-development"/>
    <w:p>
      <w:pPr>
        <w:pStyle w:val="Heading2"/>
      </w:pPr>
      <w:r>
        <w:t xml:space="preserve">2. Product Development</w:t>
      </w:r>
    </w:p>
    <w:bookmarkStart w:id="15" w:name="feature-releases"/>
    <w:p>
      <w:pPr>
        <w:pStyle w:val="Heading3"/>
      </w:pPr>
      <w:r>
        <w:t xml:space="preserve">2.1 Feature Releases</w:t>
      </w:r>
    </w:p>
    <w:bookmarkStart w:id="14" w:name="major-features-launched"/>
    <w:p>
      <w:pPr>
        <w:pStyle w:val="Heading4"/>
      </w:pPr>
      <w:r>
        <w:t xml:space="preserve">Major Features Launched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Advanced Analytics Dashboard</w:t>
      </w:r>
      <w:r>
        <w:t xml:space="preserve"> </w:t>
      </w:r>
      <w:r>
        <w:t xml:space="preserve">(Q2 2025)</w:t>
      </w:r>
    </w:p>
    <w:p>
      <w:pPr>
        <w:pStyle w:val="Compact"/>
        <w:numPr>
          <w:ilvl w:val="1"/>
          <w:numId w:val="1006"/>
        </w:numPr>
      </w:pPr>
      <w:r>
        <w:t xml:space="preserve">Real-time metrics visualization</w:t>
      </w:r>
    </w:p>
    <w:p>
      <w:pPr>
        <w:pStyle w:val="Compact"/>
        <w:numPr>
          <w:ilvl w:val="1"/>
          <w:numId w:val="1006"/>
        </w:numPr>
      </w:pPr>
      <w:r>
        <w:t xml:space="preserve">Custom report builder</w:t>
      </w:r>
    </w:p>
    <w:p>
      <w:pPr>
        <w:pStyle w:val="Compact"/>
        <w:numPr>
          <w:ilvl w:val="1"/>
          <w:numId w:val="1006"/>
        </w:numPr>
      </w:pPr>
      <w:r>
        <w:t xml:space="preserve">Adoption rate: 78%</w:t>
      </w:r>
    </w:p>
    <w:p>
      <w:pPr>
        <w:pStyle w:val="Compact"/>
        <w:numPr>
          <w:ilvl w:val="1"/>
          <w:numId w:val="1006"/>
        </w:numPr>
      </w:pPr>
      <w:r>
        <w:t xml:space="preserve">User satisfaction: 4.8/5.0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AI-Powered Recommendations Engine</w:t>
      </w:r>
      <w:r>
        <w:t xml:space="preserve"> </w:t>
      </w:r>
      <w:r>
        <w:t xml:space="preserve">(Q3 2025)</w:t>
      </w:r>
    </w:p>
    <w:p>
      <w:pPr>
        <w:pStyle w:val="Compact"/>
        <w:numPr>
          <w:ilvl w:val="1"/>
          <w:numId w:val="1007"/>
        </w:numPr>
      </w:pPr>
      <w:r>
        <w:t xml:space="preserve">Machine learning predictions</w:t>
      </w:r>
    </w:p>
    <w:p>
      <w:pPr>
        <w:pStyle w:val="Compact"/>
        <w:numPr>
          <w:ilvl w:val="1"/>
          <w:numId w:val="1007"/>
        </w:numPr>
      </w:pPr>
      <w:r>
        <w:t xml:space="preserve">Personalized user experience</w:t>
      </w:r>
    </w:p>
    <w:p>
      <w:pPr>
        <w:pStyle w:val="Compact"/>
        <w:numPr>
          <w:ilvl w:val="1"/>
          <w:numId w:val="1007"/>
        </w:numPr>
      </w:pPr>
      <w:r>
        <w:t xml:space="preserve">Adoption rate: 61%</w:t>
      </w:r>
    </w:p>
    <w:p>
      <w:pPr>
        <w:pStyle w:val="Compact"/>
        <w:numPr>
          <w:ilvl w:val="1"/>
          <w:numId w:val="1007"/>
        </w:numPr>
      </w:pPr>
      <w:r>
        <w:t xml:space="preserve">Accuracy rate: 92.4%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Enterprise SSO Integration</w:t>
      </w:r>
      <w:r>
        <w:t xml:space="preserve"> </w:t>
      </w:r>
      <w:r>
        <w:t xml:space="preserve">(Q4 2025)</w:t>
      </w:r>
    </w:p>
    <w:p>
      <w:pPr>
        <w:pStyle w:val="Compact"/>
        <w:numPr>
          <w:ilvl w:val="1"/>
          <w:numId w:val="1008"/>
        </w:numPr>
      </w:pPr>
      <w:r>
        <w:t xml:space="preserve">SAML 2.0 support</w:t>
      </w:r>
    </w:p>
    <w:p>
      <w:pPr>
        <w:pStyle w:val="Compact"/>
        <w:numPr>
          <w:ilvl w:val="1"/>
          <w:numId w:val="1008"/>
        </w:numPr>
      </w:pPr>
      <w:r>
        <w:t xml:space="preserve">Multi-tenant architecture</w:t>
      </w:r>
    </w:p>
    <w:p>
      <w:pPr>
        <w:pStyle w:val="Compact"/>
        <w:numPr>
          <w:ilvl w:val="1"/>
          <w:numId w:val="1008"/>
        </w:numPr>
      </w:pPr>
      <w:r>
        <w:t xml:space="preserve">Enterprise feature tier adoption</w:t>
      </w:r>
    </w:p>
    <w:bookmarkEnd w:id="14"/>
    <w:bookmarkEnd w:id="15"/>
    <w:bookmarkStart w:id="16" w:name="technical-infrastructure"/>
    <w:p>
      <w:pPr>
        <w:pStyle w:val="Heading3"/>
      </w:pPr>
      <w:r>
        <w:t xml:space="preserve">2.2 Technical Infrastructure</w:t>
      </w:r>
    </w:p>
    <w:p>
      <w:pPr>
        <w:pStyle w:val="FirstParagraph"/>
      </w:pPr>
      <w:r>
        <w:rPr>
          <w:b/>
          <w:bCs/>
        </w:rPr>
        <w:t xml:space="preserve">System Reliability:</w:t>
      </w:r>
    </w:p>
    <w:p>
      <w:pPr>
        <w:pStyle w:val="Compact"/>
        <w:numPr>
          <w:ilvl w:val="0"/>
          <w:numId w:val="1009"/>
        </w:numPr>
      </w:pPr>
      <w:r>
        <w:t xml:space="preserve">Uptime: 99.97%</w:t>
      </w:r>
    </w:p>
    <w:p>
      <w:pPr>
        <w:pStyle w:val="Compact"/>
        <w:numPr>
          <w:ilvl w:val="0"/>
          <w:numId w:val="1009"/>
        </w:numPr>
      </w:pPr>
      <w:r>
        <w:t xml:space="preserve">Average response time: 142ms</w:t>
      </w:r>
    </w:p>
    <w:p>
      <w:pPr>
        <w:pStyle w:val="Compact"/>
        <w:numPr>
          <w:ilvl w:val="0"/>
          <w:numId w:val="1009"/>
        </w:numPr>
      </w:pPr>
      <w:r>
        <w:t xml:space="preserve">Peak throughput: 50,000 requests/second</w:t>
      </w:r>
    </w:p>
    <w:p>
      <w:pPr>
        <w:pStyle w:val="Compact"/>
        <w:numPr>
          <w:ilvl w:val="0"/>
          <w:numId w:val="1009"/>
        </w:numPr>
      </w:pPr>
      <w:r>
        <w:t xml:space="preserve">Auto-scaling: Fully implemented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team-growth-development"/>
    <w:p>
      <w:pPr>
        <w:pStyle w:val="Heading2"/>
      </w:pPr>
      <w:r>
        <w:t xml:space="preserve">3. Team Growth &amp; Development</w:t>
      </w:r>
    </w:p>
    <w:bookmarkStart w:id="18" w:name="headcount-summary"/>
    <w:p>
      <w:pPr>
        <w:pStyle w:val="Heading3"/>
      </w:pPr>
      <w:r>
        <w:t xml:space="preserve">3.1 Headcount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+38%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+59%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+28%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Headcount: 135 (+41% YoY)</w:t>
      </w:r>
    </w:p>
    <w:bookmarkEnd w:id="18"/>
    <w:bookmarkStart w:id="19" w:name="training-development"/>
    <w:p>
      <w:pPr>
        <w:pStyle w:val="Heading3"/>
      </w:pPr>
      <w:r>
        <w:t xml:space="preserve">3.2 Training &amp; Development</w:t>
      </w:r>
    </w:p>
    <w:p>
      <w:pPr>
        <w:pStyle w:val="FirstParagraph"/>
      </w:pPr>
      <w:r>
        <w:t xml:space="preserve">Employee development initiatives:</w:t>
      </w:r>
    </w:p>
    <w:p>
      <w:pPr>
        <w:pStyle w:val="Compact"/>
        <w:numPr>
          <w:ilvl w:val="0"/>
          <w:numId w:val="1010"/>
        </w:numPr>
      </w:pPr>
      <w:r>
        <w:t xml:space="preserve">Training hours per employee: 24 hours/year</w:t>
      </w:r>
    </w:p>
    <w:p>
      <w:pPr>
        <w:pStyle w:val="Compact"/>
        <w:numPr>
          <w:ilvl w:val="0"/>
          <w:numId w:val="1010"/>
        </w:numPr>
      </w:pPr>
      <w:r>
        <w:t xml:space="preserve">Certification programs: 15</w:t>
      </w:r>
    </w:p>
    <w:p>
      <w:pPr>
        <w:pStyle w:val="Compact"/>
        <w:numPr>
          <w:ilvl w:val="0"/>
          <w:numId w:val="1010"/>
        </w:numPr>
      </w:pPr>
      <w:r>
        <w:t xml:space="preserve">Internal speakers: 8</w:t>
      </w:r>
    </w:p>
    <w:p>
      <w:pPr>
        <w:pStyle w:val="Compact"/>
        <w:numPr>
          <w:ilvl w:val="0"/>
          <w:numId w:val="1010"/>
        </w:numPr>
      </w:pPr>
      <w:r>
        <w:t xml:space="preserve">Conference attendance: 32 events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inancial-health"/>
    <w:p>
      <w:pPr>
        <w:pStyle w:val="Heading2"/>
      </w:pPr>
      <w:r>
        <w:t xml:space="preserve">4. Financial Health</w:t>
      </w:r>
    </w:p>
    <w:bookmarkStart w:id="21" w:name="profitability-analysis"/>
    <w:p>
      <w:pPr>
        <w:pStyle w:val="Heading3"/>
      </w:pPr>
      <w:r>
        <w:t xml:space="preserve">4.1 Profitability Analysis</w:t>
      </w:r>
    </w:p>
    <w:p>
      <w:pPr>
        <w:pStyle w:val="FirstParagraph"/>
      </w:pPr>
      <w:r>
        <w:rPr>
          <w:b/>
          <w:bCs/>
        </w:rPr>
        <w:t xml:space="preserve">Detailed P&amp;L Summary:</w:t>
      </w:r>
    </w:p>
    <w:p>
      <w:pPr>
        <w:pStyle w:val="SourceCode"/>
      </w:pPr>
      <w:r>
        <w:rPr>
          <w:rStyle w:val="VerbatimChar"/>
        </w:rPr>
        <w:t xml:space="preserve">Total Revenue:              $217.4M  (baseline)</w:t>
      </w:r>
      <w:r>
        <w:br/>
      </w:r>
      <w:r>
        <w:rPr>
          <w:rStyle w:val="VerbatimChar"/>
        </w:rPr>
        <w:t xml:space="preserve">Cost of Goods Sold:         $67.2M   (30.9%)</w:t>
      </w:r>
      <w:r>
        <w:br/>
      </w:r>
      <w:r>
        <w:rPr>
          <w:rStyle w:val="VerbatimChar"/>
        </w:rPr>
        <w:t xml:space="preserve">Gross Profit:              $150.2M   (69.1%)</w:t>
      </w:r>
      <w:r>
        <w:br/>
      </w:r>
      <w:r>
        <w:br/>
      </w:r>
      <w:r>
        <w:rPr>
          <w:rStyle w:val="VerbatimChar"/>
        </w:rPr>
        <w:t xml:space="preserve">Operating Expenses:</w:t>
      </w:r>
      <w:r>
        <w:br/>
      </w:r>
      <w:r>
        <w:rPr>
          <w:rStyle w:val="VerbatimChar"/>
        </w:rPr>
        <w:t xml:space="preserve">  - Engineering:            $34.5M</w:t>
      </w:r>
      <w:r>
        <w:br/>
      </w:r>
      <w:r>
        <w:rPr>
          <w:rStyle w:val="VerbatimChar"/>
        </w:rPr>
        <w:t xml:space="preserve">  - Sales &amp; Marketing:      $42.3M</w:t>
      </w:r>
      <w:r>
        <w:br/>
      </w:r>
      <w:r>
        <w:rPr>
          <w:rStyle w:val="VerbatimChar"/>
        </w:rPr>
        <w:t xml:space="preserve">  - General &amp; Admin:        $28.7M</w:t>
      </w:r>
      <w:r>
        <w:br/>
      </w:r>
      <w:r>
        <w:rPr>
          <w:rStyle w:val="VerbatimChar"/>
        </w:rPr>
        <w:t xml:space="preserve">  Total OpEx:              $105.5M</w:t>
      </w:r>
      <w:r>
        <w:br/>
      </w:r>
      <w:r>
        <w:br/>
      </w:r>
      <w:r>
        <w:rPr>
          <w:rStyle w:val="VerbatimChar"/>
        </w:rPr>
        <w:t xml:space="preserve">EBITDA:                     $44.7M   (20.6%)</w:t>
      </w:r>
      <w:r>
        <w:br/>
      </w:r>
      <w:r>
        <w:rPr>
          <w:rStyle w:val="VerbatimChar"/>
        </w:rPr>
        <w:t xml:space="preserve">Depreciation &amp; Amortization: $8.2M</w:t>
      </w:r>
      <w:r>
        <w:br/>
      </w:r>
      <w:r>
        <w:rPr>
          <w:rStyle w:val="VerbatimChar"/>
        </w:rPr>
        <w:t xml:space="preserve">EBIT:                       $36.5M   (16.8%)</w:t>
      </w:r>
    </w:p>
    <w:bookmarkEnd w:id="21"/>
    <w:bookmarkStart w:id="22" w:name="cash-flow"/>
    <w:p>
      <w:pPr>
        <w:pStyle w:val="Heading3"/>
      </w:pPr>
      <w:r>
        <w:t xml:space="preserve">4.2 Cash Flow</w:t>
      </w:r>
    </w:p>
    <w:p>
      <w:pPr>
        <w:pStyle w:val="FirstParagraph"/>
      </w:pPr>
      <w:r>
        <w:t xml:space="preserve">Free cash flow remained healthy:</w:t>
      </w:r>
    </w:p>
    <w:p>
      <w:pPr>
        <w:pStyle w:val="Compact"/>
        <w:numPr>
          <w:ilvl w:val="0"/>
          <w:numId w:val="1011"/>
        </w:numPr>
      </w:pPr>
      <w:r>
        <w:t xml:space="preserve">Operating cash flow: $48.3M</w:t>
      </w:r>
    </w:p>
    <w:p>
      <w:pPr>
        <w:pStyle w:val="Compact"/>
        <w:numPr>
          <w:ilvl w:val="0"/>
          <w:numId w:val="1011"/>
        </w:numPr>
      </w:pPr>
      <w:r>
        <w:t xml:space="preserve">Capital expenditures: $12.1M</w:t>
      </w:r>
    </w:p>
    <w:p>
      <w:pPr>
        <w:pStyle w:val="Compact"/>
        <w:numPr>
          <w:ilvl w:val="0"/>
          <w:numId w:val="1011"/>
        </w:numPr>
      </w:pPr>
      <w:r>
        <w:t xml:space="preserve">Free cash flow: $36.2M</w:t>
      </w:r>
    </w:p>
    <w:p>
      <w:pPr>
        <w:pStyle w:val="Compact"/>
        <w:numPr>
          <w:ilvl w:val="0"/>
          <w:numId w:val="1011"/>
        </w:numPr>
      </w:pPr>
      <w:r>
        <w:t xml:space="preserve">Cash position: $182.4M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trategic-recommendations"/>
    <w:p>
      <w:pPr>
        <w:pStyle w:val="Heading2"/>
      </w:pPr>
      <w:r>
        <w:t xml:space="preserve">5. Strategic Recommendations</w:t>
      </w:r>
    </w:p>
    <w:bookmarkStart w:id="24" w:name="growth-initiatives"/>
    <w:p>
      <w:pPr>
        <w:pStyle w:val="Heading3"/>
      </w:pPr>
      <w:r>
        <w:t xml:space="preserve">5.1 Growth Initiatives</w:t>
      </w:r>
    </w:p>
    <w:p>
      <w:pPr>
        <w:pStyle w:val="FirstParagraph"/>
      </w:pPr>
      <w:r>
        <w:rPr>
          <w:b/>
          <w:bCs/>
        </w:rPr>
        <w:t xml:space="preserve">Priority 1: International Expansion</w:t>
      </w:r>
      <w:r>
        <w:t xml:space="preserve"> </w:t>
      </w:r>
      <w:r>
        <w:t xml:space="preserve">- Increase Asia-Pacific investment</w:t>
      </w:r>
      <w:r>
        <w:t xml:space="preserve"> </w:t>
      </w:r>
      <w:r>
        <w:t xml:space="preserve">- Localization for key markets</w:t>
      </w:r>
      <w:r>
        <w:t xml:space="preserve"> </w:t>
      </w:r>
      <w:r>
        <w:t xml:space="preserve">- Estimated impact: +$15M ARR</w:t>
      </w:r>
    </w:p>
    <w:p>
      <w:pPr>
        <w:pStyle w:val="BodyText"/>
      </w:pPr>
      <w:r>
        <w:rPr>
          <w:b/>
          <w:bCs/>
        </w:rPr>
        <w:t xml:space="preserve">Priority 2: Product Diversification</w:t>
      </w:r>
      <w:r>
        <w:t xml:space="preserve"> </w:t>
      </w:r>
      <w:r>
        <w:t xml:space="preserve">- Launch complementary products</w:t>
      </w:r>
      <w:r>
        <w:t xml:space="preserve"> </w:t>
      </w:r>
      <w:r>
        <w:t xml:space="preserve">- Acquire adjacent market players</w:t>
      </w:r>
      <w:r>
        <w:t xml:space="preserve"> </w:t>
      </w:r>
      <w:r>
        <w:t xml:space="preserve">- Estimated impact: +$8M ARR</w:t>
      </w:r>
    </w:p>
    <w:p>
      <w:pPr>
        <w:pStyle w:val="BodyText"/>
      </w:pPr>
      <w:r>
        <w:rPr>
          <w:b/>
          <w:bCs/>
        </w:rPr>
        <w:t xml:space="preserve">Priority 3: Customer Success</w:t>
      </w:r>
      <w:r>
        <w:t xml:space="preserve"> </w:t>
      </w:r>
      <w:r>
        <w:t xml:space="preserve">- Expand support infrastructure</w:t>
      </w:r>
      <w:r>
        <w:t xml:space="preserve"> </w:t>
      </w:r>
      <w:r>
        <w:t xml:space="preserve">- Reduce churn by 2-3 percentage points</w:t>
      </w:r>
      <w:r>
        <w:t xml:space="preserve"> </w:t>
      </w:r>
      <w:r>
        <w:t xml:space="preserve">- Estimated impact: +$5M ARR</w:t>
      </w:r>
    </w:p>
    <w:bookmarkEnd w:id="24"/>
    <w:bookmarkStart w:id="25" w:name="operational-excellence"/>
    <w:p>
      <w:pPr>
        <w:pStyle w:val="Heading3"/>
      </w:pPr>
      <w:r>
        <w:t xml:space="preserve">5.2 Operational Excellence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Automation</w:t>
      </w:r>
      <w:r>
        <w:t xml:space="preserve">: Reduce manual processes by 40%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Consolidation</w:t>
      </w:r>
      <w:r>
        <w:t xml:space="preserve">: Streamline vendor portfolio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Optimization</w:t>
      </w:r>
      <w:r>
        <w:t xml:space="preserve">: Improve cost structure by 15%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ppendices"/>
    <w:p>
      <w:pPr>
        <w:pStyle w:val="Heading2"/>
      </w:pPr>
      <w:r>
        <w:t xml:space="preserve">6. Appendices</w:t>
      </w:r>
    </w:p>
    <w:bookmarkStart w:id="27" w:name="appendix-a-key-performance-indicators"/>
    <w:p>
      <w:pPr>
        <w:pStyle w:val="Heading3"/>
      </w:pPr>
      <w:r>
        <w:t xml:space="preserve">Appendix A: Key Performance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Retention</w:t>
            </w:r>
          </w:p>
        </w:tc>
        <w:tc>
          <w:tcPr/>
          <w:p>
            <w:pPr>
              <w:pStyle w:val="Compact"/>
            </w:pPr>
            <w:r>
              <w:t xml:space="preserve">110%</w:t>
            </w:r>
          </w:p>
        </w:tc>
        <w:tc>
          <w:tcPr/>
          <w:p>
            <w:pPr>
              <w:pStyle w:val="Compact"/>
            </w:pPr>
            <w:r>
              <w:t xml:space="preserve">112%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</w:pPr>
            <w:r>
              <w:t xml:space="preserve">&lt;2 days</w:t>
            </w:r>
          </w:p>
        </w:tc>
        <w:tc>
          <w:tcPr/>
          <w:p>
            <w:pPr>
              <w:pStyle w:val="Compact"/>
            </w:pPr>
            <w:r>
              <w:t xml:space="preserve">1.3 days</w:t>
            </w:r>
          </w:p>
        </w:tc>
        <w:tc>
          <w:tcPr/>
          <w:p>
            <w:pPr>
              <w:pStyle w:val="Compact"/>
            </w:pPr>
            <w:r>
              <w:t xml:space="preserve">✓ Exceeded</w:t>
            </w:r>
          </w:p>
        </w:tc>
      </w:tr>
    </w:tbl>
    <w:bookmarkEnd w:id="27"/>
    <w:bookmarkStart w:id="28" w:name="appendix-b-risk-assessment"/>
    <w:p>
      <w:pPr>
        <w:pStyle w:val="Heading3"/>
      </w:pPr>
      <w:r>
        <w:t xml:space="preserve">Appendix B: Risk Assessment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Market Risk</w:t>
      </w:r>
      <w:r>
        <w:t xml:space="preserve">: Competitive pressure from new entrants (Medium)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Operational Risk</w:t>
      </w:r>
      <w:r>
        <w:t xml:space="preserve">: Scaling infrastructure (Medium)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Financial Risk</w:t>
      </w:r>
      <w:r>
        <w:t xml:space="preserve">: Foreign currency exposure (Low)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Regulatory Risk</w:t>
      </w:r>
      <w:r>
        <w:t xml:space="preserve">: Data privacy compliance (Medium)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</w:t>
      </w:r>
      <w:r>
        <w:t xml:space="preserve">: Finance &amp; Strategy Team</w:t>
      </w:r>
      <w:r>
        <w:t xml:space="preserve"> </w:t>
      </w:r>
      <w:r>
        <w:rPr>
          <w:b/>
          <w:bCs/>
        </w:rPr>
        <w:t xml:space="preserve">Date</w:t>
      </w:r>
      <w:r>
        <w:t xml:space="preserve">: December 15, 2025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Q1 2026</w:t>
      </w:r>
    </w:p>
    <w:p>
      <w:pPr>
        <w:pStyle w:val="BodyText"/>
      </w:pPr>
      <w:r>
        <w:rPr>
          <w:i/>
          <w:iCs/>
        </w:rPr>
        <w:t xml:space="preserve">This report contains forward-looking statements subject to risks and uncertainties.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2025-12-02T14:49:23Z</dcterms:created>
  <dcterms:modified xsi:type="dcterms:W3CDTF">2025-12-02T14:49:23Z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