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Sirenevaya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Sirenevaya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 xmlns:w14="http://schemas.microsoft.com/office/word/2010/wordml"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Hall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5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5" name="image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6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6" name="image.jp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xmlns:w14="http://schemas.microsoft.com/office/word/2010/wordml"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wefwef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7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7" name="image.jpg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xmlns:w14="http://schemas.microsoft.com/office/word/2010/wordml"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2024-05-01T19:54:53Z</dcterms:modified>
  <dc:creator/>
  <dc:description/>
  <dc:identifier/>
  <dc:language/>
  <dc:subject/>
</cp:coreProperties>
</file>