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78D0" w14:textId="59F1E04F" w:rsidR="00A03BE9" w:rsidRPr="0016669B" w:rsidRDefault="00346F3F">
      <w:pPr>
        <w:rPr>
          <w:b/>
          <w:bCs/>
        </w:rPr>
      </w:pPr>
      <w:r>
        <w:rPr>
          <w:b/>
          <w:bCs/>
        </w:rPr>
        <w:t>Choco Banana</w:t>
      </w:r>
      <w:r w:rsidR="00A03BE9" w:rsidRPr="00A03BE9">
        <w:rPr>
          <w:b/>
          <w:bCs/>
        </w:rPr>
        <w:t xml:space="preserve"> [</w:t>
      </w:r>
      <w:r>
        <w:rPr>
          <w:b/>
          <w:bCs/>
        </w:rPr>
        <w:t>July</w:t>
      </w:r>
      <w:r w:rsidR="00A03BE9" w:rsidRPr="00A03BE9">
        <w:rPr>
          <w:b/>
          <w:bCs/>
        </w:rPr>
        <w:t xml:space="preserve"> 2023 Jane Street Puzzle]</w:t>
      </w:r>
    </w:p>
    <w:p w14:paraId="38E6CEFE" w14:textId="243AC63E" w:rsidR="00A03BE9" w:rsidRDefault="00A03BE9">
      <w:r>
        <w:t xml:space="preserve">Problem: </w:t>
      </w:r>
      <w:hyperlink r:id="rId7" w:history="1">
        <w:r w:rsidR="00676598" w:rsidRPr="00525AB3">
          <w:rPr>
            <w:rStyle w:val="Hyperlink"/>
          </w:rPr>
          <w:t>https://www.janestreet.com/puzzles/choco-banana-index/</w:t>
        </w:r>
      </w:hyperlink>
      <w:r w:rsidR="00676598">
        <w:t xml:space="preserve"> </w:t>
      </w:r>
      <w:r w:rsidR="00F72E67">
        <w:t>(credit to Jane Street)</w:t>
      </w:r>
    </w:p>
    <w:p w14:paraId="3EFD248D" w14:textId="77777777" w:rsidR="0016669B" w:rsidRDefault="0016669B" w:rsidP="0016669B">
      <w:r>
        <w:t>Solution by Nicholas Patel</w:t>
      </w:r>
    </w:p>
    <w:p w14:paraId="2326DF20" w14:textId="3A597A44" w:rsidR="00346F3F" w:rsidRDefault="00346F3F" w:rsidP="00676598"/>
    <w:p w14:paraId="6C7F2DB7" w14:textId="06CA5664" w:rsidR="00346F3F" w:rsidRDefault="00346F3F">
      <w:r>
        <w:t>We first note the following properties:</w:t>
      </w:r>
    </w:p>
    <w:p w14:paraId="2B0BEDDD" w14:textId="65D84EB4" w:rsidR="00346F3F" w:rsidRDefault="00346F3F" w:rsidP="00346F3F">
      <w:pPr>
        <w:pStyle w:val="ListParagraph"/>
        <w:numPr>
          <w:ilvl w:val="0"/>
          <w:numId w:val="4"/>
        </w:numPr>
      </w:pPr>
      <w:r>
        <w:t>A 1 can only be in the region containing itself, therefore this region is a rectangle and the 1 must be shaded.</w:t>
      </w:r>
    </w:p>
    <w:p w14:paraId="6B6017DD" w14:textId="116CBED4" w:rsidR="00346F3F" w:rsidRDefault="00346F3F" w:rsidP="00346F3F">
      <w:pPr>
        <w:pStyle w:val="ListParagraph"/>
        <w:numPr>
          <w:ilvl w:val="0"/>
          <w:numId w:val="4"/>
        </w:numPr>
      </w:pPr>
      <w:r>
        <w:t xml:space="preserve">If a prime number p is in a shaded region, that </w:t>
      </w:r>
      <w:r w:rsidR="00DC3FE0">
        <w:t xml:space="preserve">rectangular </w:t>
      </w:r>
      <w:r>
        <w:t>region must have shape 1xp or px1</w:t>
      </w:r>
      <w:r w:rsidR="00DC3FE0">
        <w:t xml:space="preserve">. More generally, the dimensions of a shaded region containing any number must be factors of that number (which multiply to that number). </w:t>
      </w:r>
    </w:p>
    <w:p w14:paraId="68FF3276" w14:textId="55EC507A" w:rsidR="00346F3F" w:rsidRDefault="00346F3F" w:rsidP="00346F3F">
      <w:pPr>
        <w:pStyle w:val="ListParagraph"/>
        <w:numPr>
          <w:ilvl w:val="0"/>
          <w:numId w:val="4"/>
        </w:numPr>
      </w:pPr>
      <w:r>
        <w:t>At most one distinct number can be in each region (shaded or unshaded), else there is a contradiction.</w:t>
      </w:r>
    </w:p>
    <w:p w14:paraId="7261748E" w14:textId="569AA0E6" w:rsidR="00346F3F" w:rsidRDefault="00346F3F" w:rsidP="00346F3F">
      <w:pPr>
        <w:pStyle w:val="ListParagraph"/>
        <w:numPr>
          <w:ilvl w:val="0"/>
          <w:numId w:val="4"/>
        </w:numPr>
      </w:pPr>
      <w:r>
        <w:t xml:space="preserve">Define a solution as an assignment of shades to the grid, which may or may not be feasible. </w:t>
      </w:r>
    </w:p>
    <w:p w14:paraId="3AA3E09F" w14:textId="6B2609F5" w:rsidR="00346F3F" w:rsidRDefault="00346F3F" w:rsidP="00346F3F">
      <w:pPr>
        <w:pStyle w:val="ListParagraph"/>
        <w:numPr>
          <w:ilvl w:val="0"/>
          <w:numId w:val="4"/>
        </w:numPr>
      </w:pPr>
      <w:r>
        <w:t xml:space="preserve">The borders of all distinct </w:t>
      </w:r>
      <w:r w:rsidR="009E0774">
        <w:t xml:space="preserve">shaded </w:t>
      </w:r>
      <w:r>
        <w:t>regions in any solution are ‘separated’, else, for example, two regions would be one (merged) region rather than two. Define the edge cells of a region as the subset of cells in the region which share a vertex with a cell not in the region. Then, 4-directionally connected cells of the edge cells which aren’t in the region must be the opposite shade. For example:</w:t>
      </w:r>
    </w:p>
    <w:p w14:paraId="45C627D3" w14:textId="77777777" w:rsidR="00346F3F" w:rsidRDefault="00346F3F" w:rsidP="00346F3F">
      <w:pPr>
        <w:pStyle w:val="ListParagraph"/>
      </w:pPr>
    </w:p>
    <w:tbl>
      <w:tblPr>
        <w:tblStyle w:val="TableGrid"/>
        <w:tblW w:w="0" w:type="auto"/>
        <w:tblInd w:w="1544" w:type="dxa"/>
        <w:tblLook w:val="04A0" w:firstRow="1" w:lastRow="0" w:firstColumn="1" w:lastColumn="0" w:noHBand="0" w:noVBand="1"/>
      </w:tblPr>
      <w:tblGrid>
        <w:gridCol w:w="1185"/>
        <w:gridCol w:w="1184"/>
        <w:gridCol w:w="1184"/>
        <w:gridCol w:w="1184"/>
        <w:gridCol w:w="1184"/>
      </w:tblGrid>
      <w:tr w:rsidR="00346F3F" w14:paraId="1E56DDCB" w14:textId="77777777" w:rsidTr="00617790">
        <w:tc>
          <w:tcPr>
            <w:tcW w:w="1185" w:type="dxa"/>
          </w:tcPr>
          <w:p w14:paraId="7BF74132" w14:textId="09002B98" w:rsidR="00346F3F" w:rsidRDefault="00346F3F" w:rsidP="00346F3F">
            <w:r>
              <w:t>E</w:t>
            </w:r>
          </w:p>
        </w:tc>
        <w:tc>
          <w:tcPr>
            <w:tcW w:w="1184" w:type="dxa"/>
          </w:tcPr>
          <w:p w14:paraId="578D1D17" w14:textId="6BB0CD3A" w:rsidR="00346F3F" w:rsidRDefault="00346F3F" w:rsidP="00346F3F">
            <w:r>
              <w:t>U</w:t>
            </w:r>
          </w:p>
        </w:tc>
        <w:tc>
          <w:tcPr>
            <w:tcW w:w="1184" w:type="dxa"/>
          </w:tcPr>
          <w:p w14:paraId="5BA1D3FF" w14:textId="78BE204E" w:rsidR="00346F3F" w:rsidRDefault="00346F3F" w:rsidP="00346F3F">
            <w:r>
              <w:t>U</w:t>
            </w:r>
          </w:p>
        </w:tc>
        <w:tc>
          <w:tcPr>
            <w:tcW w:w="1184" w:type="dxa"/>
          </w:tcPr>
          <w:p w14:paraId="6A4EB2E7" w14:textId="30EA4274" w:rsidR="00346F3F" w:rsidRDefault="00346F3F" w:rsidP="00346F3F">
            <w:r>
              <w:t>U</w:t>
            </w:r>
          </w:p>
        </w:tc>
        <w:tc>
          <w:tcPr>
            <w:tcW w:w="1184" w:type="dxa"/>
            <w:shd w:val="clear" w:color="auto" w:fill="000000" w:themeFill="text1"/>
          </w:tcPr>
          <w:p w14:paraId="68323CE1" w14:textId="3222C1A8" w:rsidR="00346F3F" w:rsidRDefault="00346F3F" w:rsidP="00346F3F"/>
        </w:tc>
      </w:tr>
      <w:tr w:rsidR="00346F3F" w14:paraId="299BC114" w14:textId="77777777" w:rsidTr="00617790">
        <w:tc>
          <w:tcPr>
            <w:tcW w:w="1185" w:type="dxa"/>
          </w:tcPr>
          <w:p w14:paraId="058777A9" w14:textId="70C497A6" w:rsidR="00346F3F" w:rsidRDefault="00346F3F" w:rsidP="00346F3F">
            <w:r>
              <w:t>U</w:t>
            </w:r>
          </w:p>
        </w:tc>
        <w:tc>
          <w:tcPr>
            <w:tcW w:w="1184" w:type="dxa"/>
            <w:shd w:val="clear" w:color="auto" w:fill="000000" w:themeFill="text1"/>
          </w:tcPr>
          <w:p w14:paraId="390649BD" w14:textId="77777777" w:rsidR="00346F3F" w:rsidRDefault="00346F3F" w:rsidP="00346F3F"/>
        </w:tc>
        <w:tc>
          <w:tcPr>
            <w:tcW w:w="1184" w:type="dxa"/>
            <w:shd w:val="clear" w:color="auto" w:fill="000000" w:themeFill="text1"/>
          </w:tcPr>
          <w:p w14:paraId="4147AC1B" w14:textId="77777777" w:rsidR="00346F3F" w:rsidRDefault="00346F3F" w:rsidP="00346F3F"/>
        </w:tc>
        <w:tc>
          <w:tcPr>
            <w:tcW w:w="1184" w:type="dxa"/>
            <w:shd w:val="clear" w:color="auto" w:fill="auto"/>
          </w:tcPr>
          <w:p w14:paraId="75A2567B" w14:textId="29DF2411" w:rsidR="00346F3F" w:rsidRDefault="00617790" w:rsidP="00346F3F">
            <w:r>
              <w:t>U</w:t>
            </w:r>
          </w:p>
        </w:tc>
        <w:tc>
          <w:tcPr>
            <w:tcW w:w="1184" w:type="dxa"/>
            <w:shd w:val="clear" w:color="auto" w:fill="000000" w:themeFill="text1"/>
          </w:tcPr>
          <w:p w14:paraId="6FDCA23E" w14:textId="7A6C187A" w:rsidR="00346F3F" w:rsidRDefault="00346F3F" w:rsidP="00346F3F"/>
        </w:tc>
      </w:tr>
      <w:tr w:rsidR="00346F3F" w14:paraId="56039820" w14:textId="77777777" w:rsidTr="00617790">
        <w:tc>
          <w:tcPr>
            <w:tcW w:w="1185" w:type="dxa"/>
          </w:tcPr>
          <w:p w14:paraId="574AEC96" w14:textId="40FAAC4D" w:rsidR="00346F3F" w:rsidRDefault="00346F3F" w:rsidP="00346F3F">
            <w:r>
              <w:t>U</w:t>
            </w:r>
          </w:p>
        </w:tc>
        <w:tc>
          <w:tcPr>
            <w:tcW w:w="1184" w:type="dxa"/>
            <w:shd w:val="clear" w:color="auto" w:fill="000000" w:themeFill="text1"/>
          </w:tcPr>
          <w:p w14:paraId="70632BE7" w14:textId="77777777" w:rsidR="00346F3F" w:rsidRDefault="00346F3F" w:rsidP="00346F3F"/>
        </w:tc>
        <w:tc>
          <w:tcPr>
            <w:tcW w:w="1184" w:type="dxa"/>
            <w:shd w:val="clear" w:color="auto" w:fill="000000" w:themeFill="text1"/>
          </w:tcPr>
          <w:p w14:paraId="27982EF6" w14:textId="77777777" w:rsidR="00346F3F" w:rsidRDefault="00346F3F" w:rsidP="00346F3F"/>
        </w:tc>
        <w:tc>
          <w:tcPr>
            <w:tcW w:w="1184" w:type="dxa"/>
            <w:shd w:val="clear" w:color="auto" w:fill="auto"/>
          </w:tcPr>
          <w:p w14:paraId="144E5887" w14:textId="7077699A" w:rsidR="00346F3F" w:rsidRDefault="00617790" w:rsidP="00346F3F">
            <w:r>
              <w:t>U</w:t>
            </w:r>
          </w:p>
        </w:tc>
        <w:tc>
          <w:tcPr>
            <w:tcW w:w="1184" w:type="dxa"/>
            <w:shd w:val="clear" w:color="auto" w:fill="000000" w:themeFill="text1"/>
          </w:tcPr>
          <w:p w14:paraId="1CA6FF9F" w14:textId="1FF40758" w:rsidR="00346F3F" w:rsidRDefault="00346F3F" w:rsidP="00346F3F"/>
        </w:tc>
      </w:tr>
      <w:tr w:rsidR="00346F3F" w14:paraId="318335DE" w14:textId="77777777" w:rsidTr="00346F3F">
        <w:tc>
          <w:tcPr>
            <w:tcW w:w="1185" w:type="dxa"/>
          </w:tcPr>
          <w:p w14:paraId="62EFD8F7" w14:textId="0ABA547C" w:rsidR="00346F3F" w:rsidRDefault="00346F3F" w:rsidP="00346F3F">
            <w:r>
              <w:t>E</w:t>
            </w:r>
          </w:p>
        </w:tc>
        <w:tc>
          <w:tcPr>
            <w:tcW w:w="1184" w:type="dxa"/>
          </w:tcPr>
          <w:p w14:paraId="266377AA" w14:textId="26042832" w:rsidR="00346F3F" w:rsidRDefault="00346F3F" w:rsidP="00346F3F">
            <w:r>
              <w:t>U</w:t>
            </w:r>
          </w:p>
        </w:tc>
        <w:tc>
          <w:tcPr>
            <w:tcW w:w="1184" w:type="dxa"/>
          </w:tcPr>
          <w:p w14:paraId="50F278DE" w14:textId="0886C7A8" w:rsidR="00346F3F" w:rsidRDefault="00346F3F" w:rsidP="00346F3F">
            <w:r>
              <w:t>U</w:t>
            </w:r>
          </w:p>
        </w:tc>
        <w:tc>
          <w:tcPr>
            <w:tcW w:w="1184" w:type="dxa"/>
          </w:tcPr>
          <w:p w14:paraId="0113BAC3" w14:textId="1F77B809" w:rsidR="00346F3F" w:rsidRDefault="00617790" w:rsidP="00346F3F">
            <w:r>
              <w:t>E</w:t>
            </w:r>
          </w:p>
        </w:tc>
        <w:tc>
          <w:tcPr>
            <w:tcW w:w="1184" w:type="dxa"/>
          </w:tcPr>
          <w:p w14:paraId="6CF083B5" w14:textId="284994D3" w:rsidR="00346F3F" w:rsidRDefault="00617790" w:rsidP="00346F3F">
            <w:pPr>
              <w:tabs>
                <w:tab w:val="left" w:pos="769"/>
              </w:tabs>
            </w:pPr>
            <w:r>
              <w:t>U</w:t>
            </w:r>
          </w:p>
        </w:tc>
      </w:tr>
    </w:tbl>
    <w:p w14:paraId="398D1167" w14:textId="77777777" w:rsidR="00346F3F" w:rsidRDefault="00346F3F" w:rsidP="00346F3F">
      <w:pPr>
        <w:ind w:left="720"/>
      </w:pPr>
    </w:p>
    <w:p w14:paraId="16B7DF52" w14:textId="021EC051" w:rsidR="00346F3F" w:rsidRDefault="00346F3F" w:rsidP="00346F3F">
      <w:pPr>
        <w:ind w:left="720"/>
      </w:pPr>
      <w:r>
        <w:tab/>
        <w:t>U = must be unshaded, E = could be either</w:t>
      </w:r>
    </w:p>
    <w:p w14:paraId="70DC1D8A" w14:textId="3B012119" w:rsidR="00096E2D" w:rsidRDefault="00096E2D" w:rsidP="00C4313C">
      <w:r>
        <w:tab/>
      </w:r>
    </w:p>
    <w:p w14:paraId="176EC49D" w14:textId="5341E99B" w:rsidR="00C4313C" w:rsidRDefault="00096E2D" w:rsidP="00096E2D">
      <w:pPr>
        <w:ind w:left="720"/>
      </w:pPr>
      <w:r>
        <w:t>A</w:t>
      </w:r>
      <w:r w:rsidR="00E74B16">
        <w:t xml:space="preserve">n example </w:t>
      </w:r>
      <w:r>
        <w:t xml:space="preserve">case of this is that two adjacent cells with different numbers must be </w:t>
      </w:r>
      <w:r w:rsidR="0077297D">
        <w:t xml:space="preserve">in different components/regions and with </w:t>
      </w:r>
      <w:r>
        <w:t>different shades</w:t>
      </w:r>
      <w:r w:rsidR="0077297D">
        <w:t>.</w:t>
      </w:r>
    </w:p>
    <w:p w14:paraId="5FF89FA2" w14:textId="11C2D3A5" w:rsidR="007157B4" w:rsidRDefault="007157B4" w:rsidP="007157B4">
      <w:pPr>
        <w:pStyle w:val="ListParagraph"/>
        <w:numPr>
          <w:ilvl w:val="0"/>
          <w:numId w:val="4"/>
        </w:numPr>
      </w:pPr>
      <w:r>
        <w:t>The placement of numbers is completely symmetrical, about both the middle vertical line and the middle horizontal line, although I’m not sure how this information could be used to solve the problem more efficiently</w:t>
      </w:r>
      <w:r w:rsidR="00B67B14">
        <w:t xml:space="preserve"> (if at all). </w:t>
      </w:r>
    </w:p>
    <w:p w14:paraId="44853BBD" w14:textId="2DA08EB7" w:rsidR="00C4313C" w:rsidRDefault="00C4313C" w:rsidP="00C4313C"/>
    <w:p w14:paraId="0D7B16A0" w14:textId="2B414EE4" w:rsidR="003F6DA1" w:rsidRDefault="00EB5856" w:rsidP="00C4313C">
      <w:r>
        <w:t>Manually, I st</w:t>
      </w:r>
      <w:r w:rsidR="003F6DA1">
        <w:t xml:space="preserve">arted at the bottom right corner </w:t>
      </w:r>
      <w:r w:rsidR="00102114">
        <w:t xml:space="preserve">(with the 1, 7, 8 block) </w:t>
      </w:r>
      <w:r w:rsidR="003F6DA1">
        <w:t>and ‘</w:t>
      </w:r>
      <w:r w:rsidR="00B66D57">
        <w:t>propagated</w:t>
      </w:r>
      <w:r w:rsidR="003F6DA1">
        <w:t xml:space="preserve">’ the </w:t>
      </w:r>
      <w:r w:rsidR="00B66D57">
        <w:t>solution</w:t>
      </w:r>
      <w:r w:rsidR="003F6DA1">
        <w:t xml:space="preserve"> outwards. </w:t>
      </w:r>
      <w:r w:rsidR="00FB6B46">
        <w:t xml:space="preserve">When I couldn’t get further, I then </w:t>
      </w:r>
      <w:r w:rsidR="00C21724">
        <w:t>continued from</w:t>
      </w:r>
      <w:r w:rsidR="00FB6B46">
        <w:t xml:space="preserve"> the middle</w:t>
      </w:r>
      <w:r w:rsidR="00091ABE">
        <w:t xml:space="preserve"> </w:t>
      </w:r>
      <w:r w:rsidR="00102114">
        <w:t xml:space="preserve">(3,4,5,6) </w:t>
      </w:r>
      <w:r w:rsidR="00091ABE">
        <w:t>block</w:t>
      </w:r>
      <w:r w:rsidR="00FB6B46">
        <w:t xml:space="preserve">. </w:t>
      </w:r>
    </w:p>
    <w:p w14:paraId="3E028C2C" w14:textId="09B94EE7" w:rsidR="00EB5856" w:rsidRDefault="00EB5856" w:rsidP="00C4313C">
      <w:r>
        <w:rPr>
          <w:noProof/>
        </w:rPr>
        <w:drawing>
          <wp:anchor distT="0" distB="0" distL="114300" distR="114300" simplePos="0" relativeHeight="251658240" behindDoc="0" locked="0" layoutInCell="1" allowOverlap="1" wp14:anchorId="2CF8DC02" wp14:editId="1D3D21C9">
            <wp:simplePos x="0" y="0"/>
            <wp:positionH relativeFrom="column">
              <wp:posOffset>121698</wp:posOffset>
            </wp:positionH>
            <wp:positionV relativeFrom="paragraph">
              <wp:posOffset>332075</wp:posOffset>
            </wp:positionV>
            <wp:extent cx="5727700" cy="1951355"/>
            <wp:effectExtent l="0" t="0" r="0" b="4445"/>
            <wp:wrapSquare wrapText="bothSides"/>
            <wp:docPr id="4535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2825" name="Picture 45352825"/>
                    <pic:cNvPicPr/>
                  </pic:nvPicPr>
                  <pic:blipFill>
                    <a:blip r:embed="rId8">
                      <a:extLst>
                        <a:ext uri="{28A0092B-C50C-407E-A947-70E740481C1C}">
                          <a14:useLocalDpi xmlns:a14="http://schemas.microsoft.com/office/drawing/2010/main" val="0"/>
                        </a:ext>
                      </a:extLst>
                    </a:blip>
                    <a:stretch>
                      <a:fillRect/>
                    </a:stretch>
                  </pic:blipFill>
                  <pic:spPr>
                    <a:xfrm>
                      <a:off x="0" y="0"/>
                      <a:ext cx="5727700" cy="1951355"/>
                    </a:xfrm>
                    <a:prstGeom prst="rect">
                      <a:avLst/>
                    </a:prstGeom>
                  </pic:spPr>
                </pic:pic>
              </a:graphicData>
            </a:graphic>
            <wp14:sizeRelH relativeFrom="page">
              <wp14:pctWidth>0</wp14:pctWidth>
            </wp14:sizeRelH>
            <wp14:sizeRelV relativeFrom="page">
              <wp14:pctHeight>0</wp14:pctHeight>
            </wp14:sizeRelV>
          </wp:anchor>
        </w:drawing>
      </w:r>
      <w:r>
        <w:t>The solution fell into place without too much ‘forward thinking’ needed, as follows:</w:t>
      </w:r>
    </w:p>
    <w:p w14:paraId="0E0480F8" w14:textId="77777777" w:rsidR="00EB5856" w:rsidRDefault="00EB5856" w:rsidP="00C4313C"/>
    <w:p w14:paraId="3A60B5D2" w14:textId="77777777" w:rsidR="00EB5856" w:rsidRDefault="00EB5856" w:rsidP="00C4313C"/>
    <w:p w14:paraId="521AEADD" w14:textId="77777777" w:rsidR="00EB5856" w:rsidRDefault="00EB5856" w:rsidP="00C4313C"/>
    <w:p w14:paraId="37F460C2" w14:textId="77777777" w:rsidR="00EB5856" w:rsidRDefault="00EB5856" w:rsidP="00C4313C"/>
    <w:p w14:paraId="292FB2B9" w14:textId="77777777" w:rsidR="00EB5856" w:rsidRDefault="00EB5856" w:rsidP="00C4313C"/>
    <w:p w14:paraId="59020C76" w14:textId="77777777" w:rsidR="00EB5856" w:rsidRDefault="00EB5856" w:rsidP="00C4313C"/>
    <w:p w14:paraId="59C6A451" w14:textId="77777777" w:rsidR="00EB5856" w:rsidRDefault="00EB5856" w:rsidP="00C4313C"/>
    <w:p w14:paraId="2B924F0C" w14:textId="77777777" w:rsidR="00EB5856" w:rsidRDefault="00EB5856" w:rsidP="00C4313C"/>
    <w:p w14:paraId="4241849F" w14:textId="77777777" w:rsidR="00EB5856" w:rsidRDefault="00EB5856" w:rsidP="00C4313C"/>
    <w:p w14:paraId="4737B791" w14:textId="77777777" w:rsidR="00EB5856" w:rsidRDefault="00EB5856" w:rsidP="00C4313C"/>
    <w:p w14:paraId="30C0F2C3" w14:textId="77777777" w:rsidR="00EB5856" w:rsidRDefault="00EB5856" w:rsidP="00C4313C"/>
    <w:p w14:paraId="7D6951BA" w14:textId="77777777" w:rsidR="00EB5856" w:rsidRDefault="00EB5856" w:rsidP="00C4313C"/>
    <w:p w14:paraId="332D8792" w14:textId="6D16D905" w:rsidR="00EB5856" w:rsidRDefault="00EB5856" w:rsidP="00C4313C">
      <w:r>
        <w:t>Hence</w:t>
      </w:r>
      <w:r w:rsidR="007C3D64">
        <w:t>:</w:t>
      </w:r>
      <w:r>
        <w:t xml:space="preserve"> </w:t>
      </w:r>
    </w:p>
    <w:p w14:paraId="7190F389" w14:textId="06F3ACE4" w:rsidR="00EB5856" w:rsidRPr="005D4647" w:rsidRDefault="00EB5856" w:rsidP="00C4313C">
      <w:pPr>
        <w:rPr>
          <w:b/>
          <w:bCs/>
        </w:rPr>
      </w:pPr>
      <w:r>
        <w:t xml:space="preserve">Answer = </w:t>
      </w:r>
      <w:r w:rsidR="007C3D64">
        <w:t>15 x 6 x 1</w:t>
      </w:r>
      <w:r w:rsidR="005D4647">
        <w:t>2</w:t>
      </w:r>
      <w:r w:rsidR="007C3D64">
        <w:t xml:space="preserve"> x </w:t>
      </w:r>
      <w:r w:rsidR="005D4647">
        <w:t>9</w:t>
      </w:r>
      <w:r w:rsidR="007C3D64">
        <w:t xml:space="preserve"> x 1</w:t>
      </w:r>
      <w:r w:rsidR="005D4647">
        <w:t>1</w:t>
      </w:r>
      <w:r w:rsidR="007C3D64">
        <w:t xml:space="preserve"> x 1</w:t>
      </w:r>
      <w:r w:rsidR="005D4647">
        <w:t>2</w:t>
      </w:r>
      <w:r w:rsidR="007C3D64">
        <w:t xml:space="preserve"> x 11 x 7 x 8 x 16 x 8 x 8 = </w:t>
      </w:r>
      <w:r w:rsidR="005D4647" w:rsidRPr="005D4647">
        <w:rPr>
          <w:b/>
          <w:bCs/>
        </w:rPr>
        <w:t>809,321,103,360</w:t>
      </w:r>
    </w:p>
    <w:sectPr w:rsidR="00EB5856" w:rsidRPr="005D4647" w:rsidSect="00EB5856">
      <w:pgSz w:w="11900" w:h="16840"/>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CFD9" w14:textId="77777777" w:rsidR="00464721" w:rsidRDefault="00464721" w:rsidP="00E93683">
      <w:r>
        <w:separator/>
      </w:r>
    </w:p>
  </w:endnote>
  <w:endnote w:type="continuationSeparator" w:id="0">
    <w:p w14:paraId="444D7E3B" w14:textId="77777777" w:rsidR="00464721" w:rsidRDefault="00464721" w:rsidP="00E9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F368" w14:textId="77777777" w:rsidR="00464721" w:rsidRDefault="00464721" w:rsidP="00E93683">
      <w:r>
        <w:separator/>
      </w:r>
    </w:p>
  </w:footnote>
  <w:footnote w:type="continuationSeparator" w:id="0">
    <w:p w14:paraId="35582E4D" w14:textId="77777777" w:rsidR="00464721" w:rsidRDefault="00464721" w:rsidP="00E9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B13A4"/>
    <w:multiLevelType w:val="hybridMultilevel"/>
    <w:tmpl w:val="D8921A66"/>
    <w:lvl w:ilvl="0" w:tplc="ACDCF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AF1833"/>
    <w:multiLevelType w:val="hybridMultilevel"/>
    <w:tmpl w:val="894810C6"/>
    <w:lvl w:ilvl="0" w:tplc="BAA011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D3B3B"/>
    <w:multiLevelType w:val="hybridMultilevel"/>
    <w:tmpl w:val="F83A6F7C"/>
    <w:lvl w:ilvl="0" w:tplc="26E20C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CD0"/>
    <w:multiLevelType w:val="hybridMultilevel"/>
    <w:tmpl w:val="B0B0BDD8"/>
    <w:lvl w:ilvl="0" w:tplc="DB280C28">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05093">
    <w:abstractNumId w:val="0"/>
  </w:num>
  <w:num w:numId="2" w16cid:durableId="1601138467">
    <w:abstractNumId w:val="1"/>
  </w:num>
  <w:num w:numId="3" w16cid:durableId="53968744">
    <w:abstractNumId w:val="2"/>
  </w:num>
  <w:num w:numId="4" w16cid:durableId="58331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8D"/>
    <w:rsid w:val="00007E8C"/>
    <w:rsid w:val="00091ABE"/>
    <w:rsid w:val="00096E2D"/>
    <w:rsid w:val="000A3509"/>
    <w:rsid w:val="000D2B98"/>
    <w:rsid w:val="000D7A84"/>
    <w:rsid w:val="00102114"/>
    <w:rsid w:val="0013770F"/>
    <w:rsid w:val="00165774"/>
    <w:rsid w:val="0016669B"/>
    <w:rsid w:val="00192AC1"/>
    <w:rsid w:val="001B167F"/>
    <w:rsid w:val="002008FE"/>
    <w:rsid w:val="002052C2"/>
    <w:rsid w:val="0024239F"/>
    <w:rsid w:val="002A215F"/>
    <w:rsid w:val="002A6088"/>
    <w:rsid w:val="002C5CCA"/>
    <w:rsid w:val="002D32F4"/>
    <w:rsid w:val="00345A0C"/>
    <w:rsid w:val="00346F3F"/>
    <w:rsid w:val="003B018C"/>
    <w:rsid w:val="003F6DA1"/>
    <w:rsid w:val="00464721"/>
    <w:rsid w:val="004832C8"/>
    <w:rsid w:val="004874E9"/>
    <w:rsid w:val="004A7BC0"/>
    <w:rsid w:val="00537886"/>
    <w:rsid w:val="00562065"/>
    <w:rsid w:val="00566582"/>
    <w:rsid w:val="005D4647"/>
    <w:rsid w:val="00601EB3"/>
    <w:rsid w:val="00617790"/>
    <w:rsid w:val="00647887"/>
    <w:rsid w:val="00676598"/>
    <w:rsid w:val="00694197"/>
    <w:rsid w:val="006C7120"/>
    <w:rsid w:val="006C74CC"/>
    <w:rsid w:val="007157B4"/>
    <w:rsid w:val="0071668D"/>
    <w:rsid w:val="0074299D"/>
    <w:rsid w:val="0077297D"/>
    <w:rsid w:val="007853C9"/>
    <w:rsid w:val="007C3D64"/>
    <w:rsid w:val="008127BB"/>
    <w:rsid w:val="00877A4B"/>
    <w:rsid w:val="00880069"/>
    <w:rsid w:val="00880B98"/>
    <w:rsid w:val="00884EF6"/>
    <w:rsid w:val="008A3A70"/>
    <w:rsid w:val="00907889"/>
    <w:rsid w:val="009903F0"/>
    <w:rsid w:val="009A74DB"/>
    <w:rsid w:val="009D73BE"/>
    <w:rsid w:val="009E0774"/>
    <w:rsid w:val="009E4B07"/>
    <w:rsid w:val="00A027CA"/>
    <w:rsid w:val="00A03BE9"/>
    <w:rsid w:val="00A37991"/>
    <w:rsid w:val="00AE3EE7"/>
    <w:rsid w:val="00AF615F"/>
    <w:rsid w:val="00B40E93"/>
    <w:rsid w:val="00B602FA"/>
    <w:rsid w:val="00B66D57"/>
    <w:rsid w:val="00B67B14"/>
    <w:rsid w:val="00BA623F"/>
    <w:rsid w:val="00BD5103"/>
    <w:rsid w:val="00C21724"/>
    <w:rsid w:val="00C25D61"/>
    <w:rsid w:val="00C4313C"/>
    <w:rsid w:val="00C67106"/>
    <w:rsid w:val="00CA4F7B"/>
    <w:rsid w:val="00CE7F03"/>
    <w:rsid w:val="00CF52B9"/>
    <w:rsid w:val="00D26F33"/>
    <w:rsid w:val="00D45FE7"/>
    <w:rsid w:val="00D62B8C"/>
    <w:rsid w:val="00D712D6"/>
    <w:rsid w:val="00D834E8"/>
    <w:rsid w:val="00D85BCC"/>
    <w:rsid w:val="00DC3FE0"/>
    <w:rsid w:val="00E04528"/>
    <w:rsid w:val="00E236F7"/>
    <w:rsid w:val="00E443E8"/>
    <w:rsid w:val="00E50510"/>
    <w:rsid w:val="00E74B16"/>
    <w:rsid w:val="00E93683"/>
    <w:rsid w:val="00EA3999"/>
    <w:rsid w:val="00EB5856"/>
    <w:rsid w:val="00ED49EE"/>
    <w:rsid w:val="00F22B4B"/>
    <w:rsid w:val="00F41E7D"/>
    <w:rsid w:val="00F72E67"/>
    <w:rsid w:val="00FB6B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AA55"/>
  <w15:chartTrackingRefBased/>
  <w15:docId w15:val="{8EB19C31-40C3-E743-9ED2-E0D1760D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3683"/>
    <w:pPr>
      <w:tabs>
        <w:tab w:val="center" w:pos="4513"/>
        <w:tab w:val="right" w:pos="9026"/>
      </w:tabs>
    </w:pPr>
  </w:style>
  <w:style w:type="character" w:customStyle="1" w:styleId="HeaderChar">
    <w:name w:val="Header Char"/>
    <w:basedOn w:val="DefaultParagraphFont"/>
    <w:link w:val="Header"/>
    <w:uiPriority w:val="99"/>
    <w:rsid w:val="00E93683"/>
    <w:rPr>
      <w:lang w:val="en-GB"/>
    </w:rPr>
  </w:style>
  <w:style w:type="paragraph" w:styleId="Footer">
    <w:name w:val="footer"/>
    <w:basedOn w:val="Normal"/>
    <w:link w:val="FooterChar"/>
    <w:uiPriority w:val="99"/>
    <w:unhideWhenUsed/>
    <w:rsid w:val="00E93683"/>
    <w:pPr>
      <w:tabs>
        <w:tab w:val="center" w:pos="4513"/>
        <w:tab w:val="right" w:pos="9026"/>
      </w:tabs>
    </w:pPr>
  </w:style>
  <w:style w:type="character" w:customStyle="1" w:styleId="FooterChar">
    <w:name w:val="Footer Char"/>
    <w:basedOn w:val="DefaultParagraphFont"/>
    <w:link w:val="Footer"/>
    <w:uiPriority w:val="99"/>
    <w:rsid w:val="00E93683"/>
    <w:rPr>
      <w:lang w:val="en-GB"/>
    </w:rPr>
  </w:style>
  <w:style w:type="paragraph" w:styleId="ListParagraph">
    <w:name w:val="List Paragraph"/>
    <w:basedOn w:val="Normal"/>
    <w:uiPriority w:val="34"/>
    <w:qFormat/>
    <w:rsid w:val="00647887"/>
    <w:pPr>
      <w:ind w:left="720"/>
      <w:contextualSpacing/>
    </w:pPr>
  </w:style>
  <w:style w:type="character" w:styleId="Hyperlink">
    <w:name w:val="Hyperlink"/>
    <w:basedOn w:val="DefaultParagraphFont"/>
    <w:uiPriority w:val="99"/>
    <w:unhideWhenUsed/>
    <w:rsid w:val="00A03BE9"/>
    <w:rPr>
      <w:color w:val="0563C1" w:themeColor="hyperlink"/>
      <w:u w:val="single"/>
    </w:rPr>
  </w:style>
  <w:style w:type="character" w:styleId="UnresolvedMention">
    <w:name w:val="Unresolved Mention"/>
    <w:basedOn w:val="DefaultParagraphFont"/>
    <w:uiPriority w:val="99"/>
    <w:semiHidden/>
    <w:unhideWhenUsed/>
    <w:rsid w:val="00A03BE9"/>
    <w:rPr>
      <w:color w:val="605E5C"/>
      <w:shd w:val="clear" w:color="auto" w:fill="E1DFDD"/>
    </w:rPr>
  </w:style>
  <w:style w:type="character" w:styleId="FollowedHyperlink">
    <w:name w:val="FollowedHyperlink"/>
    <w:basedOn w:val="DefaultParagraphFont"/>
    <w:uiPriority w:val="99"/>
    <w:semiHidden/>
    <w:unhideWhenUsed/>
    <w:rsid w:val="00F72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nestreet.com/puzzles/choco-banana-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Patel</dc:creator>
  <cp:keywords/>
  <dc:description/>
  <cp:lastModifiedBy>Nicholas Patel</cp:lastModifiedBy>
  <cp:revision>139</cp:revision>
  <dcterms:created xsi:type="dcterms:W3CDTF">2023-06-24T02:29:00Z</dcterms:created>
  <dcterms:modified xsi:type="dcterms:W3CDTF">2023-07-07T00:15:00Z</dcterms:modified>
</cp:coreProperties>
</file>