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80" w:line="264" w:lineRule="auto"/>
        <w:jc w:val="center"/>
      </w:pPr>
      <w:r>
        <w:rPr>
          <w:rFonts w:ascii="Calibri" w:hAnsi="Calibri"/>
          <w:b/>
          <w:color w:val="2E74B5"/>
          <w:sz w:val="52"/>
        </w:rPr>
        <w:t>Business Requirements Document</w:t>
      </w:r>
    </w:p>
    <w:p>
      <w:pPr>
        <w:spacing w:before="0" w:after="480" w:line="264" w:lineRule="auto"/>
        <w:jc w:val="center"/>
      </w:pPr>
      <w:r>
        <w:rPr>
          <w:rFonts w:ascii="Calibri" w:hAnsi="Calibri"/>
          <w:color w:val="1F2937"/>
          <w:sz w:val="28"/>
        </w:rPr>
        <w:t>Future Implementation of Revenue Cycle Information System for CV Tajuk</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00"/>
        <w:gridCol w:w="6860"/>
      </w:tblGrid>
      <w:tr>
        <w:tc>
          <w:tcPr>
            <w:tcW w:type="dxa" w:w="25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Project purpose</w:t>
            </w:r>
          </w:p>
        </w:tc>
        <w:tc>
          <w:tcPr>
            <w:tcW w:type="dxa" w:w="6860"/>
            <w:vAlign w:val="center"/>
            <w:tcMar>
              <w:top w:w="80" w:type="dxa"/>
              <w:start w:w="120" w:type="dxa"/>
              <w:bottom w:w="80" w:type="dxa"/>
              <w:end w:w="120" w:type="dxa"/>
            </w:tcMar>
          </w:tcPr>
          <w:p>
            <w:pPr>
              <w:spacing w:before="0" w:after="60" w:line="264" w:lineRule="auto"/>
            </w:pPr>
            <w:r>
              <w:rPr>
                <w:rFonts w:ascii="Calibri" w:hAnsi="Calibri"/>
                <w:b w:val="0"/>
                <w:color w:val="1F2937"/>
                <w:sz w:val="20"/>
              </w:rPr>
              <w:t>Business requirements for future Waterfall SDLC implementation</w:t>
            </w:r>
          </w:p>
        </w:tc>
      </w:tr>
      <w:tr>
        <w:tc>
          <w:tcPr>
            <w:tcW w:type="dxa" w:w="25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Prepared by</w:t>
            </w:r>
          </w:p>
        </w:tc>
        <w:tc>
          <w:tcPr>
            <w:tcW w:type="dxa" w:w="6860"/>
            <w:vAlign w:val="center"/>
            <w:tcMar>
              <w:top w:w="80" w:type="dxa"/>
              <w:start w:w="120" w:type="dxa"/>
              <w:bottom w:w="80" w:type="dxa"/>
              <w:end w:w="120" w:type="dxa"/>
            </w:tcMar>
          </w:tcPr>
          <w:p>
            <w:pPr>
              <w:spacing w:before="0" w:after="60" w:line="264" w:lineRule="auto"/>
            </w:pPr>
            <w:r>
              <w:rPr>
                <w:rFonts w:ascii="Calibri" w:hAnsi="Calibri"/>
                <w:b w:val="0"/>
                <w:color w:val="1F2937"/>
                <w:sz w:val="20"/>
              </w:rPr>
              <w:t>Nicholas Yuwito</w:t>
            </w:r>
          </w:p>
        </w:tc>
      </w:tr>
      <w:tr>
        <w:tc>
          <w:tcPr>
            <w:tcW w:type="dxa" w:w="25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Institution</w:t>
            </w:r>
          </w:p>
        </w:tc>
        <w:tc>
          <w:tcPr>
            <w:tcW w:type="dxa" w:w="6860"/>
            <w:vAlign w:val="center"/>
            <w:tcMar>
              <w:top w:w="80" w:type="dxa"/>
              <w:start w:w="120" w:type="dxa"/>
              <w:bottom w:w="80" w:type="dxa"/>
              <w:end w:w="120" w:type="dxa"/>
            </w:tcMar>
          </w:tcPr>
          <w:p>
            <w:pPr>
              <w:spacing w:before="0" w:after="60" w:line="264" w:lineRule="auto"/>
            </w:pPr>
            <w:r>
              <w:rPr>
                <w:rFonts w:ascii="Calibri" w:hAnsi="Calibri"/>
                <w:b w:val="0"/>
                <w:color w:val="1F2937"/>
                <w:sz w:val="20"/>
              </w:rPr>
              <w:t>Bina Nusantara University</w:t>
            </w:r>
          </w:p>
        </w:tc>
      </w:tr>
      <w:tr>
        <w:tc>
          <w:tcPr>
            <w:tcW w:type="dxa" w:w="25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Date</w:t>
            </w:r>
          </w:p>
        </w:tc>
        <w:tc>
          <w:tcPr>
            <w:tcW w:type="dxa" w:w="6860"/>
            <w:vAlign w:val="center"/>
            <w:tcMar>
              <w:top w:w="80" w:type="dxa"/>
              <w:start w:w="120" w:type="dxa"/>
              <w:bottom w:w="80" w:type="dxa"/>
              <w:end w:w="120" w:type="dxa"/>
            </w:tcMar>
          </w:tcPr>
          <w:p>
            <w:pPr>
              <w:spacing w:before="0" w:after="60" w:line="264" w:lineRule="auto"/>
            </w:pPr>
            <w:r>
              <w:rPr>
                <w:rFonts w:ascii="Calibri" w:hAnsi="Calibri"/>
                <w:b w:val="0"/>
                <w:color w:val="1F2937"/>
                <w:sz w:val="20"/>
              </w:rPr>
              <w:t>June 23, 2026</w:t>
            </w:r>
          </w:p>
        </w:tc>
      </w:tr>
      <w:tr>
        <w:tc>
          <w:tcPr>
            <w:tcW w:type="dxa" w:w="2500"/>
            <w:vAlign w:val="center"/>
            <w:tcMar>
              <w:top w:w="80" w:type="dxa"/>
              <w:start w:w="120" w:type="dxa"/>
              <w:bottom w:w="80" w:type="dxa"/>
              <w:end w:w="120" w:type="dxa"/>
            </w:tcMar>
            <w:shd w:fill="E8EEF5"/>
          </w:tcPr>
          <w:p>
            <w:pPr>
              <w:spacing w:before="0" w:after="60" w:line="264" w:lineRule="auto"/>
            </w:pPr>
            <w:r>
              <w:rPr>
                <w:rFonts w:ascii="Calibri" w:hAnsi="Calibri"/>
                <w:b/>
                <w:color w:val="1F4D78"/>
                <w:sz w:val="20"/>
              </w:rPr>
              <w:t>Document basis</w:t>
            </w:r>
          </w:p>
        </w:tc>
        <w:tc>
          <w:tcPr>
            <w:tcW w:type="dxa" w:w="6860"/>
            <w:vAlign w:val="center"/>
            <w:tcMar>
              <w:top w:w="80" w:type="dxa"/>
              <w:start w:w="120" w:type="dxa"/>
              <w:bottom w:w="80" w:type="dxa"/>
              <w:end w:w="120" w:type="dxa"/>
            </w:tcMar>
          </w:tcPr>
          <w:p>
            <w:pPr>
              <w:spacing w:before="0" w:after="60" w:line="264" w:lineRule="auto"/>
            </w:pPr>
            <w:r>
              <w:rPr>
                <w:rFonts w:ascii="Calibri" w:hAnsi="Calibri"/>
                <w:b w:val="0"/>
                <w:color w:val="1F2937"/>
                <w:sz w:val="20"/>
              </w:rPr>
              <w:t>Thesis business analysis, company profile, gap analysis, and future-state requirements</w:t>
            </w:r>
          </w:p>
        </w:tc>
      </w:tr>
    </w:tbl>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vAlign w:val="center"/>
            <w:tcMar>
              <w:top w:w="80" w:type="dxa"/>
              <w:start w:w="120" w:type="dxa"/>
              <w:bottom w:w="80" w:type="dxa"/>
              <w:end w:w="120" w:type="dxa"/>
            </w:tcMar>
            <w:shd w:fill="F4F6F9"/>
          </w:tcPr>
          <w:p>
            <w:pPr>
              <w:spacing w:after="60" w:before="0" w:line="264" w:lineRule="auto"/>
            </w:pPr>
            <w:r>
              <w:rPr>
                <w:rFonts w:ascii="Calibri" w:hAnsi="Calibri"/>
                <w:b w:val="0"/>
                <w:color w:val="1F2937"/>
                <w:sz w:val="18"/>
              </w:rPr>
            </w:r>
            <w:r>
              <w:rPr>
                <w:rFonts w:ascii="Calibri" w:hAnsi="Calibri"/>
                <w:b w:val="0"/>
                <w:color w:val="1F2937"/>
                <w:sz w:val="18"/>
              </w:rPr>
              <w:t xml:space="preserve">Important positioning: </w:t>
            </w:r>
            <w:r>
              <w:rPr>
                <w:rFonts w:ascii="Calibri" w:hAnsi="Calibri"/>
                <w:b w:val="0"/>
                <w:color w:val="1F2937"/>
                <w:sz w:val="18"/>
              </w:rPr>
              <w:t>This BRD defines the intended future business requirements for a Revenue Cycle Information System. It is not written as documentation of a previous prototype.</w:t>
            </w:r>
          </w:p>
        </w:tc>
      </w:tr>
    </w:tbl>
    <w:p>
      <w:pPr>
        <w:spacing w:after="80"/>
      </w:pPr>
    </w:p>
    <w:p>
      <w:r>
        <w:br w:type="page"/>
      </w:r>
    </w:p>
    <w:p>
      <w:pPr>
        <w:pStyle w:val="Heading1"/>
      </w:pPr>
      <w:r>
        <w:t>1. Document Control</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00"/>
        <w:gridCol w:w="1800"/>
        <w:gridCol w:w="2100"/>
        <w:gridCol w:w="4360"/>
      </w:tblGrid>
      <w:tr>
        <w:trPr>
          <w:tblHeader w:val="true"/>
        </w:trPr>
        <w:tc>
          <w:tcPr>
            <w:tcW w:type="dxa" w:w="11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Version</w:t>
            </w:r>
          </w:p>
        </w:tc>
        <w:tc>
          <w:tcPr>
            <w:tcW w:type="dxa" w:w="18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Date</w:t>
            </w:r>
          </w:p>
        </w:tc>
        <w:tc>
          <w:tcPr>
            <w:tcW w:type="dxa" w:w="21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Author</w:t>
            </w:r>
          </w:p>
        </w:tc>
        <w:tc>
          <w:tcPr>
            <w:tcW w:type="dxa" w:w="43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Description</w:t>
            </w:r>
          </w:p>
        </w:tc>
      </w:tr>
      <w:tr>
        <w:tc>
          <w:tcPr>
            <w:tcW w:type="dxa" w:w="1100"/>
            <w:vAlign w:val="center"/>
            <w:tcMar>
              <w:top w:w="80" w:type="dxa"/>
              <w:start w:w="120" w:type="dxa"/>
              <w:bottom w:w="80" w:type="dxa"/>
              <w:end w:w="120" w:type="dxa"/>
            </w:tcMar>
          </w:tcPr>
          <w:p>
            <w:pPr>
              <w:spacing w:before="0" w:after="60" w:line="264" w:lineRule="auto"/>
            </w:pPr>
            <w:r>
              <w:rPr>
                <w:rFonts w:ascii="Calibri" w:hAnsi="Calibri"/>
                <w:b w:val="0"/>
                <w:color w:val="1F2937"/>
                <w:sz w:val="18"/>
              </w:rPr>
              <w:t>2.0</w:t>
            </w:r>
          </w:p>
        </w:tc>
        <w:tc>
          <w:tcPr>
            <w:tcW w:type="dxa" w:w="1800"/>
            <w:vAlign w:val="center"/>
            <w:tcMar>
              <w:top w:w="80" w:type="dxa"/>
              <w:start w:w="120" w:type="dxa"/>
              <w:bottom w:w="80" w:type="dxa"/>
              <w:end w:w="120" w:type="dxa"/>
            </w:tcMar>
          </w:tcPr>
          <w:p>
            <w:pPr>
              <w:spacing w:before="0" w:after="60" w:line="264" w:lineRule="auto"/>
            </w:pPr>
            <w:r>
              <w:rPr>
                <w:rFonts w:ascii="Calibri" w:hAnsi="Calibri"/>
                <w:b w:val="0"/>
                <w:color w:val="1F2937"/>
                <w:sz w:val="18"/>
              </w:rPr>
              <w:t>June 23, 2026</w:t>
            </w:r>
          </w:p>
        </w:tc>
        <w:tc>
          <w:tcPr>
            <w:tcW w:type="dxa" w:w="2100"/>
            <w:vAlign w:val="center"/>
            <w:tcMar>
              <w:top w:w="80" w:type="dxa"/>
              <w:start w:w="120" w:type="dxa"/>
              <w:bottom w:w="80" w:type="dxa"/>
              <w:end w:w="120" w:type="dxa"/>
            </w:tcMar>
          </w:tcPr>
          <w:p>
            <w:pPr>
              <w:spacing w:before="0" w:after="60" w:line="264" w:lineRule="auto"/>
            </w:pPr>
            <w:r>
              <w:rPr>
                <w:rFonts w:ascii="Calibri" w:hAnsi="Calibri"/>
                <w:b w:val="0"/>
                <w:color w:val="1F2937"/>
                <w:sz w:val="18"/>
              </w:rPr>
              <w:t>Nicholas Yuwito</w:t>
            </w:r>
          </w:p>
        </w:tc>
        <w:tc>
          <w:tcPr>
            <w:tcW w:type="dxa" w:w="4360"/>
            <w:vAlign w:val="center"/>
            <w:tcMar>
              <w:top w:w="80" w:type="dxa"/>
              <w:start w:w="120" w:type="dxa"/>
              <w:bottom w:w="80" w:type="dxa"/>
              <w:end w:w="120" w:type="dxa"/>
            </w:tcMar>
          </w:tcPr>
          <w:p>
            <w:pPr>
              <w:spacing w:before="0" w:after="60" w:line="264" w:lineRule="auto"/>
            </w:pPr>
            <w:r>
              <w:rPr>
                <w:rFonts w:ascii="Calibri" w:hAnsi="Calibri"/>
                <w:b w:val="0"/>
                <w:color w:val="1F2937"/>
                <w:sz w:val="18"/>
              </w:rPr>
              <w:t>Reframed as a future implementation BRD aligned with the Waterfall SDLC process and business requirements baseline.</w:t>
            </w:r>
          </w:p>
        </w:tc>
      </w:tr>
    </w:tbl>
    <w:p>
      <w:pPr>
        <w:spacing w:after="120"/>
      </w:pPr>
    </w:p>
    <w:p>
      <w:pPr>
        <w:pStyle w:val="Heading1"/>
      </w:pPr>
      <w:r>
        <w:t>2. Purpose and BRD Orientation</w:t>
      </w:r>
    </w:p>
    <w:p>
      <w:pPr>
        <w:spacing w:before="0" w:after="120" w:line="264" w:lineRule="auto"/>
      </w:pPr>
      <w:r>
        <w:rPr>
          <w:rFonts w:ascii="Calibri" w:hAnsi="Calibri"/>
          <w:color w:val="1F2937"/>
          <w:sz w:val="22"/>
        </w:rPr>
        <w:t>This Business Requirements Document defines the future business requirements for a Revenue Cycle Information System intended for CV Tajuk. The document is prepared as an academic thesis artifact and as a business baseline for a possible future implementation using a Waterfall System Development Life Cycle approach.</w:t>
      </w:r>
    </w:p>
    <w:p>
      <w:pPr>
        <w:spacing w:before="0" w:after="120" w:line="264" w:lineRule="auto"/>
      </w:pPr>
      <w:r>
        <w:rPr>
          <w:rFonts w:ascii="Calibri" w:hAnsi="Calibri"/>
          <w:color w:val="1F2937"/>
          <w:sz w:val="22"/>
        </w:rPr>
        <w:t>The BRD intentionally focuses on what the business requires from the future system. It does not assume production readiness, and it treats prototype work only as a possible validation aid during analysis and design.</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vAlign w:val="center"/>
            <w:tcMar>
              <w:top w:w="80" w:type="dxa"/>
              <w:start w:w="120" w:type="dxa"/>
              <w:bottom w:w="80" w:type="dxa"/>
              <w:end w:w="120" w:type="dxa"/>
            </w:tcMar>
            <w:shd w:fill="F4F6F9"/>
          </w:tcPr>
          <w:p>
            <w:pPr>
              <w:spacing w:after="60" w:before="0" w:line="264" w:lineRule="auto"/>
            </w:pPr>
            <w:r>
              <w:rPr>
                <w:rFonts w:ascii="Calibri" w:hAnsi="Calibri"/>
                <w:b w:val="0"/>
                <w:color w:val="1F2937"/>
                <w:sz w:val="18"/>
              </w:rPr>
            </w:r>
            <w:r>
              <w:rPr>
                <w:rFonts w:ascii="Calibri" w:hAnsi="Calibri"/>
                <w:b w:val="0"/>
                <w:color w:val="1F2937"/>
                <w:sz w:val="18"/>
              </w:rPr>
              <w:t xml:space="preserve">Waterfall interpretation: </w:t>
            </w:r>
            <w:r>
              <w:rPr>
                <w:rFonts w:ascii="Calibri" w:hAnsi="Calibri"/>
                <w:b w:val="0"/>
                <w:color w:val="1F2937"/>
                <w:sz w:val="18"/>
              </w:rPr>
              <w:t>In Waterfall, this BRD belongs primarily to the requirement analysis stage. It should be approved before detailed system design, construction, system testing, and implementation planning begin.</w:t>
            </w:r>
          </w:p>
        </w:tc>
      </w:tr>
    </w:tbl>
    <w:p>
      <w:pPr>
        <w:spacing w:after="80"/>
      </w:pPr>
    </w:p>
    <w:p>
      <w:pPr>
        <w:pStyle w:val="Heading1"/>
      </w:pPr>
      <w:r>
        <w:t>3. Executive Summary</w:t>
      </w:r>
    </w:p>
    <w:p>
      <w:pPr>
        <w:spacing w:before="0" w:after="120" w:line="264" w:lineRule="auto"/>
      </w:pPr>
      <w:r>
        <w:rPr>
          <w:rFonts w:ascii="Calibri" w:hAnsi="Calibri"/>
          <w:color w:val="1F2937"/>
          <w:sz w:val="22"/>
        </w:rPr>
        <w:t>CV Tajuk is a B2B textile/manufacturing UMKM whose revenue-cycle activities include customer ordering, sales recording, delivery documentation, invoice preparation, receivable monitoring, payment collection, and follow-up. The thesis reference identifies that these activities are still supported by a combination of WhatsApp, Microsoft Excel, physical documents, and a warehouse stock management system that is not integrated with the broader revenue cycle.</w:t>
      </w:r>
    </w:p>
    <w:p>
      <w:pPr>
        <w:spacing w:before="0" w:after="120" w:line="264" w:lineRule="auto"/>
      </w:pPr>
      <w:r>
        <w:rPr>
          <w:rFonts w:ascii="Calibri" w:hAnsi="Calibri"/>
          <w:color w:val="1F2937"/>
          <w:sz w:val="22"/>
        </w:rPr>
        <w:t>The future system is expected to centralize revenue-cycle data, standardize the sales order process, improve monitoring of payment and receivables, document follow-up activity, and provide management visibility through reporting and dashboard information. The requirements are scoped realistically for an UMKM context and should be implemented gradually after requirements and design approval.</w:t>
      </w:r>
    </w:p>
    <w:p>
      <w:pPr>
        <w:pStyle w:val="Heading1"/>
      </w:pPr>
      <w:r>
        <w:t>4. Company Profile and Business Context</w:t>
      </w:r>
    </w:p>
    <w:p>
      <w:pPr>
        <w:spacing w:before="0" w:after="120" w:line="264" w:lineRule="auto"/>
      </w:pPr>
      <w:r>
        <w:rPr>
          <w:rFonts w:ascii="Calibri" w:hAnsi="Calibri"/>
          <w:color w:val="1F2937"/>
          <w:sz w:val="22"/>
        </w:rPr>
        <w:t>Based on the thesis reference, CV Tajuk is a B2B manufacturing company engaged in the production of mats, mattresses, floor coverings, and other textile products. The company was established in 1999 by Muhammad Taufik and has gradually moved from manual book-based records toward computer-supported administration using Microsoft Excel and a warehouse stock management system.</w:t>
      </w:r>
    </w:p>
    <w:p>
      <w:pPr>
        <w:spacing w:before="0" w:after="120" w:line="264" w:lineRule="auto"/>
      </w:pPr>
      <w:r>
        <w:rPr>
          <w:rFonts w:ascii="Calibri" w:hAnsi="Calibri"/>
          <w:color w:val="1F2937"/>
          <w:sz w:val="22"/>
        </w:rPr>
        <w:t>The research focus is not the entire company operation, but the revenue cycle: sales, customer data recording, transaction recording, sales documents, delivery, billing, receivables, payment, and customer follow-up. The available thesis material also notes that the company has limited technology infrastructure and no internal IT team, so future implementation must be simple, maintainable, and suitable for gradual adoption.</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Profile item</w:t>
            </w:r>
          </w:p>
        </w:tc>
        <w:tc>
          <w:tcPr>
            <w:tcW w:type="dxa" w:w="71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Business information</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8"/>
              </w:rPr>
              <w:t>Organization</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8"/>
              </w:rPr>
              <w:t>CV Tajuk</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8"/>
              </w:rPr>
              <w:t>Business type</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8"/>
              </w:rPr>
              <w:t>B2B textile/manufacturing UMKM</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8"/>
              </w:rPr>
              <w:t>Products</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8"/>
              </w:rPr>
              <w:t>Mats, mattresses, floor coverings, and other textile products</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8"/>
              </w:rPr>
              <w:t>Established</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8"/>
              </w:rPr>
              <w:t>1999</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8"/>
              </w:rPr>
              <w:t>Founder</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8"/>
              </w:rPr>
              <w:t>Muhammad Taufik</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8"/>
              </w:rPr>
              <w:t>Location</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8"/>
              </w:rPr>
              <w:t>Komplek Bangunan, Jalan Komplek Multi Guna, Jalan Raya Serpong KM 7 No. 2, Pakualam, Kecamatan Serpong Utara, Kota Tangerang Selatan, Banten 15320</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8"/>
              </w:rPr>
              <w:t>Operating hours</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8"/>
              </w:rPr>
              <w:t>08.30 to 16.30 WIB</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8"/>
              </w:rPr>
              <w:t>Relevant technology context</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8"/>
              </w:rPr>
              <w:t>Microsoft Excel, WhatsApp, physical documents, and a warehouse stock management system that is not integrated with the end-to-end revenue cycle</w:t>
            </w:r>
          </w:p>
        </w:tc>
      </w:tr>
    </w:tbl>
    <w:p>
      <w:pPr>
        <w:spacing w:after="120"/>
      </w:pPr>
    </w:p>
    <w:p>
      <w:pPr>
        <w:pStyle w:val="Heading1"/>
      </w:pPr>
      <w:r>
        <w:t>5. Current Business Situation</w:t>
      </w:r>
    </w:p>
    <w:p>
      <w:pPr>
        <w:spacing w:before="0" w:after="120" w:line="264" w:lineRule="auto"/>
      </w:pPr>
      <w:r>
        <w:rPr>
          <w:rFonts w:ascii="Calibri" w:hAnsi="Calibri"/>
          <w:color w:val="1F2937"/>
          <w:sz w:val="22"/>
        </w:rPr>
        <w:t>The current business situation is characterized by semi-manual revenue-cycle handling. Sales requests may be received through informal channels, transaction records may be maintained in spreadsheets or documents, and operational documents such as invoices or delivery notes may require repeated manual input. This creates a gap between the current process and the expected condition of a more integrated, controlled, and data-based revenue cycle.</w:t>
      </w:r>
    </w:p>
    <w:p>
      <w:pPr>
        <w:pStyle w:val="ListBullet"/>
        <w:spacing w:after="120"/>
      </w:pPr>
      <w:r>
        <w:rPr>
          <w:rFonts w:ascii="Calibri" w:hAnsi="Calibri"/>
          <w:color w:val="1F2937"/>
          <w:sz w:val="21"/>
        </w:rPr>
        <w:t>Customer and transaction data are not fully centralized.</w:t>
      </w:r>
    </w:p>
    <w:p>
      <w:pPr>
        <w:pStyle w:val="ListBullet"/>
        <w:spacing w:after="120"/>
      </w:pPr>
      <w:r>
        <w:rPr>
          <w:rFonts w:ascii="Calibri" w:hAnsi="Calibri"/>
          <w:color w:val="1F2937"/>
          <w:sz w:val="21"/>
        </w:rPr>
        <w:t>Sales order activities are not yet governed by a fully standardized formal process.</w:t>
      </w:r>
    </w:p>
    <w:p>
      <w:pPr>
        <w:pStyle w:val="ListBullet"/>
        <w:spacing w:after="120"/>
      </w:pPr>
      <w:r>
        <w:rPr>
          <w:rFonts w:ascii="Calibri" w:hAnsi="Calibri"/>
          <w:color w:val="1F2937"/>
          <w:sz w:val="21"/>
        </w:rPr>
        <w:t>Payment status and receivable conditions are difficult to monitor consistently.</w:t>
      </w:r>
    </w:p>
    <w:p>
      <w:pPr>
        <w:pStyle w:val="ListBullet"/>
        <w:spacing w:after="120"/>
      </w:pPr>
      <w:r>
        <w:rPr>
          <w:rFonts w:ascii="Calibri" w:hAnsi="Calibri"/>
          <w:color w:val="1F2937"/>
          <w:sz w:val="21"/>
        </w:rPr>
        <w:t>Follow-up and billing activities are not fully documented as structured business records.</w:t>
      </w:r>
    </w:p>
    <w:p>
      <w:pPr>
        <w:pStyle w:val="ListBullet"/>
        <w:spacing w:after="120"/>
      </w:pPr>
      <w:r>
        <w:rPr>
          <w:rFonts w:ascii="Calibri" w:hAnsi="Calibri"/>
          <w:color w:val="1F2937"/>
          <w:sz w:val="21"/>
        </w:rPr>
        <w:t>Management visibility over sales performance, customer behavior, and receivable risk is limited.</w:t>
      </w:r>
    </w:p>
    <w:p>
      <w:pPr>
        <w:pStyle w:val="Heading1"/>
      </w:pPr>
      <w:r>
        <w:t>6. Future Business Need</w:t>
      </w:r>
    </w:p>
    <w:p>
      <w:pPr>
        <w:spacing w:before="0" w:after="120" w:line="264" w:lineRule="auto"/>
      </w:pPr>
      <w:r>
        <w:rPr>
          <w:rFonts w:ascii="Calibri" w:hAnsi="Calibri"/>
          <w:color w:val="1F2937"/>
          <w:sz w:val="22"/>
        </w:rPr>
        <w:t>CV Tajuk requires a future revenue-cycle information system that can serve as a central business record for customer, order, invoice, delivery, receivable, payment, and follow-up information. The system should support operational consistency, reduce repeated manual entry, improve transaction traceability, and provide timely information for management decision-making.</w:t>
      </w:r>
    </w:p>
    <w:p>
      <w:pPr>
        <w:spacing w:before="0" w:after="120" w:line="264" w:lineRule="auto"/>
      </w:pPr>
      <w:r>
        <w:rPr>
          <w:rFonts w:ascii="Calibri" w:hAnsi="Calibri"/>
          <w:color w:val="1F2937"/>
          <w:sz w:val="22"/>
        </w:rPr>
        <w:t>The future system should be implemented as a practical business system for an UMKM environment, not as a large ERP. It should prioritize process standardization, data quality, basic controls, user usability, and gradual adoption. Integration with external systems can be considered in later phases only after the core revenue-cycle process is stable.</w:t>
      </w:r>
    </w:p>
    <w:p>
      <w:pPr>
        <w:pStyle w:val="Heading1"/>
      </w:pPr>
      <w:r>
        <w:t>7. Waterfall SDLC Alignment</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3700"/>
        <w:gridCol w:w="3760"/>
      </w:tblGrid>
      <w:tr>
        <w:trPr>
          <w:tblHeader w:val="true"/>
        </w:trPr>
        <w:tc>
          <w:tcPr>
            <w:tcW w:type="dxa" w:w="19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Waterfall phase</w:t>
            </w:r>
          </w:p>
        </w:tc>
        <w:tc>
          <w:tcPr>
            <w:tcW w:type="dxa" w:w="37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Purpose for this project</w:t>
            </w:r>
          </w:p>
        </w:tc>
        <w:tc>
          <w:tcPr>
            <w:tcW w:type="dxa" w:w="37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Expected output / gate</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Requirements Analysis</w:t>
            </w:r>
          </w:p>
        </w:tc>
        <w:tc>
          <w:tcPr>
            <w:tcW w:type="dxa" w:w="3700"/>
            <w:vAlign w:val="center"/>
            <w:tcMar>
              <w:top w:w="80" w:type="dxa"/>
              <w:start w:w="120" w:type="dxa"/>
              <w:bottom w:w="80" w:type="dxa"/>
              <w:end w:w="120" w:type="dxa"/>
            </w:tcMar>
          </w:tcPr>
          <w:p>
            <w:pPr>
              <w:spacing w:before="0" w:after="60" w:line="264" w:lineRule="auto"/>
            </w:pPr>
            <w:r>
              <w:rPr>
                <w:rFonts w:ascii="Calibri" w:hAnsi="Calibri"/>
                <w:b w:val="0"/>
                <w:color w:val="1F2937"/>
                <w:sz w:val="16"/>
              </w:rPr>
              <w:t>Confirm business needs, stakeholders, scope, business rules, data requirements, and acceptance criteria.</w:t>
            </w:r>
          </w:p>
        </w:tc>
        <w:tc>
          <w:tcPr>
            <w:tcW w:type="dxa" w:w="3760"/>
            <w:vAlign w:val="center"/>
            <w:tcMar>
              <w:top w:w="80" w:type="dxa"/>
              <w:start w:w="120" w:type="dxa"/>
              <w:bottom w:w="80" w:type="dxa"/>
              <w:end w:w="120" w:type="dxa"/>
            </w:tcMar>
          </w:tcPr>
          <w:p>
            <w:pPr>
              <w:spacing w:before="0" w:after="60" w:line="264" w:lineRule="auto"/>
            </w:pPr>
            <w:r>
              <w:rPr>
                <w:rFonts w:ascii="Calibri" w:hAnsi="Calibri"/>
                <w:b w:val="0"/>
                <w:color w:val="1F2937"/>
                <w:sz w:val="16"/>
              </w:rPr>
              <w:t>Approved BRD and signed-off requirement baseline.</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Design</w:t>
            </w:r>
          </w:p>
        </w:tc>
        <w:tc>
          <w:tcPr>
            <w:tcW w:type="dxa" w:w="3700"/>
            <w:vAlign w:val="center"/>
            <w:tcMar>
              <w:top w:w="80" w:type="dxa"/>
              <w:start w:w="120" w:type="dxa"/>
              <w:bottom w:w="80" w:type="dxa"/>
              <w:end w:w="120" w:type="dxa"/>
            </w:tcMar>
          </w:tcPr>
          <w:p>
            <w:pPr>
              <w:spacing w:before="0" w:after="60" w:line="264" w:lineRule="auto"/>
            </w:pPr>
            <w:r>
              <w:rPr>
                <w:rFonts w:ascii="Calibri" w:hAnsi="Calibri"/>
                <w:b w:val="0"/>
                <w:color w:val="1F2937"/>
                <w:sz w:val="16"/>
              </w:rPr>
              <w:t>Translate business requirements into system architecture, database design, screen flows, controls, reports, and detailed specifications.</w:t>
            </w:r>
          </w:p>
        </w:tc>
        <w:tc>
          <w:tcPr>
            <w:tcW w:type="dxa" w:w="3760"/>
            <w:vAlign w:val="center"/>
            <w:tcMar>
              <w:top w:w="80" w:type="dxa"/>
              <w:start w:w="120" w:type="dxa"/>
              <w:bottom w:w="80" w:type="dxa"/>
              <w:end w:w="120" w:type="dxa"/>
            </w:tcMar>
          </w:tcPr>
          <w:p>
            <w:pPr>
              <w:spacing w:before="0" w:after="60" w:line="264" w:lineRule="auto"/>
            </w:pPr>
            <w:r>
              <w:rPr>
                <w:rFonts w:ascii="Calibri" w:hAnsi="Calibri"/>
                <w:b w:val="0"/>
                <w:color w:val="1F2937"/>
                <w:sz w:val="16"/>
              </w:rPr>
              <w:t>Approved SDD/SRS, ERD, process models, UI design, and test plan.</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Construction</w:t>
            </w:r>
          </w:p>
        </w:tc>
        <w:tc>
          <w:tcPr>
            <w:tcW w:type="dxa" w:w="3700"/>
            <w:vAlign w:val="center"/>
            <w:tcMar>
              <w:top w:w="80" w:type="dxa"/>
              <w:start w:w="120" w:type="dxa"/>
              <w:bottom w:w="80" w:type="dxa"/>
              <w:end w:w="120" w:type="dxa"/>
            </w:tcMar>
          </w:tcPr>
          <w:p>
            <w:pPr>
              <w:spacing w:before="0" w:after="60" w:line="264" w:lineRule="auto"/>
            </w:pPr>
            <w:r>
              <w:rPr>
                <w:rFonts w:ascii="Calibri" w:hAnsi="Calibri"/>
                <w:b w:val="0"/>
                <w:color w:val="1F2937"/>
                <w:sz w:val="16"/>
              </w:rPr>
              <w:t>Build the approved system according to the signed-off design.</w:t>
            </w:r>
          </w:p>
        </w:tc>
        <w:tc>
          <w:tcPr>
            <w:tcW w:type="dxa" w:w="3760"/>
            <w:vAlign w:val="center"/>
            <w:tcMar>
              <w:top w:w="80" w:type="dxa"/>
              <w:start w:w="120" w:type="dxa"/>
              <w:bottom w:w="80" w:type="dxa"/>
              <w:end w:w="120" w:type="dxa"/>
            </w:tcMar>
          </w:tcPr>
          <w:p>
            <w:pPr>
              <w:spacing w:before="0" w:after="60" w:line="264" w:lineRule="auto"/>
            </w:pPr>
            <w:r>
              <w:rPr>
                <w:rFonts w:ascii="Calibri" w:hAnsi="Calibri"/>
                <w:b w:val="0"/>
                <w:color w:val="1F2937"/>
                <w:sz w:val="16"/>
              </w:rPr>
              <w:t>Working application components that match the approved specification.</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Testing</w:t>
            </w:r>
          </w:p>
        </w:tc>
        <w:tc>
          <w:tcPr>
            <w:tcW w:type="dxa" w:w="3700"/>
            <w:vAlign w:val="center"/>
            <w:tcMar>
              <w:top w:w="80" w:type="dxa"/>
              <w:start w:w="120" w:type="dxa"/>
              <w:bottom w:w="80" w:type="dxa"/>
              <w:end w:w="120" w:type="dxa"/>
            </w:tcMar>
          </w:tcPr>
          <w:p>
            <w:pPr>
              <w:spacing w:before="0" w:after="60" w:line="264" w:lineRule="auto"/>
            </w:pPr>
            <w:r>
              <w:rPr>
                <w:rFonts w:ascii="Calibri" w:hAnsi="Calibri"/>
                <w:b w:val="0"/>
                <w:color w:val="1F2937"/>
                <w:sz w:val="16"/>
              </w:rPr>
              <w:t>Verify functional requirements, business rules, data validation, access controls, reports, and usability conditions.</w:t>
            </w:r>
          </w:p>
        </w:tc>
        <w:tc>
          <w:tcPr>
            <w:tcW w:type="dxa" w:w="376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 results, defect log, and readiness recommendation.</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User Acceptance Testing</w:t>
            </w:r>
          </w:p>
        </w:tc>
        <w:tc>
          <w:tcPr>
            <w:tcW w:type="dxa" w:w="3700"/>
            <w:vAlign w:val="center"/>
            <w:tcMar>
              <w:top w:w="80" w:type="dxa"/>
              <w:start w:w="120" w:type="dxa"/>
              <w:bottom w:w="80" w:type="dxa"/>
              <w:end w:w="120" w:type="dxa"/>
            </w:tcMar>
          </w:tcPr>
          <w:p>
            <w:pPr>
              <w:spacing w:before="0" w:after="60" w:line="264" w:lineRule="auto"/>
            </w:pPr>
            <w:r>
              <w:rPr>
                <w:rFonts w:ascii="Calibri" w:hAnsi="Calibri"/>
                <w:b w:val="0"/>
                <w:color w:val="1F2937"/>
                <w:sz w:val="16"/>
              </w:rPr>
              <w:t>Allow business users to validate whether the system supports agreed revenue-cycle work.</w:t>
            </w:r>
          </w:p>
        </w:tc>
        <w:tc>
          <w:tcPr>
            <w:tcW w:type="dxa" w:w="3760"/>
            <w:vAlign w:val="center"/>
            <w:tcMar>
              <w:top w:w="80" w:type="dxa"/>
              <w:start w:w="120" w:type="dxa"/>
              <w:bottom w:w="80" w:type="dxa"/>
              <w:end w:w="120" w:type="dxa"/>
            </w:tcMar>
          </w:tcPr>
          <w:p>
            <w:pPr>
              <w:spacing w:before="0" w:after="60" w:line="264" w:lineRule="auto"/>
            </w:pPr>
            <w:r>
              <w:rPr>
                <w:rFonts w:ascii="Calibri" w:hAnsi="Calibri"/>
                <w:b w:val="0"/>
                <w:color w:val="1F2937"/>
                <w:sz w:val="16"/>
              </w:rPr>
              <w:t>UAT sign-off or documented required changes.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Implementation and Transition</w:t>
            </w:r>
          </w:p>
        </w:tc>
        <w:tc>
          <w:tcPr>
            <w:tcW w:type="dxa" w:w="3700"/>
            <w:vAlign w:val="center"/>
            <w:tcMar>
              <w:top w:w="80" w:type="dxa"/>
              <w:start w:w="120" w:type="dxa"/>
              <w:bottom w:w="80" w:type="dxa"/>
              <w:end w:w="120" w:type="dxa"/>
            </w:tcMar>
          </w:tcPr>
          <w:p>
            <w:pPr>
              <w:spacing w:before="0" w:after="60" w:line="264" w:lineRule="auto"/>
            </w:pPr>
            <w:r>
              <w:rPr>
                <w:rFonts w:ascii="Calibri" w:hAnsi="Calibri"/>
                <w:b w:val="0"/>
                <w:color w:val="1F2937"/>
                <w:sz w:val="16"/>
              </w:rPr>
              <w:t>Prepare data migration, user training, SOP updates, backup procedures, and go-live plan.</w:t>
            </w:r>
          </w:p>
        </w:tc>
        <w:tc>
          <w:tcPr>
            <w:tcW w:type="dxa" w:w="3760"/>
            <w:vAlign w:val="center"/>
            <w:tcMar>
              <w:top w:w="80" w:type="dxa"/>
              <w:start w:w="120" w:type="dxa"/>
              <w:bottom w:w="80" w:type="dxa"/>
              <w:end w:w="120" w:type="dxa"/>
            </w:tcMar>
          </w:tcPr>
          <w:p>
            <w:pPr>
              <w:spacing w:before="0" w:after="60" w:line="264" w:lineRule="auto"/>
            </w:pPr>
            <w:r>
              <w:rPr>
                <w:rFonts w:ascii="Calibri" w:hAnsi="Calibri"/>
                <w:b w:val="0"/>
                <w:color w:val="1F2937"/>
                <w:sz w:val="16"/>
              </w:rPr>
              <w:t>Implementation checklist, training evidence, migration result, and handover package.</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Support and Maintenance</w:t>
            </w:r>
          </w:p>
        </w:tc>
        <w:tc>
          <w:tcPr>
            <w:tcW w:type="dxa" w:w="3700"/>
            <w:vAlign w:val="center"/>
            <w:tcMar>
              <w:top w:w="80" w:type="dxa"/>
              <w:start w:w="120" w:type="dxa"/>
              <w:bottom w:w="80" w:type="dxa"/>
              <w:end w:w="120" w:type="dxa"/>
            </w:tcMar>
          </w:tcPr>
          <w:p>
            <w:pPr>
              <w:spacing w:before="0" w:after="60" w:line="264" w:lineRule="auto"/>
            </w:pPr>
            <w:r>
              <w:rPr>
                <w:rFonts w:ascii="Calibri" w:hAnsi="Calibri"/>
                <w:b w:val="0"/>
                <w:color w:val="1F2937"/>
                <w:sz w:val="16"/>
              </w:rPr>
              <w:t>Handle post-implementation correction and controlled enhancement requests.</w:t>
            </w:r>
          </w:p>
        </w:tc>
        <w:tc>
          <w:tcPr>
            <w:tcW w:type="dxa" w:w="3760"/>
            <w:vAlign w:val="center"/>
            <w:tcMar>
              <w:top w:w="80" w:type="dxa"/>
              <w:start w:w="120" w:type="dxa"/>
              <w:bottom w:w="80" w:type="dxa"/>
              <w:end w:w="120" w:type="dxa"/>
            </w:tcMar>
          </w:tcPr>
          <w:p>
            <w:pPr>
              <w:spacing w:before="0" w:after="60" w:line="264" w:lineRule="auto"/>
            </w:pPr>
            <w:r>
              <w:rPr>
                <w:rFonts w:ascii="Calibri" w:hAnsi="Calibri"/>
                <w:b w:val="0"/>
                <w:color w:val="1F2937"/>
                <w:sz w:val="16"/>
              </w:rPr>
              <w:t>Support process, issue log, and change-control record.</w:t>
            </w:r>
          </w:p>
        </w:tc>
      </w:tr>
    </w:tbl>
    <w:p>
      <w:pPr>
        <w:spacing w:after="120"/>
      </w:pPr>
    </w:p>
    <w:p>
      <w:pPr>
        <w:pStyle w:val="Heading1"/>
      </w:pPr>
      <w:r>
        <w:t>8. Project Objectives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000"/>
        <w:gridCol w:w="4300"/>
        <w:gridCol w:w="4060"/>
      </w:tblGrid>
      <w:tr>
        <w:trPr>
          <w:tblHeader w:val="true"/>
        </w:trPr>
        <w:tc>
          <w:tcPr>
            <w:tcW w:type="dxa" w:w="10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ID</w:t>
            </w:r>
          </w:p>
        </w:tc>
        <w:tc>
          <w:tcPr>
            <w:tcW w:type="dxa" w:w="43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Future objective</w:t>
            </w:r>
          </w:p>
        </w:tc>
        <w:tc>
          <w:tcPr>
            <w:tcW w:type="dxa" w:w="40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Business value</w:t>
            </w:r>
          </w:p>
        </w:tc>
      </w:tr>
      <w:tr>
        <w:tc>
          <w:tcPr>
            <w:tcW w:type="dxa" w:w="1000"/>
            <w:vAlign w:val="center"/>
            <w:tcMar>
              <w:top w:w="80" w:type="dxa"/>
              <w:start w:w="120" w:type="dxa"/>
              <w:bottom w:w="80" w:type="dxa"/>
              <w:end w:w="120" w:type="dxa"/>
            </w:tcMar>
          </w:tcPr>
          <w:p>
            <w:pPr>
              <w:spacing w:before="0" w:after="60" w:line="264" w:lineRule="auto"/>
            </w:pPr>
            <w:r>
              <w:rPr>
                <w:rFonts w:ascii="Calibri" w:hAnsi="Calibri"/>
                <w:b w:val="0"/>
                <w:color w:val="1F2937"/>
                <w:sz w:val="16"/>
              </w:rPr>
              <w:t>OBJ-001</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6"/>
              </w:rPr>
              <w:t>Establish a centralized revenue-cycle information source.</w:t>
            </w:r>
          </w:p>
        </w:tc>
        <w:tc>
          <w:tcPr>
            <w:tcW w:type="dxa" w:w="4060"/>
            <w:vAlign w:val="center"/>
            <w:tcMar>
              <w:top w:w="80" w:type="dxa"/>
              <w:start w:w="120" w:type="dxa"/>
              <w:bottom w:w="80" w:type="dxa"/>
              <w:end w:w="120" w:type="dxa"/>
            </w:tcMar>
          </w:tcPr>
          <w:p>
            <w:pPr>
              <w:spacing w:before="0" w:after="60" w:line="264" w:lineRule="auto"/>
            </w:pPr>
            <w:r>
              <w:rPr>
                <w:rFonts w:ascii="Calibri" w:hAnsi="Calibri"/>
                <w:b w:val="0"/>
                <w:color w:val="1F2937"/>
                <w:sz w:val="16"/>
              </w:rPr>
              <w:t>Reduce scattered records and improve traceability.</w:t>
            </w:r>
          </w:p>
        </w:tc>
      </w:tr>
      <w:tr>
        <w:tc>
          <w:tcPr>
            <w:tcW w:type="dxa" w:w="1000"/>
            <w:vAlign w:val="center"/>
            <w:tcMar>
              <w:top w:w="80" w:type="dxa"/>
              <w:start w:w="120" w:type="dxa"/>
              <w:bottom w:w="80" w:type="dxa"/>
              <w:end w:w="120" w:type="dxa"/>
            </w:tcMar>
          </w:tcPr>
          <w:p>
            <w:pPr>
              <w:spacing w:before="0" w:after="60" w:line="264" w:lineRule="auto"/>
            </w:pPr>
            <w:r>
              <w:rPr>
                <w:rFonts w:ascii="Calibri" w:hAnsi="Calibri"/>
                <w:b w:val="0"/>
                <w:color w:val="1F2937"/>
                <w:sz w:val="16"/>
              </w:rPr>
              <w:t>OBJ-002</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6"/>
              </w:rPr>
              <w:t>Standardize customer order and sales order recording.</w:t>
            </w:r>
          </w:p>
        </w:tc>
        <w:tc>
          <w:tcPr>
            <w:tcW w:type="dxa" w:w="4060"/>
            <w:vAlign w:val="center"/>
            <w:tcMar>
              <w:top w:w="80" w:type="dxa"/>
              <w:start w:w="120" w:type="dxa"/>
              <w:bottom w:w="80" w:type="dxa"/>
              <w:end w:w="120" w:type="dxa"/>
            </w:tcMar>
          </w:tcPr>
          <w:p>
            <w:pPr>
              <w:spacing w:before="0" w:after="60" w:line="264" w:lineRule="auto"/>
            </w:pPr>
            <w:r>
              <w:rPr>
                <w:rFonts w:ascii="Calibri" w:hAnsi="Calibri"/>
                <w:b w:val="0"/>
                <w:color w:val="1F2937"/>
                <w:sz w:val="16"/>
              </w:rPr>
              <w:t>Create a consistent basis for invoices, delivery documents, receivables, and reports.</w:t>
            </w:r>
          </w:p>
        </w:tc>
      </w:tr>
      <w:tr>
        <w:tc>
          <w:tcPr>
            <w:tcW w:type="dxa" w:w="1000"/>
            <w:vAlign w:val="center"/>
            <w:tcMar>
              <w:top w:w="80" w:type="dxa"/>
              <w:start w:w="120" w:type="dxa"/>
              <w:bottom w:w="80" w:type="dxa"/>
              <w:end w:w="120" w:type="dxa"/>
            </w:tcMar>
          </w:tcPr>
          <w:p>
            <w:pPr>
              <w:spacing w:before="0" w:after="60" w:line="264" w:lineRule="auto"/>
            </w:pPr>
            <w:r>
              <w:rPr>
                <w:rFonts w:ascii="Calibri" w:hAnsi="Calibri"/>
                <w:b w:val="0"/>
                <w:color w:val="1F2937"/>
                <w:sz w:val="16"/>
              </w:rPr>
              <w:t>OBJ-003</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6"/>
              </w:rPr>
              <w:t>Improve invoice, payment, and receivable monitoring.</w:t>
            </w:r>
          </w:p>
        </w:tc>
        <w:tc>
          <w:tcPr>
            <w:tcW w:type="dxa" w:w="4060"/>
            <w:vAlign w:val="center"/>
            <w:tcMar>
              <w:top w:w="80" w:type="dxa"/>
              <w:start w:w="120" w:type="dxa"/>
              <w:bottom w:w="80" w:type="dxa"/>
              <w:end w:w="120" w:type="dxa"/>
            </w:tcMar>
          </w:tcPr>
          <w:p>
            <w:pPr>
              <w:spacing w:before="0" w:after="60" w:line="264" w:lineRule="auto"/>
            </w:pPr>
            <w:r>
              <w:rPr>
                <w:rFonts w:ascii="Calibri" w:hAnsi="Calibri"/>
                <w:b w:val="0"/>
                <w:color w:val="1F2937"/>
                <w:sz w:val="16"/>
              </w:rPr>
              <w:t>Support faster collection decisions and clearer outstanding-balance visibility.</w:t>
            </w:r>
          </w:p>
        </w:tc>
      </w:tr>
      <w:tr>
        <w:tc>
          <w:tcPr>
            <w:tcW w:type="dxa" w:w="1000"/>
            <w:vAlign w:val="center"/>
            <w:tcMar>
              <w:top w:w="80" w:type="dxa"/>
              <w:start w:w="120" w:type="dxa"/>
              <w:bottom w:w="80" w:type="dxa"/>
              <w:end w:w="120" w:type="dxa"/>
            </w:tcMar>
          </w:tcPr>
          <w:p>
            <w:pPr>
              <w:spacing w:before="0" w:after="60" w:line="264" w:lineRule="auto"/>
            </w:pPr>
            <w:r>
              <w:rPr>
                <w:rFonts w:ascii="Calibri" w:hAnsi="Calibri"/>
                <w:b w:val="0"/>
                <w:color w:val="1F2937"/>
                <w:sz w:val="16"/>
              </w:rPr>
              <w:t>OBJ-004</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6"/>
              </w:rPr>
              <w:t>Document billing and customer follow-up activity.</w:t>
            </w:r>
          </w:p>
        </w:tc>
        <w:tc>
          <w:tcPr>
            <w:tcW w:type="dxa" w:w="4060"/>
            <w:vAlign w:val="center"/>
            <w:tcMar>
              <w:top w:w="80" w:type="dxa"/>
              <w:start w:w="120" w:type="dxa"/>
              <w:bottom w:w="80" w:type="dxa"/>
              <w:end w:w="120" w:type="dxa"/>
            </w:tcMar>
          </w:tcPr>
          <w:p>
            <w:pPr>
              <w:spacing w:before="0" w:after="60" w:line="264" w:lineRule="auto"/>
            </w:pPr>
            <w:r>
              <w:rPr>
                <w:rFonts w:ascii="Calibri" w:hAnsi="Calibri"/>
                <w:b w:val="0"/>
                <w:color w:val="1F2937"/>
                <w:sz w:val="16"/>
              </w:rPr>
              <w:t>Reduce dependency on individual memory or informal communication.</w:t>
            </w:r>
          </w:p>
        </w:tc>
      </w:tr>
      <w:tr>
        <w:tc>
          <w:tcPr>
            <w:tcW w:type="dxa" w:w="1000"/>
            <w:vAlign w:val="center"/>
            <w:tcMar>
              <w:top w:w="80" w:type="dxa"/>
              <w:start w:w="120" w:type="dxa"/>
              <w:bottom w:w="80" w:type="dxa"/>
              <w:end w:w="120" w:type="dxa"/>
            </w:tcMar>
          </w:tcPr>
          <w:p>
            <w:pPr>
              <w:spacing w:before="0" w:after="60" w:line="264" w:lineRule="auto"/>
            </w:pPr>
            <w:r>
              <w:rPr>
                <w:rFonts w:ascii="Calibri" w:hAnsi="Calibri"/>
                <w:b w:val="0"/>
                <w:color w:val="1F2937"/>
                <w:sz w:val="16"/>
              </w:rPr>
              <w:t>OBJ-005</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6"/>
              </w:rPr>
              <w:t>Provide management reporting and dashboard insight.</w:t>
            </w:r>
          </w:p>
        </w:tc>
        <w:tc>
          <w:tcPr>
            <w:tcW w:type="dxa" w:w="4060"/>
            <w:vAlign w:val="center"/>
            <w:tcMar>
              <w:top w:w="80" w:type="dxa"/>
              <w:start w:w="120" w:type="dxa"/>
              <w:bottom w:w="80" w:type="dxa"/>
              <w:end w:w="120" w:type="dxa"/>
            </w:tcMar>
          </w:tcPr>
          <w:p>
            <w:pPr>
              <w:spacing w:before="0" w:after="60" w:line="264" w:lineRule="auto"/>
            </w:pPr>
            <w:r>
              <w:rPr>
                <w:rFonts w:ascii="Calibri" w:hAnsi="Calibri"/>
                <w:b w:val="0"/>
                <w:color w:val="1F2937"/>
                <w:sz w:val="16"/>
              </w:rPr>
              <w:t>Improve visibility over sales, products, customer activity, receivables, and risk.</w:t>
            </w:r>
          </w:p>
        </w:tc>
      </w:tr>
      <w:tr>
        <w:tc>
          <w:tcPr>
            <w:tcW w:type="dxa" w:w="1000"/>
            <w:vAlign w:val="center"/>
            <w:tcMar>
              <w:top w:w="80" w:type="dxa"/>
              <w:start w:w="120" w:type="dxa"/>
              <w:bottom w:w="80" w:type="dxa"/>
              <w:end w:w="120" w:type="dxa"/>
            </w:tcMar>
          </w:tcPr>
          <w:p>
            <w:pPr>
              <w:spacing w:before="0" w:after="60" w:line="264" w:lineRule="auto"/>
            </w:pPr>
            <w:r>
              <w:rPr>
                <w:rFonts w:ascii="Calibri" w:hAnsi="Calibri"/>
                <w:b w:val="0"/>
                <w:color w:val="1F2937"/>
                <w:sz w:val="16"/>
              </w:rPr>
              <w:t>OBJ-006</w:t>
            </w:r>
          </w:p>
        </w:tc>
        <w:tc>
          <w:tcPr>
            <w:tcW w:type="dxa" w:w="4300"/>
            <w:vAlign w:val="center"/>
            <w:tcMar>
              <w:top w:w="80" w:type="dxa"/>
              <w:start w:w="120" w:type="dxa"/>
              <w:bottom w:w="80" w:type="dxa"/>
              <w:end w:w="120" w:type="dxa"/>
            </w:tcMar>
          </w:tcPr>
          <w:p>
            <w:pPr>
              <w:spacing w:before="0" w:after="60" w:line="264" w:lineRule="auto"/>
            </w:pPr>
            <w:r>
              <w:rPr>
                <w:rFonts w:ascii="Calibri" w:hAnsi="Calibri"/>
                <w:b w:val="0"/>
                <w:color w:val="1F2937"/>
                <w:sz w:val="16"/>
              </w:rPr>
              <w:t>Introduce basic user access, validation, and auditability.</w:t>
            </w:r>
          </w:p>
        </w:tc>
        <w:tc>
          <w:tcPr>
            <w:tcW w:type="dxa" w:w="4060"/>
            <w:vAlign w:val="center"/>
            <w:tcMar>
              <w:top w:w="80" w:type="dxa"/>
              <w:start w:w="120" w:type="dxa"/>
              <w:bottom w:w="80" w:type="dxa"/>
              <w:end w:w="120" w:type="dxa"/>
            </w:tcMar>
          </w:tcPr>
          <w:p>
            <w:pPr>
              <w:spacing w:before="0" w:after="60" w:line="264" w:lineRule="auto"/>
            </w:pPr>
            <w:r>
              <w:rPr>
                <w:rFonts w:ascii="Calibri" w:hAnsi="Calibri"/>
                <w:b w:val="0"/>
                <w:color w:val="1F2937"/>
                <w:sz w:val="16"/>
              </w:rPr>
              <w:t>Support control and accountability without overbuilding enterprise features.</w:t>
            </w:r>
          </w:p>
        </w:tc>
      </w:tr>
    </w:tbl>
    <w:p>
      <w:pPr>
        <w:spacing w:after="120"/>
      </w:pPr>
    </w:p>
    <w:p>
      <w:pPr>
        <w:pStyle w:val="Heading1"/>
      </w:pPr>
      <w:r>
        <w:t>9. Scope of Future Implementation</w:t>
      </w:r>
    </w:p>
    <w:p>
      <w:pPr>
        <w:pStyle w:val="Heading2"/>
      </w:pPr>
      <w:r>
        <w:t>9.1 In Scope</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00"/>
        <w:gridCol w:w="6960"/>
      </w:tblGrid>
      <w:tr>
        <w:trPr>
          <w:tblHeader w:val="true"/>
        </w:trPr>
        <w:tc>
          <w:tcPr>
            <w:tcW w:type="dxa" w:w="24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Area</w:t>
            </w:r>
          </w:p>
        </w:tc>
        <w:tc>
          <w:tcPr>
            <w:tcW w:type="dxa" w:w="69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Future implementation scope</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Customer management</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Maintain customer profile, contact information, status, category, payment behavior, and transaction history.</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Sales order management</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customer orders, item details, agreed price, payment term, approval status, and order lifecycle.</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Invoice management</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Generate invoices from approved sales orders and track invoice status, issue date, due date, total, and balance.</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Payment recording</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customer payments and match them to invoices.</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Receivable monitoring</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Monitor outstanding balances, due dates, overdue conditions, and customer payment risk.</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Delivery documentation</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Support Surat Jalan or delivery-note records linked to customer orders and invoices.</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Billing and follow-up</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billing reminders, collection activities, customer follow-up, and related notes.</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Management reporting</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Provide dashboards and reports for revenue-cycle visibility.</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User access and audit</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Provide basic internal user roles, transaction audit logs, and validation controls.</w:t>
            </w:r>
          </w:p>
        </w:tc>
      </w:tr>
      <w:tr>
        <w:tc>
          <w:tcPr>
            <w:tcW w:type="dxa" w:w="2400"/>
            <w:vAlign w:val="center"/>
            <w:tcMar>
              <w:top w:w="80" w:type="dxa"/>
              <w:start w:w="120" w:type="dxa"/>
              <w:bottom w:w="80" w:type="dxa"/>
              <w:end w:w="120" w:type="dxa"/>
            </w:tcMar>
          </w:tcPr>
          <w:p>
            <w:pPr>
              <w:spacing w:before="0" w:after="60" w:line="264" w:lineRule="auto"/>
            </w:pPr>
            <w:r>
              <w:rPr>
                <w:rFonts w:ascii="Calibri" w:hAnsi="Calibri"/>
                <w:b w:val="0"/>
                <w:color w:val="1F2937"/>
                <w:sz w:val="18"/>
              </w:rPr>
              <w:t>Data migration preparation</w:t>
            </w:r>
          </w:p>
        </w:tc>
        <w:tc>
          <w:tcPr>
            <w:tcW w:type="dxa" w:w="6960"/>
            <w:vAlign w:val="center"/>
            <w:tcMar>
              <w:top w:w="80" w:type="dxa"/>
              <w:start w:w="120" w:type="dxa"/>
              <w:bottom w:w="80" w:type="dxa"/>
              <w:end w:w="120" w:type="dxa"/>
            </w:tcMar>
          </w:tcPr>
          <w:p>
            <w:pPr>
              <w:spacing w:before="0" w:after="60" w:line="264" w:lineRule="auto"/>
            </w:pPr>
            <w:r>
              <w:rPr>
                <w:rFonts w:ascii="Calibri" w:hAnsi="Calibri"/>
                <w:b w:val="0"/>
                <w:color w:val="1F2937"/>
                <w:sz w:val="18"/>
              </w:rPr>
              <w:t>Prepare structured migration from existing Excel, documents, or other available business records.</w:t>
            </w:r>
          </w:p>
        </w:tc>
      </w:tr>
    </w:tbl>
    <w:p>
      <w:pPr>
        <w:spacing w:after="120"/>
      </w:pPr>
    </w:p>
    <w:p>
      <w:pPr>
        <w:pStyle w:val="Heading2"/>
      </w:pPr>
      <w:r>
        <w:t>9.2 Out of Scope</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00"/>
        <w:gridCol w:w="6760"/>
      </w:tblGrid>
      <w:tr>
        <w:trPr>
          <w:tblHeader w:val="true"/>
        </w:trPr>
        <w:tc>
          <w:tcPr>
            <w:tcW w:type="dxa" w:w="26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Area</w:t>
            </w:r>
          </w:p>
        </w:tc>
        <w:tc>
          <w:tcPr>
            <w:tcW w:type="dxa" w:w="67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Reason for exclusion from this BRD baseline</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Full ERP implementation</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business need is focused on revenue cycle, not full enterprise resource planning.</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General ledger and accounting journals</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future system supports operational revenue-cycle data; full accounting system design is outside this scope.</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Bank integration and payment gateway</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Payment integration may be considered later but is not part of the initial requirement baseline.</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E-commerce or customer portal</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initial system is intended for internal users, not direct customer self-service.</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Warehouse stock movement</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Existing stock management is acknowledged, but inventory movement control is outside the initial revenue-cycle BRD.</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Courier/logistics integration</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Delivery documentation is in scope; direct logistics integration is future optional work.</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Native mobile application</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Responsive access may be considered, but a separate mobile app is outside scope.</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Advanced analytics or AI</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Dashboards and basic insight are in scope; predictive or AI-based analytics are future enhancements.</w:t>
            </w:r>
          </w:p>
        </w:tc>
      </w:tr>
    </w:tbl>
    <w:p>
      <w:pPr>
        <w:spacing w:after="120"/>
      </w:pPr>
    </w:p>
    <w:p>
      <w:pPr>
        <w:pStyle w:val="Heading1"/>
      </w:pPr>
      <w:r>
        <w:t>10. Stakeholders and User Roles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3650"/>
        <w:gridCol w:w="3810"/>
      </w:tblGrid>
      <w:tr>
        <w:trPr>
          <w:tblHeader w:val="true"/>
        </w:trPr>
        <w:tc>
          <w:tcPr>
            <w:tcW w:type="dxa" w:w="19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Stakeholder / role</w:t>
            </w:r>
          </w:p>
        </w:tc>
        <w:tc>
          <w:tcPr>
            <w:tcW w:type="dxa" w:w="365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Business responsibility</w:t>
            </w:r>
          </w:p>
        </w:tc>
        <w:tc>
          <w:tcPr>
            <w:tcW w:type="dxa" w:w="381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Future system expectation</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Management / General Manager</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6"/>
              </w:rPr>
              <w:t>Oversee revenue-cycle performance, risk, and operational decisions.</w:t>
            </w:r>
          </w:p>
        </w:tc>
        <w:tc>
          <w:tcPr>
            <w:tcW w:type="dxa" w:w="3810"/>
            <w:vAlign w:val="center"/>
            <w:tcMar>
              <w:top w:w="80" w:type="dxa"/>
              <w:start w:w="120" w:type="dxa"/>
              <w:bottom w:w="80" w:type="dxa"/>
              <w:end w:w="120" w:type="dxa"/>
            </w:tcMar>
          </w:tcPr>
          <w:p>
            <w:pPr>
              <w:spacing w:before="0" w:after="60" w:line="264" w:lineRule="auto"/>
            </w:pPr>
            <w:r>
              <w:rPr>
                <w:rFonts w:ascii="Calibri" w:hAnsi="Calibri"/>
                <w:b w:val="0"/>
                <w:color w:val="1F2937"/>
                <w:sz w:val="16"/>
              </w:rPr>
              <w:t>Review dashboards, approve exceptional transactions, monitor receivables, and review reports.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6"/>
              </w:rPr>
              <w:t>Receive customer orders, negotiate terms, maintain customer relationship, and perform follow-up.</w:t>
            </w:r>
          </w:p>
        </w:tc>
        <w:tc>
          <w:tcPr>
            <w:tcW w:type="dxa" w:w="3810"/>
            <w:vAlign w:val="center"/>
            <w:tcMar>
              <w:top w:w="80" w:type="dxa"/>
              <w:start w:w="120" w:type="dxa"/>
              <w:bottom w:w="80" w:type="dxa"/>
              <w:end w:w="120" w:type="dxa"/>
            </w:tcMar>
          </w:tcPr>
          <w:p>
            <w:pPr>
              <w:spacing w:before="0" w:after="60" w:line="264" w:lineRule="auto"/>
            </w:pPr>
            <w:r>
              <w:rPr>
                <w:rFonts w:ascii="Calibri" w:hAnsi="Calibri"/>
                <w:b w:val="0"/>
                <w:color w:val="1F2937"/>
                <w:sz w:val="16"/>
              </w:rPr>
              <w:t>Create customer/order records, view customer history, record follow-up, and access relevant sales information.</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Admin / Finance Administration</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6"/>
              </w:rPr>
              <w:t>Prepare invoices, record payments, monitor receivables, prepare billing follow-up, and support document control.</w:t>
            </w:r>
          </w:p>
        </w:tc>
        <w:tc>
          <w:tcPr>
            <w:tcW w:type="dxa" w:w="3810"/>
            <w:vAlign w:val="center"/>
            <w:tcMar>
              <w:top w:w="80" w:type="dxa"/>
              <w:start w:w="120" w:type="dxa"/>
              <w:bottom w:w="80" w:type="dxa"/>
              <w:end w:w="120" w:type="dxa"/>
            </w:tcMar>
          </w:tcPr>
          <w:p>
            <w:pPr>
              <w:spacing w:before="0" w:after="60" w:line="264" w:lineRule="auto"/>
            </w:pPr>
            <w:r>
              <w:rPr>
                <w:rFonts w:ascii="Calibri" w:hAnsi="Calibri"/>
                <w:b w:val="0"/>
                <w:color w:val="1F2937"/>
                <w:sz w:val="16"/>
              </w:rPr>
              <w:t>Manage invoice, payment, receivable, billing, and document status records.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Warehouse / Delivery Staff</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6"/>
              </w:rPr>
              <w:t>Support product availability and delivery documentation.</w:t>
            </w:r>
          </w:p>
        </w:tc>
        <w:tc>
          <w:tcPr>
            <w:tcW w:type="dxa" w:w="3810"/>
            <w:vAlign w:val="center"/>
            <w:tcMar>
              <w:top w:w="80" w:type="dxa"/>
              <w:start w:w="120" w:type="dxa"/>
              <w:bottom w:w="80" w:type="dxa"/>
              <w:end w:w="120" w:type="dxa"/>
            </w:tcMar>
          </w:tcPr>
          <w:p>
            <w:pPr>
              <w:spacing w:before="0" w:after="60" w:line="264" w:lineRule="auto"/>
            </w:pPr>
            <w:r>
              <w:rPr>
                <w:rFonts w:ascii="Calibri" w:hAnsi="Calibri"/>
                <w:b w:val="0"/>
                <w:color w:val="1F2937"/>
                <w:sz w:val="16"/>
              </w:rPr>
              <w:t>View or update delivery-related information where the approved design allows.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Owner / Decision Maker</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6"/>
              </w:rPr>
              <w:t>Review business performance and strategic direction.</w:t>
            </w:r>
          </w:p>
        </w:tc>
        <w:tc>
          <w:tcPr>
            <w:tcW w:type="dxa" w:w="3810"/>
            <w:vAlign w:val="center"/>
            <w:tcMar>
              <w:top w:w="80" w:type="dxa"/>
              <w:start w:w="120" w:type="dxa"/>
              <w:bottom w:w="80" w:type="dxa"/>
              <w:end w:w="120" w:type="dxa"/>
            </w:tcMar>
          </w:tcPr>
          <w:p>
            <w:pPr>
              <w:spacing w:before="0" w:after="60" w:line="264" w:lineRule="auto"/>
            </w:pPr>
            <w:r>
              <w:rPr>
                <w:rFonts w:ascii="Calibri" w:hAnsi="Calibri"/>
                <w:b w:val="0"/>
                <w:color w:val="1F2937"/>
                <w:sz w:val="16"/>
              </w:rPr>
              <w:t>Access management summaries and periodic reports.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Future IT / Vendor Support</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6"/>
              </w:rPr>
              <w:t>Support system implementation, maintenance, and controlled changes.</w:t>
            </w:r>
          </w:p>
        </w:tc>
        <w:tc>
          <w:tcPr>
            <w:tcW w:type="dxa" w:w="3810"/>
            <w:vAlign w:val="center"/>
            <w:tcMar>
              <w:top w:w="80" w:type="dxa"/>
              <w:start w:w="120" w:type="dxa"/>
              <w:bottom w:w="80" w:type="dxa"/>
              <w:end w:w="120" w:type="dxa"/>
            </w:tcMar>
          </w:tcPr>
          <w:p>
            <w:pPr>
              <w:spacing w:before="0" w:after="60" w:line="264" w:lineRule="auto"/>
            </w:pPr>
            <w:r>
              <w:rPr>
                <w:rFonts w:ascii="Calibri" w:hAnsi="Calibri"/>
                <w:b w:val="0"/>
                <w:color w:val="1F2937"/>
                <w:sz w:val="16"/>
              </w:rPr>
              <w:t>Maintain the system based on approved requirements, documentation, and change-control procedures.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w:t>
            </w:r>
          </w:p>
        </w:tc>
        <w:tc>
          <w:tcPr>
            <w:tcW w:type="dxa" w:w="3650"/>
            <w:vAlign w:val="center"/>
            <w:tcMar>
              <w:top w:w="80" w:type="dxa"/>
              <w:start w:w="120" w:type="dxa"/>
              <w:bottom w:w="80" w:type="dxa"/>
              <w:end w:w="120" w:type="dxa"/>
            </w:tcMar>
          </w:tcPr>
          <w:p>
            <w:pPr>
              <w:spacing w:before="0" w:after="60" w:line="264" w:lineRule="auto"/>
            </w:pPr>
            <w:r>
              <w:rPr>
                <w:rFonts w:ascii="Calibri" w:hAnsi="Calibri"/>
                <w:b w:val="0"/>
                <w:color w:val="1F2937"/>
                <w:sz w:val="16"/>
              </w:rPr>
              <w:t>Place orders and complete payments.</w:t>
            </w:r>
          </w:p>
        </w:tc>
        <w:tc>
          <w:tcPr>
            <w:tcW w:type="dxa" w:w="3810"/>
            <w:vAlign w:val="center"/>
            <w:tcMar>
              <w:top w:w="80" w:type="dxa"/>
              <w:start w:w="120" w:type="dxa"/>
              <w:bottom w:w="80" w:type="dxa"/>
              <w:end w:w="120" w:type="dxa"/>
            </w:tcMar>
          </w:tcPr>
          <w:p>
            <w:pPr>
              <w:spacing w:before="0" w:after="60" w:line="264" w:lineRule="auto"/>
            </w:pPr>
            <w:r>
              <w:rPr>
                <w:rFonts w:ascii="Calibri" w:hAnsi="Calibri"/>
                <w:b w:val="0"/>
                <w:color w:val="1F2937"/>
                <w:sz w:val="16"/>
              </w:rPr>
              <w:t>External actor; not an internal system user in the initial implementation.</w:t>
            </w:r>
          </w:p>
        </w:tc>
      </w:tr>
    </w:tbl>
    <w:p>
      <w:pPr>
        <w:spacing w:after="120"/>
      </w:pPr>
    </w:p>
    <w:p>
      <w:pPr>
        <w:pStyle w:val="Heading1"/>
      </w:pPr>
      <w:r>
        <w:t>11. Future Business Process Overview</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7660"/>
      </w:tblGrid>
      <w:tr>
        <w:trPr>
          <w:tblHeader w:val="true"/>
        </w:trPr>
        <w:tc>
          <w:tcPr>
            <w:tcW w:type="dxa" w:w="17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Step</w:t>
            </w:r>
          </w:p>
        </w:tc>
        <w:tc>
          <w:tcPr>
            <w:tcW w:type="dxa" w:w="76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Future process expectation</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1. Customer request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receives customer request and verifies or creates customer profile in the system.</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2. Sales order</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records item, quantity, agreed price, payment term, and order details using a standardized form.</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3. Approval / validation</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system applies validation and routes exceptional or risky orders to management if required by policy.</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4. Invoice</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Admin generates an invoice from approved sales order data to avoid repeated manual entry.</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5. Delivery document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Delivery documentation is generated or recorded based on the approved order/invoice and business delivery rules.</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6. Payment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Admin records payment and matches it to the correct invoice.</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7. Receivable monitoring</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system updates remaining balance, due status, and overdue status automatically from invoice/payment data.</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8. Billing and follow-up</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Responsible users document collection and customer follow-up activities until the cycle is closed.</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9. Reporting</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6"/>
              </w:rPr>
              <w:t>Management reviews dashboard and reports for sales, receivables, customer behavior, and operational attention items.</w:t>
            </w:r>
          </w:p>
        </w:tc>
      </w:tr>
    </w:tbl>
    <w:p>
      <w:pPr>
        <w:spacing w:after="120"/>
      </w:pPr>
    </w:p>
    <w:p>
      <w:pPr>
        <w:pStyle w:val="Heading1"/>
      </w:pPr>
      <w:r>
        <w:t>12. Business Requirements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50"/>
        <w:gridCol w:w="4500"/>
        <w:gridCol w:w="800"/>
        <w:gridCol w:w="1700"/>
        <w:gridCol w:w="1510"/>
      </w:tblGrid>
      <w:tr>
        <w:trPr>
          <w:tblHeader w:val="true"/>
        </w:trPr>
        <w:tc>
          <w:tcPr>
            <w:tcW w:type="dxa" w:w="85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ID</w:t>
            </w:r>
          </w:p>
        </w:tc>
        <w:tc>
          <w:tcPr>
            <w:tcW w:type="dxa" w:w="45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Business requirement</w:t>
            </w:r>
          </w:p>
        </w:tc>
        <w:tc>
          <w:tcPr>
            <w:tcW w:type="dxa" w:w="8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Priority</w:t>
            </w:r>
          </w:p>
        </w:tc>
        <w:tc>
          <w:tcPr>
            <w:tcW w:type="dxa" w:w="17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Area</w:t>
            </w:r>
          </w:p>
        </w:tc>
        <w:tc>
          <w:tcPr>
            <w:tcW w:type="dxa" w:w="151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Waterfall relevance</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BR-001</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maintain centralized customer master data.</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 Management</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Analysis</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BR-002</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record sales orders using a standardized business form.</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Order</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Analysis / 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BR-003</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allow sales order data to become the source for invoice and delivery documentation.</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Order / Invoice / Delivery</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BR-004</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support configurable payment terms, including debit and credit terms.</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Order / Invoice</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BR-005</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monitor invoice status and outstanding receivables.</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Invoice / Receivable</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BR-006</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record payment transactions and update invoice balances.</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Payment</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Construction / Testing</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BR-007</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identify overdue receivables and support billing follow-up.</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Receivable / Billing</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BR-008</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provide a structured record of customer follow-up activity.</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Medium</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Follow-up</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BR-009</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support Surat Jalan or delivery-note documentation linked to orders/invoices.</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Medium</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Delivery</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BR-010</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provide management reports and dashboard summaries.</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Medium</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Reporting</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BR-011</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categorize or flag customers based on transaction frequency and payment behavior where data is available.</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Medium</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 Insight</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BR-012</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support basic role-based access for internal users.</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User Access</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Design / Testing</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BR-013</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keep audit records for important transaction changes.</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Medium</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Audit Trail</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Construction / Testing</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BR-014</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support export or reporting of key revenue-cycle data for management review.</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Low</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Reporting</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Construction / Testing</w:t>
            </w:r>
          </w:p>
        </w:tc>
      </w:tr>
      <w:tr>
        <w:tc>
          <w:tcPr>
            <w:tcW w:type="dxa" w:w="850"/>
            <w:vAlign w:val="center"/>
            <w:tcMar>
              <w:top w:w="80" w:type="dxa"/>
              <w:start w:w="120" w:type="dxa"/>
              <w:bottom w:w="80" w:type="dxa"/>
              <w:end w:w="120" w:type="dxa"/>
            </w:tcMar>
          </w:tcPr>
          <w:p>
            <w:pPr>
              <w:spacing w:before="0" w:after="60" w:line="264" w:lineRule="auto"/>
            </w:pPr>
            <w:r>
              <w:rPr>
                <w:rFonts w:ascii="Calibri" w:hAnsi="Calibri"/>
                <w:b w:val="0"/>
                <w:color w:val="1F2937"/>
                <w:sz w:val="16"/>
              </w:rPr>
              <w:t>BR-015</w:t>
            </w:r>
          </w:p>
        </w:tc>
        <w:tc>
          <w:tcPr>
            <w:tcW w:type="dxa" w:w="45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future system shall be designed for gradual implementation in an UMKM environment with limited IT resources.</w:t>
            </w:r>
          </w:p>
        </w:tc>
        <w:tc>
          <w:tcPr>
            <w:tcW w:type="dxa" w:w="800"/>
            <w:vAlign w:val="center"/>
            <w:tcMar>
              <w:top w:w="80" w:type="dxa"/>
              <w:start w:w="120" w:type="dxa"/>
              <w:bottom w:w="80" w:type="dxa"/>
              <w:end w:w="120" w:type="dxa"/>
            </w:tcMar>
          </w:tcPr>
          <w:p>
            <w:pPr>
              <w:spacing w:before="0" w:after="60" w:line="264" w:lineRule="auto"/>
            </w:pPr>
            <w:r>
              <w:rPr>
                <w:rFonts w:ascii="Calibri" w:hAnsi="Calibri"/>
                <w:b w:val="0"/>
                <w:color w:val="1F2937"/>
                <w:sz w:val="16"/>
              </w:rPr>
              <w:t>High</w:t>
            </w:r>
          </w:p>
        </w:tc>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6"/>
              </w:rPr>
              <w:t>Overall</w:t>
            </w:r>
          </w:p>
        </w:tc>
        <w:tc>
          <w:tcPr>
            <w:tcW w:type="dxa" w:w="1510"/>
            <w:vAlign w:val="center"/>
            <w:tcMar>
              <w:top w:w="80" w:type="dxa"/>
              <w:start w:w="120" w:type="dxa"/>
              <w:bottom w:w="80" w:type="dxa"/>
              <w:end w:w="120" w:type="dxa"/>
            </w:tcMar>
          </w:tcPr>
          <w:p>
            <w:pPr>
              <w:spacing w:before="0" w:after="60" w:line="264" w:lineRule="auto"/>
            </w:pPr>
            <w:r>
              <w:rPr>
                <w:rFonts w:ascii="Calibri" w:hAnsi="Calibri"/>
                <w:b w:val="0"/>
                <w:color w:val="1F2937"/>
                <w:sz w:val="16"/>
              </w:rPr>
              <w:t>Implementation Planning</w:t>
            </w:r>
          </w:p>
        </w:tc>
      </w:tr>
    </w:tbl>
    <w:p>
      <w:pPr>
        <w:spacing w:after="120"/>
      </w:pPr>
    </w:p>
    <w:p>
      <w:pPr>
        <w:pStyle w:val="Heading1"/>
      </w:pPr>
      <w:r>
        <w:t>13. Functional Requirement Summary</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Function</w:t>
            </w:r>
          </w:p>
        </w:tc>
        <w:tc>
          <w:tcPr>
            <w:tcW w:type="dxa" w:w="70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Future functional requirement summary</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Customer master data</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update, search, view, and deactivate customer records while retaining transaction history.</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Sales order</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and manage sales orders, item lines, prices, terms, approval status, and transaction status.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Invoice</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Generate invoice records from approved sales orders and track issue date, due date, total, and status.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Payment</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payment date, amount, method, reference/note, and match payment to invoice.</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Receivable</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Display outstanding receivables, overdue items, due dates, and remaining balance.</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Billing</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billing follow-up tasks linked to customers and invoices.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Delivery document</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Create delivery-note/Surat Jalan records linked to sales order or invoice data.</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Follow-up</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Record customer interaction, follow-up date, notes, and responsible person.</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Dashboard and reports</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Provide operational summaries for sales, invoice status, receivables, customer behavior, and follow-up attention.</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User and access</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Maintain internal users and basic access rules by role.</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8"/>
              </w:rPr>
              <w:t>Audit trail</w:t>
            </w:r>
          </w:p>
        </w:tc>
        <w:tc>
          <w:tcPr>
            <w:tcW w:type="dxa" w:w="7060"/>
            <w:vAlign w:val="center"/>
            <w:tcMar>
              <w:top w:w="80" w:type="dxa"/>
              <w:start w:w="120" w:type="dxa"/>
              <w:bottom w:w="80" w:type="dxa"/>
              <w:end w:w="120" w:type="dxa"/>
            </w:tcMar>
          </w:tcPr>
          <w:p>
            <w:pPr>
              <w:spacing w:before="0" w:after="60" w:line="264" w:lineRule="auto"/>
            </w:pPr>
            <w:r>
              <w:rPr>
                <w:rFonts w:ascii="Calibri" w:hAnsi="Calibri"/>
                <w:b w:val="0"/>
                <w:color w:val="1F2937"/>
                <w:sz w:val="18"/>
              </w:rPr>
              <w:t>Log important business actions and changes for traceability.</w:t>
            </w:r>
          </w:p>
        </w:tc>
      </w:tr>
    </w:tbl>
    <w:p>
      <w:pPr>
        <w:spacing w:after="120"/>
      </w:pPr>
    </w:p>
    <w:p>
      <w:pPr>
        <w:pStyle w:val="Heading1"/>
      </w:pPr>
      <w:r>
        <w:t>14. Non-Functional Business Requirements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Category</w:t>
            </w:r>
          </w:p>
        </w:tc>
        <w:tc>
          <w:tcPr>
            <w:tcW w:type="dxa" w:w="74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Future requirement</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8"/>
              </w:rPr>
              <w:t>Usability</w:t>
            </w:r>
          </w:p>
        </w:tc>
        <w:tc>
          <w:tcPr>
            <w:tcW w:type="dxa" w:w="74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shall be easy to learn for internal users familiar with semi-manual work patterns.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8"/>
              </w:rPr>
              <w:t>Data accuracy</w:t>
            </w:r>
          </w:p>
        </w:tc>
        <w:tc>
          <w:tcPr>
            <w:tcW w:type="dxa" w:w="74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shall reduce duplicate data entry by reusing approved customer and sales-order data.</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8"/>
              </w:rPr>
              <w:t>Reliability</w:t>
            </w:r>
          </w:p>
        </w:tc>
        <w:tc>
          <w:tcPr>
            <w:tcW w:type="dxa" w:w="74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shall preserve revenue-cycle records consistently during normal business use.</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8"/>
              </w:rPr>
              <w:t>Performance</w:t>
            </w:r>
          </w:p>
        </w:tc>
        <w:tc>
          <w:tcPr>
            <w:tcW w:type="dxa" w:w="74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shall respond adequately for realistic UMKM transaction volume, especially under fewer than approximately 20 daily transactions as described in the thesis analysis.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8"/>
              </w:rPr>
              <w:t>Security</w:t>
            </w:r>
          </w:p>
        </w:tc>
        <w:tc>
          <w:tcPr>
            <w:tcW w:type="dxa" w:w="74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shall provide basic authentication, role-based access, and protection from unauthorized transaction changes.</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8"/>
              </w:rPr>
              <w:t>Maintainability</w:t>
            </w:r>
          </w:p>
        </w:tc>
        <w:tc>
          <w:tcPr>
            <w:tcW w:type="dxa" w:w="74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shall be maintainable without requiring a large internal IT team.</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8"/>
              </w:rPr>
              <w:t>Auditability</w:t>
            </w:r>
          </w:p>
        </w:tc>
        <w:tc>
          <w:tcPr>
            <w:tcW w:type="dxa" w:w="74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shall store enough change history to support operational review and accountability.</w:t>
            </w:r>
          </w:p>
        </w:tc>
      </w:tr>
      <w:tr>
        <w:tc>
          <w:tcPr>
            <w:tcW w:type="dxa" w:w="1900"/>
            <w:vAlign w:val="center"/>
            <w:tcMar>
              <w:top w:w="80" w:type="dxa"/>
              <w:start w:w="120" w:type="dxa"/>
              <w:bottom w:w="80" w:type="dxa"/>
              <w:end w:w="120" w:type="dxa"/>
            </w:tcMar>
          </w:tcPr>
          <w:p>
            <w:pPr>
              <w:spacing w:before="0" w:after="60" w:line="264" w:lineRule="auto"/>
            </w:pPr>
            <w:r>
              <w:rPr>
                <w:rFonts w:ascii="Calibri" w:hAnsi="Calibri"/>
                <w:b w:val="0"/>
                <w:color w:val="1F2937"/>
                <w:sz w:val="18"/>
              </w:rPr>
              <w:t>Scalability</w:t>
            </w:r>
          </w:p>
        </w:tc>
        <w:tc>
          <w:tcPr>
            <w:tcW w:type="dxa" w:w="74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system design shall allow future extension, but initial implementation shall remain simple and realistic.</w:t>
            </w:r>
          </w:p>
        </w:tc>
      </w:tr>
    </w:tbl>
    <w:p>
      <w:pPr>
        <w:spacing w:after="120"/>
      </w:pPr>
    </w:p>
    <w:p>
      <w:pPr>
        <w:pStyle w:val="Heading1"/>
      </w:pPr>
      <w:r>
        <w:t>15. Business Rules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00"/>
        <w:gridCol w:w="6100"/>
        <w:gridCol w:w="2060"/>
      </w:tblGrid>
      <w:tr>
        <w:trPr>
          <w:tblHeader w:val="true"/>
        </w:trPr>
        <w:tc>
          <w:tcPr>
            <w:tcW w:type="dxa" w:w="12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Rule ID</w:t>
            </w:r>
          </w:p>
        </w:tc>
        <w:tc>
          <w:tcPr>
            <w:tcW w:type="dxa" w:w="61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Future business rule</w:t>
            </w:r>
          </w:p>
        </w:tc>
        <w:tc>
          <w:tcPr>
            <w:tcW w:type="dxa" w:w="20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Business area</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BRULE-001</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A sales order must be linked to a valid customer record.</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Order</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BRULE-002</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A sales order must contain at least one item line before it can be approved or invoiced.</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Order</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BRULE-003</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Invoice creation should use approved sales order data as the source.</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Invoice</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BRULE-004</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Debit transactions should require immediate payment handling before delivery release, unless management policy states otherwise.</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Payment / Delivery</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BRULE-005</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Credit transactions should have a defined credit term and due date.</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Invoice / Receivable</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BRULE-006</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Payments must be matched to invoices and must not exceed the outstanding balance unless an approved adjustment process exists.</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Payment</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BRULE-007</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Receivable status should be derived from invoice due date, invoice total, payment total, and remaining balance.</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Receivable</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BRULE-008</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Overdue invoices should be identifiable for billing follow-up.</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Billing</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BRULE-009</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Delivery documentation should be linked to the relevant order or invoice for traceability.</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Delivery</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BRULE-010</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 payment behavior should be visible to authorized users when considering credit approval or follow-up priority.</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 Risk</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BRULE-011</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Only authorized users should be allowed to approve exceptional transactions or change sensitive financial status fields.</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Access Control</w:t>
            </w:r>
          </w:p>
        </w:tc>
      </w:tr>
      <w:tr>
        <w:tc>
          <w:tcPr>
            <w:tcW w:type="dxa" w:w="1200"/>
            <w:vAlign w:val="center"/>
            <w:tcMar>
              <w:top w:w="80" w:type="dxa"/>
              <w:start w:w="120" w:type="dxa"/>
              <w:bottom w:w="80" w:type="dxa"/>
              <w:end w:w="120" w:type="dxa"/>
            </w:tcMar>
          </w:tcPr>
          <w:p>
            <w:pPr>
              <w:spacing w:before="0" w:after="60" w:line="264" w:lineRule="auto"/>
            </w:pPr>
            <w:r>
              <w:rPr>
                <w:rFonts w:ascii="Calibri" w:hAnsi="Calibri"/>
                <w:b w:val="0"/>
                <w:color w:val="1F2937"/>
                <w:sz w:val="16"/>
              </w:rPr>
              <w:t>BRULE-012</w:t>
            </w:r>
          </w:p>
        </w:tc>
        <w:tc>
          <w:tcPr>
            <w:tcW w:type="dxa" w:w="6100"/>
            <w:vAlign w:val="center"/>
            <w:tcMar>
              <w:top w:w="80" w:type="dxa"/>
              <w:start w:w="120" w:type="dxa"/>
              <w:bottom w:w="80" w:type="dxa"/>
              <w:end w:w="120" w:type="dxa"/>
            </w:tcMar>
          </w:tcPr>
          <w:p>
            <w:pPr>
              <w:spacing w:before="0" w:after="60" w:line="264" w:lineRule="auto"/>
            </w:pPr>
            <w:r>
              <w:rPr>
                <w:rFonts w:ascii="Calibri" w:hAnsi="Calibri"/>
                <w:b w:val="0"/>
                <w:color w:val="1F2937"/>
                <w:sz w:val="16"/>
              </w:rPr>
              <w:t>Significant transaction changes should create an audit record.</w:t>
            </w:r>
          </w:p>
        </w:tc>
        <w:tc>
          <w:tcPr>
            <w:tcW w:type="dxa" w:w="2060"/>
            <w:vAlign w:val="center"/>
            <w:tcMar>
              <w:top w:w="80" w:type="dxa"/>
              <w:start w:w="120" w:type="dxa"/>
              <w:bottom w:w="80" w:type="dxa"/>
              <w:end w:w="120" w:type="dxa"/>
            </w:tcMar>
          </w:tcPr>
          <w:p>
            <w:pPr>
              <w:spacing w:before="0" w:after="60" w:line="264" w:lineRule="auto"/>
            </w:pPr>
            <w:r>
              <w:rPr>
                <w:rFonts w:ascii="Calibri" w:hAnsi="Calibri"/>
                <w:b w:val="0"/>
                <w:color w:val="1F2937"/>
                <w:sz w:val="16"/>
              </w:rPr>
              <w:t>Audit Trail</w:t>
            </w:r>
          </w:p>
        </w:tc>
      </w:tr>
    </w:tbl>
    <w:p>
      <w:pPr>
        <w:spacing w:after="120"/>
      </w:pPr>
    </w:p>
    <w:p>
      <w:pPr>
        <w:pStyle w:val="Heading1"/>
      </w:pPr>
      <w:r>
        <w:t>16. Data Requirements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Data object</w:t>
            </w:r>
          </w:p>
        </w:tc>
        <w:tc>
          <w:tcPr>
            <w:tcW w:type="dxa" w:w="71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Future data requirement</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 identity, company/contact details, address, customer type, status, payment behavior, and transaction history.</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Order</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Order number, customer, order date, item lines, payment term, total, approval status, and lifecycle status.</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Product / Item</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Item description, quantity, price, and transaction subtotal. Detailed inventory control is outside initial scope unless later approved.</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Invoice</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Invoice number, linked order/customer, issue date, due date, total amount, paid amount, remaining balance, and status.</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Payment</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Invoice reference, payment date, amount, method, reference, note, and recording user.</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Receivable</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Outstanding amount, due date, aging condition, status, and customer relation. This may be stored or derived depending on final design.</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Delivery Note / Surat Jalan</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Delivery document number, linked order/invoice, recipient, delivery date, delivery status, item details, and authorization data.</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Billing Follow-up</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 invoice, follow-up date, status, responsible person, and notes.</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 Follow-up</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Customer interaction date, purpose, result, next action, and responsible person.</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User</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Internal user identity, role, status, and authentication data.</w:t>
            </w:r>
          </w:p>
        </w:tc>
      </w:tr>
      <w:tr>
        <w:tc>
          <w:tcPr>
            <w:tcW w:type="dxa" w:w="2200"/>
            <w:vAlign w:val="center"/>
            <w:tcMar>
              <w:top w:w="80" w:type="dxa"/>
              <w:start w:w="120" w:type="dxa"/>
              <w:bottom w:w="80" w:type="dxa"/>
              <w:end w:w="120" w:type="dxa"/>
            </w:tcMar>
          </w:tcPr>
          <w:p>
            <w:pPr>
              <w:spacing w:before="0" w:after="60" w:line="264" w:lineRule="auto"/>
            </w:pPr>
            <w:r>
              <w:rPr>
                <w:rFonts w:ascii="Calibri" w:hAnsi="Calibri"/>
                <w:b w:val="0"/>
                <w:color w:val="1F2937"/>
                <w:sz w:val="16"/>
              </w:rPr>
              <w:t>Audit Trail</w:t>
            </w:r>
          </w:p>
        </w:tc>
        <w:tc>
          <w:tcPr>
            <w:tcW w:type="dxa" w:w="7160"/>
            <w:vAlign w:val="center"/>
            <w:tcMar>
              <w:top w:w="80" w:type="dxa"/>
              <w:start w:w="120" w:type="dxa"/>
              <w:bottom w:w="80" w:type="dxa"/>
              <w:end w:w="120" w:type="dxa"/>
            </w:tcMar>
          </w:tcPr>
          <w:p>
            <w:pPr>
              <w:spacing w:before="0" w:after="60" w:line="264" w:lineRule="auto"/>
            </w:pPr>
            <w:r>
              <w:rPr>
                <w:rFonts w:ascii="Calibri" w:hAnsi="Calibri"/>
                <w:b w:val="0"/>
                <w:color w:val="1F2937"/>
                <w:sz w:val="16"/>
              </w:rPr>
              <w:t>Actor, action, date/time, changed object, old/new value where applicable, and business note.</w:t>
            </w:r>
          </w:p>
        </w:tc>
      </w:tr>
    </w:tbl>
    <w:p>
      <w:pPr>
        <w:spacing w:after="120"/>
      </w:pPr>
    </w:p>
    <w:p>
      <w:pPr>
        <w:pStyle w:val="Heading1"/>
      </w:pPr>
      <w:r>
        <w:t>17. Reporting and Dashboard Requirements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00"/>
        <w:gridCol w:w="6760"/>
      </w:tblGrid>
      <w:tr>
        <w:trPr>
          <w:tblHeader w:val="true"/>
        </w:trPr>
        <w:tc>
          <w:tcPr>
            <w:tcW w:type="dxa" w:w="26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Report / dashboard area</w:t>
            </w:r>
          </w:p>
        </w:tc>
        <w:tc>
          <w:tcPr>
            <w:tcW w:type="dxa" w:w="67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Future information requirement</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Sales overview</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Total sales value, sales trend, sales order status, and product/category performance.</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Invoice overview</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Invoice count and value by status, due date, payment term, and customer.</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Receivable overview</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Outstanding balance, overdue receivables, aging view, and customers requiring attention.</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Customer insight</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Customer transaction frequency, payment behavior, loyal/active/inactive customers, and risk indicators.</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Follow-up overview</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Pending billing tasks, customer follow-up history, and overdue follow-up actions.</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Operational document list</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Sales orders, invoices, delivery notes, and payment records with search/filter/export capability.</w:t>
            </w:r>
          </w:p>
        </w:tc>
      </w:tr>
      <w:tr>
        <w:tc>
          <w:tcPr>
            <w:tcW w:type="dxa" w:w="2600"/>
            <w:vAlign w:val="center"/>
            <w:tcMar>
              <w:top w:w="80" w:type="dxa"/>
              <w:start w:w="120" w:type="dxa"/>
              <w:bottom w:w="80" w:type="dxa"/>
              <w:end w:w="120" w:type="dxa"/>
            </w:tcMar>
          </w:tcPr>
          <w:p>
            <w:pPr>
              <w:spacing w:before="0" w:after="60" w:line="264" w:lineRule="auto"/>
            </w:pPr>
            <w:r>
              <w:rPr>
                <w:rFonts w:ascii="Calibri" w:hAnsi="Calibri"/>
                <w:b w:val="0"/>
                <w:color w:val="1F2937"/>
                <w:sz w:val="18"/>
              </w:rPr>
              <w:t>Audit review</w:t>
            </w:r>
          </w:p>
        </w:tc>
        <w:tc>
          <w:tcPr>
            <w:tcW w:type="dxa" w:w="6760"/>
            <w:vAlign w:val="center"/>
            <w:tcMar>
              <w:top w:w="80" w:type="dxa"/>
              <w:start w:w="120" w:type="dxa"/>
              <w:bottom w:w="80" w:type="dxa"/>
              <w:end w:w="120" w:type="dxa"/>
            </w:tcMar>
          </w:tcPr>
          <w:p>
            <w:pPr>
              <w:spacing w:before="0" w:after="60" w:line="264" w:lineRule="auto"/>
            </w:pPr>
            <w:r>
              <w:rPr>
                <w:rFonts w:ascii="Calibri" w:hAnsi="Calibri"/>
                <w:b w:val="0"/>
                <w:color w:val="1F2937"/>
                <w:sz w:val="18"/>
              </w:rPr>
              <w:t>Important user actions, approval decisions, and transaction changes.</w:t>
            </w:r>
          </w:p>
        </w:tc>
      </w:tr>
    </w:tbl>
    <w:p>
      <w:pPr>
        <w:spacing w:after="120"/>
      </w:pPr>
    </w:p>
    <w:p>
      <w:pPr>
        <w:pStyle w:val="Heading1"/>
      </w:pPr>
      <w:r>
        <w:t>18. Assumptions and Constraints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0"/>
        <w:gridCol w:w="7660"/>
      </w:tblGrid>
      <w:tr>
        <w:trPr>
          <w:tblHeader w:val="true"/>
        </w:trPr>
        <w:tc>
          <w:tcPr>
            <w:tcW w:type="dxa" w:w="170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Type</w:t>
            </w:r>
          </w:p>
        </w:tc>
        <w:tc>
          <w:tcPr>
            <w:tcW w:type="dxa" w:w="7660"/>
            <w:vAlign w:val="center"/>
            <w:tcMar>
              <w:top w:w="80" w:type="dxa"/>
              <w:start w:w="120" w:type="dxa"/>
              <w:bottom w:w="80" w:type="dxa"/>
              <w:end w:w="120" w:type="dxa"/>
            </w:tcMar>
            <w:shd w:fill="F2F4F7"/>
          </w:tcPr>
          <w:p>
            <w:pPr>
              <w:spacing w:before="0" w:after="60" w:line="264" w:lineRule="auto"/>
            </w:pPr>
            <w:r>
              <w:rPr>
                <w:rFonts w:ascii="Calibri" w:hAnsi="Calibri"/>
                <w:b/>
                <w:color w:val="1F2937"/>
                <w:sz w:val="19"/>
              </w:rPr>
              <w:t>Statement</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Assumption</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CV Tajuk is willing to standardize core revenue-cycle data and process steps before system implementation.</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Assumption</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Internal users can adapt to a simple web-based system with training and management support.</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Assumption</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Existing spreadsheet and document data can be cleaned sufficiently for initial migration.</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future solution must remain realistic for an UMKM with limited infrastructure and no internal IT team.</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initial implementation should not depend on complex external integrations.</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The BRD does not define a full ERP, full accounting system, stock system replacement, or mobile application.</w:t>
            </w:r>
          </w:p>
        </w:tc>
      </w:tr>
      <w:tr>
        <w:tc>
          <w:tcPr>
            <w:tcW w:type="dxa" w:w="1700"/>
            <w:vAlign w:val="center"/>
            <w:tcMar>
              <w:top w:w="80" w:type="dxa"/>
              <w:start w:w="120" w:type="dxa"/>
              <w:bottom w:w="80" w:type="dxa"/>
              <w:end w:w="120" w:type="dxa"/>
            </w:tcMar>
          </w:tcPr>
          <w:p>
            <w:pPr>
              <w:spacing w:before="0" w:after="60" w:line="264" w:lineRule="auto"/>
            </w:pPr>
            <w:r>
              <w:rPr>
                <w:rFonts w:ascii="Calibri" w:hAnsi="Calibri"/>
                <w:b w:val="0"/>
                <w:color w:val="1F2937"/>
                <w:sz w:val="18"/>
              </w:rPr>
              <w:t>Constraint</w:t>
            </w:r>
          </w:p>
        </w:tc>
        <w:tc>
          <w:tcPr>
            <w:tcW w:type="dxa" w:w="7660"/>
            <w:vAlign w:val="center"/>
            <w:tcMar>
              <w:top w:w="80" w:type="dxa"/>
              <w:start w:w="120" w:type="dxa"/>
              <w:bottom w:w="80" w:type="dxa"/>
              <w:end w:w="120" w:type="dxa"/>
            </w:tcMar>
          </w:tcPr>
          <w:p>
            <w:pPr>
              <w:spacing w:before="0" w:after="60" w:line="264" w:lineRule="auto"/>
            </w:pPr>
            <w:r>
              <w:rPr>
                <w:rFonts w:ascii="Calibri" w:hAnsi="Calibri"/>
                <w:b w:val="0"/>
                <w:color w:val="1F2937"/>
                <w:sz w:val="18"/>
              </w:rPr>
              <w:t>Final production security, hosting, backup, and support arrangements require separate implementation planning.</w:t>
            </w:r>
          </w:p>
        </w:tc>
      </w:tr>
    </w:tbl>
    <w:p>
      <w:pPr>
        <w:spacing w:after="120"/>
      </w:pPr>
    </w:p>
    <w:p>
      <w:pPr>
        <w:pStyle w:val="Heading1"/>
      </w:pPr>
      <w:r>
        <w:t>19. Acceptance Criteria for Future Implementation</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00"/>
        <w:gridCol w:w="5700"/>
        <w:gridCol w:w="2760"/>
      </w:tblGrid>
      <w:tr>
        <w:trPr>
          <w:tblHeader w:val="true"/>
        </w:trPr>
        <w:tc>
          <w:tcPr>
            <w:tcW w:type="dxa" w:w="9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ID</w:t>
            </w:r>
          </w:p>
        </w:tc>
        <w:tc>
          <w:tcPr>
            <w:tcW w:type="dxa" w:w="57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Acceptance criterion</w:t>
            </w:r>
          </w:p>
        </w:tc>
        <w:tc>
          <w:tcPr>
            <w:tcW w:type="dxa" w:w="27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Waterfall verification point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AC-001</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Approved users can create and maintain customer records.</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Testing / UAT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AC-002</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orders can be created using standardized required fields and item lines.</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Testing / UAT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AC-003</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Invoices can be generated from approved sales-order data.</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Testing</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AC-004</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Payments can be recorded and invoice balances update correctly.</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Testing</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AC-005</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Outstanding and overdue receivables are visible to authorized users.</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UAT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AC-006</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Billing and customer follow-up activities can be recorded and reviewed.</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UAT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AC-007</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Delivery documentation can be linked to the relevant order or invoice.</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Testing / UAT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AC-008</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Management can view required dashboard and reporting information.</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UAT</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AC-009</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Unauthorized users cannot perform restricted transaction or status actions.</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Security / Access Testing</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AC-010</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Audit records are created for significant transaction changes.</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Testing</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AC-011</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Migrated or initial data is accurate enough for operational use.</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Implementation Readiness</w:t>
            </w:r>
          </w:p>
        </w:tc>
      </w:tr>
      <w:tr>
        <w:tc>
          <w:tcPr>
            <w:tcW w:type="dxa" w:w="900"/>
            <w:vAlign w:val="center"/>
            <w:tcMar>
              <w:top w:w="80" w:type="dxa"/>
              <w:start w:w="120" w:type="dxa"/>
              <w:bottom w:w="80" w:type="dxa"/>
              <w:end w:w="120" w:type="dxa"/>
            </w:tcMar>
          </w:tcPr>
          <w:p>
            <w:pPr>
              <w:spacing w:before="0" w:after="60" w:line="264" w:lineRule="auto"/>
            </w:pPr>
            <w:r>
              <w:rPr>
                <w:rFonts w:ascii="Calibri" w:hAnsi="Calibri"/>
                <w:b w:val="0"/>
                <w:color w:val="1F2937"/>
                <w:sz w:val="16"/>
              </w:rPr>
              <w:t>AC-012</w:t>
            </w:r>
          </w:p>
        </w:tc>
        <w:tc>
          <w:tcPr>
            <w:tcW w:type="dxa" w:w="5700"/>
            <w:vAlign w:val="center"/>
            <w:tcMar>
              <w:top w:w="80" w:type="dxa"/>
              <w:start w:w="120" w:type="dxa"/>
              <w:bottom w:w="80" w:type="dxa"/>
              <w:end w:w="120" w:type="dxa"/>
            </w:tcMar>
          </w:tcPr>
          <w:p>
            <w:pPr>
              <w:spacing w:before="0" w:after="60" w:line="264" w:lineRule="auto"/>
            </w:pPr>
            <w:r>
              <w:rPr>
                <w:rFonts w:ascii="Calibri" w:hAnsi="Calibri"/>
                <w:b w:val="0"/>
                <w:color w:val="1F2937"/>
                <w:sz w:val="16"/>
              </w:rPr>
              <w:t>Users can complete core revenue-cycle tasks with acceptable ease after training.</w:t>
            </w:r>
          </w:p>
        </w:tc>
        <w:tc>
          <w:tcPr>
            <w:tcW w:type="dxa" w:w="2760"/>
            <w:vAlign w:val="center"/>
            <w:tcMar>
              <w:top w:w="80" w:type="dxa"/>
              <w:start w:w="120" w:type="dxa"/>
              <w:bottom w:w="80" w:type="dxa"/>
              <w:end w:w="120" w:type="dxa"/>
            </w:tcMar>
          </w:tcPr>
          <w:p>
            <w:pPr>
              <w:spacing w:before="0" w:after="60" w:line="264" w:lineRule="auto"/>
            </w:pPr>
            <w:r>
              <w:rPr>
                <w:rFonts w:ascii="Calibri" w:hAnsi="Calibri"/>
                <w:b w:val="0"/>
                <w:color w:val="1F2937"/>
                <w:sz w:val="16"/>
              </w:rPr>
              <w:t>UAT / Usability Review</w:t>
            </w:r>
          </w:p>
        </w:tc>
      </w:tr>
    </w:tbl>
    <w:p>
      <w:pPr>
        <w:spacing w:after="120"/>
      </w:pPr>
    </w:p>
    <w:p>
      <w:pPr>
        <w:pStyle w:val="Heading1"/>
      </w:pPr>
      <w:r>
        <w:t>20. Waterfall Deliverables and Sign-off Expectations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00"/>
        <w:gridCol w:w="4800"/>
        <w:gridCol w:w="2260"/>
      </w:tblGrid>
      <w:tr>
        <w:trPr>
          <w:tblHeader w:val="true"/>
        </w:trPr>
        <w:tc>
          <w:tcPr>
            <w:tcW w:type="dxa" w:w="23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Deliverable</w:t>
            </w:r>
          </w:p>
        </w:tc>
        <w:tc>
          <w:tcPr>
            <w:tcW w:type="dxa" w:w="48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Minimum content</w:t>
            </w:r>
          </w:p>
        </w:tc>
        <w:tc>
          <w:tcPr>
            <w:tcW w:type="dxa" w:w="22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Approval owner</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6"/>
              </w:rPr>
              <w:t>BRD</w:t>
            </w:r>
          </w:p>
        </w:tc>
        <w:tc>
          <w:tcPr>
            <w:tcW w:type="dxa" w:w="4800"/>
            <w:vAlign w:val="center"/>
            <w:tcMar>
              <w:top w:w="80" w:type="dxa"/>
              <w:start w:w="120" w:type="dxa"/>
              <w:bottom w:w="80" w:type="dxa"/>
              <w:end w:w="120" w:type="dxa"/>
            </w:tcMar>
          </w:tcPr>
          <w:p>
            <w:pPr>
              <w:spacing w:before="0" w:after="60" w:line="264" w:lineRule="auto"/>
            </w:pPr>
            <w:r>
              <w:rPr>
                <w:rFonts w:ascii="Calibri" w:hAnsi="Calibri"/>
                <w:b w:val="0"/>
                <w:color w:val="1F2937"/>
                <w:sz w:val="16"/>
              </w:rPr>
              <w:t>Business need, scope, roles, requirements, business rules, data needs, acceptance criteria.</w:t>
            </w:r>
          </w:p>
        </w:tc>
        <w:tc>
          <w:tcPr>
            <w:tcW w:type="dxa" w:w="2260"/>
            <w:vAlign w:val="center"/>
            <w:tcMar>
              <w:top w:w="80" w:type="dxa"/>
              <w:start w:w="120" w:type="dxa"/>
              <w:bottom w:w="80" w:type="dxa"/>
              <w:end w:w="120" w:type="dxa"/>
            </w:tcMar>
          </w:tcPr>
          <w:p>
            <w:pPr>
              <w:spacing w:before="0" w:after="60" w:line="264" w:lineRule="auto"/>
            </w:pPr>
            <w:r>
              <w:rPr>
                <w:rFonts w:ascii="Calibri" w:hAnsi="Calibri"/>
                <w:b w:val="0"/>
                <w:color w:val="1F2937"/>
                <w:sz w:val="16"/>
              </w:rPr>
              <w:t>Management and academic supervisor</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6"/>
              </w:rPr>
              <w:t>SRS / Functional Specification</w:t>
            </w:r>
          </w:p>
        </w:tc>
        <w:tc>
          <w:tcPr>
            <w:tcW w:type="dxa" w:w="4800"/>
            <w:vAlign w:val="center"/>
            <w:tcMar>
              <w:top w:w="80" w:type="dxa"/>
              <w:start w:w="120" w:type="dxa"/>
              <w:bottom w:w="80" w:type="dxa"/>
              <w:end w:w="120" w:type="dxa"/>
            </w:tcMar>
          </w:tcPr>
          <w:p>
            <w:pPr>
              <w:spacing w:before="0" w:after="60" w:line="264" w:lineRule="auto"/>
            </w:pPr>
            <w:r>
              <w:rPr>
                <w:rFonts w:ascii="Calibri" w:hAnsi="Calibri"/>
                <w:b w:val="0"/>
                <w:color w:val="1F2937"/>
                <w:sz w:val="16"/>
              </w:rPr>
              <w:t>Detailed functional flows, validation rules, access matrix, exception handling.</w:t>
            </w:r>
          </w:p>
        </w:tc>
        <w:tc>
          <w:tcPr>
            <w:tcW w:type="dxa" w:w="2260"/>
            <w:vAlign w:val="center"/>
            <w:tcMar>
              <w:top w:w="80" w:type="dxa"/>
              <w:start w:w="120" w:type="dxa"/>
              <w:bottom w:w="80" w:type="dxa"/>
              <w:end w:w="120" w:type="dxa"/>
            </w:tcMar>
          </w:tcPr>
          <w:p>
            <w:pPr>
              <w:spacing w:before="0" w:after="60" w:line="264" w:lineRule="auto"/>
            </w:pPr>
            <w:r>
              <w:rPr>
                <w:rFonts w:ascii="Calibri" w:hAnsi="Calibri"/>
                <w:b w:val="0"/>
                <w:color w:val="1F2937"/>
                <w:sz w:val="16"/>
              </w:rPr>
              <w:t>Business owner and analyst</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Design Document</w:t>
            </w:r>
          </w:p>
        </w:tc>
        <w:tc>
          <w:tcPr>
            <w:tcW w:type="dxa" w:w="4800"/>
            <w:vAlign w:val="center"/>
            <w:tcMar>
              <w:top w:w="80" w:type="dxa"/>
              <w:start w:w="120" w:type="dxa"/>
              <w:bottom w:w="80" w:type="dxa"/>
              <w:end w:w="120" w:type="dxa"/>
            </w:tcMar>
          </w:tcPr>
          <w:p>
            <w:pPr>
              <w:spacing w:before="0" w:after="60" w:line="264" w:lineRule="auto"/>
            </w:pPr>
            <w:r>
              <w:rPr>
                <w:rFonts w:ascii="Calibri" w:hAnsi="Calibri"/>
                <w:b w:val="0"/>
                <w:color w:val="1F2937"/>
                <w:sz w:val="16"/>
              </w:rPr>
              <w:t>Architecture, ERD, database schema, UI flow, report design, control design.</w:t>
            </w:r>
          </w:p>
        </w:tc>
        <w:tc>
          <w:tcPr>
            <w:tcW w:type="dxa" w:w="2260"/>
            <w:vAlign w:val="center"/>
            <w:tcMar>
              <w:top w:w="80" w:type="dxa"/>
              <w:start w:w="120" w:type="dxa"/>
              <w:bottom w:w="80" w:type="dxa"/>
              <w:end w:w="120" w:type="dxa"/>
            </w:tcMar>
          </w:tcPr>
          <w:p>
            <w:pPr>
              <w:spacing w:before="0" w:after="60" w:line="264" w:lineRule="auto"/>
            </w:pPr>
            <w:r>
              <w:rPr>
                <w:rFonts w:ascii="Calibri" w:hAnsi="Calibri"/>
                <w:b w:val="0"/>
                <w:color w:val="1F2937"/>
                <w:sz w:val="16"/>
              </w:rPr>
              <w:t>Analyst/designer and technical owner</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6"/>
              </w:rPr>
              <w:t>Test Plan</w:t>
            </w:r>
          </w:p>
        </w:tc>
        <w:tc>
          <w:tcPr>
            <w:tcW w:type="dxa" w:w="480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test cases, UAT scenarios, expected results, defect handling process.</w:t>
            </w:r>
          </w:p>
        </w:tc>
        <w:tc>
          <w:tcPr>
            <w:tcW w:type="dxa" w:w="2260"/>
            <w:vAlign w:val="center"/>
            <w:tcMar>
              <w:top w:w="80" w:type="dxa"/>
              <w:start w:w="120" w:type="dxa"/>
              <w:bottom w:w="80" w:type="dxa"/>
              <w:end w:w="120" w:type="dxa"/>
            </w:tcMar>
          </w:tcPr>
          <w:p>
            <w:pPr>
              <w:spacing w:before="0" w:after="60" w:line="264" w:lineRule="auto"/>
            </w:pPr>
            <w:r>
              <w:rPr>
                <w:rFonts w:ascii="Calibri" w:hAnsi="Calibri"/>
                <w:b w:val="0"/>
                <w:color w:val="1F2937"/>
                <w:sz w:val="16"/>
              </w:rPr>
              <w:t>Project team and business users</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6"/>
              </w:rPr>
              <w:t>Migration Plan</w:t>
            </w:r>
          </w:p>
        </w:tc>
        <w:tc>
          <w:tcPr>
            <w:tcW w:type="dxa" w:w="4800"/>
            <w:vAlign w:val="center"/>
            <w:tcMar>
              <w:top w:w="80" w:type="dxa"/>
              <w:start w:w="120" w:type="dxa"/>
              <w:bottom w:w="80" w:type="dxa"/>
              <w:end w:w="120" w:type="dxa"/>
            </w:tcMar>
          </w:tcPr>
          <w:p>
            <w:pPr>
              <w:spacing w:before="0" w:after="60" w:line="264" w:lineRule="auto"/>
            </w:pPr>
            <w:r>
              <w:rPr>
                <w:rFonts w:ascii="Calibri" w:hAnsi="Calibri"/>
                <w:b w:val="0"/>
                <w:color w:val="1F2937"/>
                <w:sz w:val="16"/>
              </w:rPr>
              <w:t>Source data, cleansing rules, import approach, validation checklist.</w:t>
            </w:r>
          </w:p>
        </w:tc>
        <w:tc>
          <w:tcPr>
            <w:tcW w:type="dxa" w:w="2260"/>
            <w:vAlign w:val="center"/>
            <w:tcMar>
              <w:top w:w="80" w:type="dxa"/>
              <w:start w:w="120" w:type="dxa"/>
              <w:bottom w:w="80" w:type="dxa"/>
              <w:end w:w="120" w:type="dxa"/>
            </w:tcMar>
          </w:tcPr>
          <w:p>
            <w:pPr>
              <w:spacing w:before="0" w:after="60" w:line="264" w:lineRule="auto"/>
            </w:pPr>
            <w:r>
              <w:rPr>
                <w:rFonts w:ascii="Calibri" w:hAnsi="Calibri"/>
                <w:b w:val="0"/>
                <w:color w:val="1F2937"/>
                <w:sz w:val="16"/>
              </w:rPr>
              <w:t>Admin/management and implementation team</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6"/>
              </w:rPr>
              <w:t>Training and SOP Material</w:t>
            </w:r>
          </w:p>
        </w:tc>
        <w:tc>
          <w:tcPr>
            <w:tcW w:type="dxa" w:w="4800"/>
            <w:vAlign w:val="center"/>
            <w:tcMar>
              <w:top w:w="80" w:type="dxa"/>
              <w:start w:w="120" w:type="dxa"/>
              <w:bottom w:w="80" w:type="dxa"/>
              <w:end w:w="120" w:type="dxa"/>
            </w:tcMar>
          </w:tcPr>
          <w:p>
            <w:pPr>
              <w:spacing w:before="0" w:after="60" w:line="264" w:lineRule="auto"/>
            </w:pPr>
            <w:r>
              <w:rPr>
                <w:rFonts w:ascii="Calibri" w:hAnsi="Calibri"/>
                <w:b w:val="0"/>
                <w:color w:val="1F2937"/>
                <w:sz w:val="16"/>
              </w:rPr>
              <w:t>User instructions, process responsibilities, role procedures.</w:t>
            </w:r>
          </w:p>
        </w:tc>
        <w:tc>
          <w:tcPr>
            <w:tcW w:type="dxa" w:w="2260"/>
            <w:vAlign w:val="center"/>
            <w:tcMar>
              <w:top w:w="80" w:type="dxa"/>
              <w:start w:w="120" w:type="dxa"/>
              <w:bottom w:w="80" w:type="dxa"/>
              <w:end w:w="120" w:type="dxa"/>
            </w:tcMar>
          </w:tcPr>
          <w:p>
            <w:pPr>
              <w:spacing w:before="0" w:after="60" w:line="264" w:lineRule="auto"/>
            </w:pPr>
            <w:r>
              <w:rPr>
                <w:rFonts w:ascii="Calibri" w:hAnsi="Calibri"/>
                <w:b w:val="0"/>
                <w:color w:val="1F2937"/>
                <w:sz w:val="16"/>
              </w:rPr>
              <w:t>Management and process owner</w:t>
            </w:r>
          </w:p>
        </w:tc>
      </w:tr>
      <w:tr>
        <w:tc>
          <w:tcPr>
            <w:tcW w:type="dxa" w:w="2300"/>
            <w:vAlign w:val="center"/>
            <w:tcMar>
              <w:top w:w="80" w:type="dxa"/>
              <w:start w:w="120" w:type="dxa"/>
              <w:bottom w:w="80" w:type="dxa"/>
              <w:end w:w="120" w:type="dxa"/>
            </w:tcMar>
          </w:tcPr>
          <w:p>
            <w:pPr>
              <w:spacing w:before="0" w:after="60" w:line="264" w:lineRule="auto"/>
            </w:pPr>
            <w:r>
              <w:rPr>
                <w:rFonts w:ascii="Calibri" w:hAnsi="Calibri"/>
                <w:b w:val="0"/>
                <w:color w:val="1F2937"/>
                <w:sz w:val="16"/>
              </w:rPr>
              <w:t>UAT Sign-off</w:t>
            </w:r>
          </w:p>
        </w:tc>
        <w:tc>
          <w:tcPr>
            <w:tcW w:type="dxa" w:w="4800"/>
            <w:vAlign w:val="center"/>
            <w:tcMar>
              <w:top w:w="80" w:type="dxa"/>
              <w:start w:w="120" w:type="dxa"/>
              <w:bottom w:w="80" w:type="dxa"/>
              <w:end w:w="120" w:type="dxa"/>
            </w:tcMar>
          </w:tcPr>
          <w:p>
            <w:pPr>
              <w:spacing w:before="0" w:after="60" w:line="264" w:lineRule="auto"/>
            </w:pPr>
            <w:r>
              <w:rPr>
                <w:rFonts w:ascii="Calibri" w:hAnsi="Calibri"/>
                <w:b w:val="0"/>
                <w:color w:val="1F2937"/>
                <w:sz w:val="16"/>
              </w:rPr>
              <w:t>Evidence that users can complete agreed tasks and accept the system for intended use.</w:t>
            </w:r>
          </w:p>
        </w:tc>
        <w:tc>
          <w:tcPr>
            <w:tcW w:type="dxa" w:w="2260"/>
            <w:vAlign w:val="center"/>
            <w:tcMar>
              <w:top w:w="80" w:type="dxa"/>
              <w:start w:w="120" w:type="dxa"/>
              <w:bottom w:w="80" w:type="dxa"/>
              <w:end w:w="120" w:type="dxa"/>
            </w:tcMar>
          </w:tcPr>
          <w:p>
            <w:pPr>
              <w:spacing w:before="0" w:after="60" w:line="264" w:lineRule="auto"/>
            </w:pPr>
            <w:r>
              <w:rPr>
                <w:rFonts w:ascii="Calibri" w:hAnsi="Calibri"/>
                <w:b w:val="0"/>
                <w:color w:val="1F2937"/>
                <w:sz w:val="16"/>
              </w:rPr>
              <w:t>Business users and management</w:t>
            </w:r>
          </w:p>
        </w:tc>
      </w:tr>
    </w:tbl>
    <w:p>
      <w:pPr>
        <w:spacing w:after="120"/>
      </w:pPr>
    </w:p>
    <w:p>
      <w:pPr>
        <w:pStyle w:val="Heading1"/>
      </w:pPr>
      <w:r>
        <w:t>21. Risks and Considerations</w:t>
      </w:r>
    </w:p>
    <w:tbl>
      <w:tblPr>
        <w:tblW w:type="dxa" w:w="9360"/>
        <w:jc w:val="left"/>
        <w:tblLayout w:type="fixed"/>
        <w:tblLook w:firstColumn="1" w:firstRow="1" w:lastColumn="0" w:lastRow="0" w:noHBand="0" w:noVBand="1" w:val="04A0"/>
        <w:tblInd w:type="dxa" w:w="12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00"/>
        <w:gridCol w:w="3200"/>
        <w:gridCol w:w="3460"/>
      </w:tblGrid>
      <w:tr>
        <w:trPr>
          <w:tblHeader w:val="true"/>
        </w:trPr>
        <w:tc>
          <w:tcPr>
            <w:tcW w:type="dxa" w:w="27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Risk</w:t>
            </w:r>
          </w:p>
        </w:tc>
        <w:tc>
          <w:tcPr>
            <w:tcW w:type="dxa" w:w="320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Impact</w:t>
            </w:r>
          </w:p>
        </w:tc>
        <w:tc>
          <w:tcPr>
            <w:tcW w:type="dxa" w:w="3460"/>
            <w:vAlign w:val="center"/>
            <w:tcMar>
              <w:top w:w="80" w:type="dxa"/>
              <w:start w:w="120" w:type="dxa"/>
              <w:bottom w:w="80" w:type="dxa"/>
              <w:end w:w="120" w:type="dxa"/>
            </w:tcMar>
            <w:shd w:fill="F2F4F7"/>
          </w:tcPr>
          <w:p>
            <w:pPr>
              <w:spacing w:before="0" w:after="60" w:line="264" w:lineRule="auto"/>
            </w:pPr>
            <w:r>
              <w:rPr>
                <w:rFonts w:ascii="Calibri" w:hAnsi="Calibri"/>
                <w:b/>
                <w:color w:val="1F2937"/>
                <w:sz w:val="17"/>
              </w:rPr>
              <w:t>Mitigation</w:t>
            </w:r>
          </w:p>
        </w:tc>
      </w:tr>
      <w:tr>
        <w:tc>
          <w:tcPr>
            <w:tcW w:type="dxa" w:w="2700"/>
            <w:vAlign w:val="center"/>
            <w:tcMar>
              <w:top w:w="80" w:type="dxa"/>
              <w:start w:w="120" w:type="dxa"/>
              <w:bottom w:w="80" w:type="dxa"/>
              <w:end w:w="120" w:type="dxa"/>
            </w:tcMar>
          </w:tcPr>
          <w:p>
            <w:pPr>
              <w:spacing w:before="0" w:after="60" w:line="264" w:lineRule="auto"/>
            </w:pPr>
            <w:r>
              <w:rPr>
                <w:rFonts w:ascii="Calibri" w:hAnsi="Calibri"/>
                <w:b w:val="0"/>
                <w:color w:val="1F2937"/>
                <w:sz w:val="16"/>
              </w:rPr>
              <w:t>Poor source data quality</w:t>
            </w:r>
          </w:p>
        </w:tc>
        <w:tc>
          <w:tcPr>
            <w:tcW w:type="dxa" w:w="3200"/>
            <w:vAlign w:val="center"/>
            <w:tcMar>
              <w:top w:w="80" w:type="dxa"/>
              <w:start w:w="120" w:type="dxa"/>
              <w:bottom w:w="80" w:type="dxa"/>
              <w:end w:w="120" w:type="dxa"/>
            </w:tcMar>
          </w:tcPr>
          <w:p>
            <w:pPr>
              <w:spacing w:before="0" w:after="60" w:line="264" w:lineRule="auto"/>
            </w:pPr>
            <w:r>
              <w:rPr>
                <w:rFonts w:ascii="Calibri" w:hAnsi="Calibri"/>
                <w:b w:val="0"/>
                <w:color w:val="1F2937"/>
                <w:sz w:val="16"/>
              </w:rPr>
              <w:t>Reports and receivable status may become unreliable.</w:t>
            </w:r>
          </w:p>
        </w:tc>
        <w:tc>
          <w:tcPr>
            <w:tcW w:type="dxa" w:w="3460"/>
            <w:vAlign w:val="center"/>
            <w:tcMar>
              <w:top w:w="80" w:type="dxa"/>
              <w:start w:w="120" w:type="dxa"/>
              <w:bottom w:w="80" w:type="dxa"/>
              <w:end w:w="120" w:type="dxa"/>
            </w:tcMar>
          </w:tcPr>
          <w:p>
            <w:pPr>
              <w:spacing w:before="0" w:after="60" w:line="264" w:lineRule="auto"/>
            </w:pPr>
            <w:r>
              <w:rPr>
                <w:rFonts w:ascii="Calibri" w:hAnsi="Calibri"/>
                <w:b w:val="0"/>
                <w:color w:val="1F2937"/>
                <w:sz w:val="16"/>
              </w:rPr>
              <w:t>Clean and validate customer, order, invoice, and payment data before migration.</w:t>
            </w:r>
          </w:p>
        </w:tc>
      </w:tr>
      <w:tr>
        <w:tc>
          <w:tcPr>
            <w:tcW w:type="dxa" w:w="2700"/>
            <w:vAlign w:val="center"/>
            <w:tcMar>
              <w:top w:w="80" w:type="dxa"/>
              <w:start w:w="120" w:type="dxa"/>
              <w:bottom w:w="80" w:type="dxa"/>
              <w:end w:w="120" w:type="dxa"/>
            </w:tcMar>
          </w:tcPr>
          <w:p>
            <w:pPr>
              <w:spacing w:before="0" w:after="60" w:line="264" w:lineRule="auto"/>
            </w:pPr>
            <w:r>
              <w:rPr>
                <w:rFonts w:ascii="Calibri" w:hAnsi="Calibri"/>
                <w:b w:val="0"/>
                <w:color w:val="1F2937"/>
                <w:sz w:val="16"/>
              </w:rPr>
              <w:t>User resistance or low adoption</w:t>
            </w:r>
          </w:p>
        </w:tc>
        <w:tc>
          <w:tcPr>
            <w:tcW w:type="dxa" w:w="3200"/>
            <w:vAlign w:val="center"/>
            <w:tcMar>
              <w:top w:w="80" w:type="dxa"/>
              <w:start w:w="120" w:type="dxa"/>
              <w:bottom w:w="80" w:type="dxa"/>
              <w:end w:w="120" w:type="dxa"/>
            </w:tcMar>
          </w:tcPr>
          <w:p>
            <w:pPr>
              <w:spacing w:before="0" w:after="60" w:line="264" w:lineRule="auto"/>
            </w:pPr>
            <w:r>
              <w:rPr>
                <w:rFonts w:ascii="Calibri" w:hAnsi="Calibri"/>
                <w:b w:val="0"/>
                <w:color w:val="1F2937"/>
                <w:sz w:val="16"/>
              </w:rPr>
              <w:t>Users may return to informal manual processes.</w:t>
            </w:r>
          </w:p>
        </w:tc>
        <w:tc>
          <w:tcPr>
            <w:tcW w:type="dxa" w:w="3460"/>
            <w:vAlign w:val="center"/>
            <w:tcMar>
              <w:top w:w="80" w:type="dxa"/>
              <w:start w:w="120" w:type="dxa"/>
              <w:bottom w:w="80" w:type="dxa"/>
              <w:end w:w="120" w:type="dxa"/>
            </w:tcMar>
          </w:tcPr>
          <w:p>
            <w:pPr>
              <w:spacing w:before="0" w:after="60" w:line="264" w:lineRule="auto"/>
            </w:pPr>
            <w:r>
              <w:rPr>
                <w:rFonts w:ascii="Calibri" w:hAnsi="Calibri"/>
                <w:b w:val="0"/>
                <w:color w:val="1F2937"/>
                <w:sz w:val="16"/>
              </w:rPr>
              <w:t>Provide simple workflows, training, and management enforcement.</w:t>
            </w:r>
          </w:p>
        </w:tc>
      </w:tr>
      <w:tr>
        <w:tc>
          <w:tcPr>
            <w:tcW w:type="dxa" w:w="2700"/>
            <w:vAlign w:val="center"/>
            <w:tcMar>
              <w:top w:w="80" w:type="dxa"/>
              <w:start w:w="120" w:type="dxa"/>
              <w:bottom w:w="80" w:type="dxa"/>
              <w:end w:w="120" w:type="dxa"/>
            </w:tcMar>
          </w:tcPr>
          <w:p>
            <w:pPr>
              <w:spacing w:before="0" w:after="60" w:line="264" w:lineRule="auto"/>
            </w:pPr>
            <w:r>
              <w:rPr>
                <w:rFonts w:ascii="Calibri" w:hAnsi="Calibri"/>
                <w:b w:val="0"/>
                <w:color w:val="1F2937"/>
                <w:sz w:val="16"/>
              </w:rPr>
              <w:t>Scope expansion</w:t>
            </w:r>
          </w:p>
        </w:tc>
        <w:tc>
          <w:tcPr>
            <w:tcW w:type="dxa" w:w="3200"/>
            <w:vAlign w:val="center"/>
            <w:tcMar>
              <w:top w:w="80" w:type="dxa"/>
              <w:start w:w="120" w:type="dxa"/>
              <w:bottom w:w="80" w:type="dxa"/>
              <w:end w:w="120" w:type="dxa"/>
            </w:tcMar>
          </w:tcPr>
          <w:p>
            <w:pPr>
              <w:spacing w:before="0" w:after="60" w:line="264" w:lineRule="auto"/>
            </w:pPr>
            <w:r>
              <w:rPr>
                <w:rFonts w:ascii="Calibri" w:hAnsi="Calibri"/>
                <w:b w:val="0"/>
                <w:color w:val="1F2937"/>
                <w:sz w:val="16"/>
              </w:rPr>
              <w:t>The project may become too large for UMKM resources.</w:t>
            </w:r>
          </w:p>
        </w:tc>
        <w:tc>
          <w:tcPr>
            <w:tcW w:type="dxa" w:w="3460"/>
            <w:vAlign w:val="center"/>
            <w:tcMar>
              <w:top w:w="80" w:type="dxa"/>
              <w:start w:w="120" w:type="dxa"/>
              <w:bottom w:w="80" w:type="dxa"/>
              <w:end w:w="120" w:type="dxa"/>
            </w:tcMar>
          </w:tcPr>
          <w:p>
            <w:pPr>
              <w:spacing w:before="0" w:after="60" w:line="264" w:lineRule="auto"/>
            </w:pPr>
            <w:r>
              <w:rPr>
                <w:rFonts w:ascii="Calibri" w:hAnsi="Calibri"/>
                <w:b w:val="0"/>
                <w:color w:val="1F2937"/>
                <w:sz w:val="16"/>
              </w:rPr>
              <w:t>Use change control and defer ERP, accounting, payment gateway, and logistics integration.</w:t>
            </w:r>
          </w:p>
        </w:tc>
      </w:tr>
      <w:tr>
        <w:tc>
          <w:tcPr>
            <w:tcW w:type="dxa" w:w="2700"/>
            <w:vAlign w:val="center"/>
            <w:tcMar>
              <w:top w:w="80" w:type="dxa"/>
              <w:start w:w="120" w:type="dxa"/>
              <w:bottom w:w="80" w:type="dxa"/>
              <w:end w:w="120" w:type="dxa"/>
            </w:tcMar>
          </w:tcPr>
          <w:p>
            <w:pPr>
              <w:spacing w:before="0" w:after="60" w:line="264" w:lineRule="auto"/>
            </w:pPr>
            <w:r>
              <w:rPr>
                <w:rFonts w:ascii="Calibri" w:hAnsi="Calibri"/>
                <w:b w:val="0"/>
                <w:color w:val="1F2937"/>
                <w:sz w:val="16"/>
              </w:rPr>
              <w:t>Insufficient process standardization</w:t>
            </w:r>
          </w:p>
        </w:tc>
        <w:tc>
          <w:tcPr>
            <w:tcW w:type="dxa" w:w="3200"/>
            <w:vAlign w:val="center"/>
            <w:tcMar>
              <w:top w:w="80" w:type="dxa"/>
              <w:start w:w="120" w:type="dxa"/>
              <w:bottom w:w="80" w:type="dxa"/>
              <w:end w:w="120" w:type="dxa"/>
            </w:tcMar>
          </w:tcPr>
          <w:p>
            <w:pPr>
              <w:spacing w:before="0" w:after="60" w:line="264" w:lineRule="auto"/>
            </w:pPr>
            <w:r>
              <w:rPr>
                <w:rFonts w:ascii="Calibri" w:hAnsi="Calibri"/>
                <w:b w:val="0"/>
                <w:color w:val="1F2937"/>
                <w:sz w:val="16"/>
              </w:rPr>
              <w:t>System design may not match real daily operations.</w:t>
            </w:r>
          </w:p>
        </w:tc>
        <w:tc>
          <w:tcPr>
            <w:tcW w:type="dxa" w:w="3460"/>
            <w:vAlign w:val="center"/>
            <w:tcMar>
              <w:top w:w="80" w:type="dxa"/>
              <w:start w:w="120" w:type="dxa"/>
              <w:bottom w:w="80" w:type="dxa"/>
              <w:end w:w="120" w:type="dxa"/>
            </w:tcMar>
          </w:tcPr>
          <w:p>
            <w:pPr>
              <w:spacing w:before="0" w:after="60" w:line="264" w:lineRule="auto"/>
            </w:pPr>
            <w:r>
              <w:rPr>
                <w:rFonts w:ascii="Calibri" w:hAnsi="Calibri"/>
                <w:b w:val="0"/>
                <w:color w:val="1F2937"/>
                <w:sz w:val="16"/>
              </w:rPr>
              <w:t>Approve SOP and business rules before construction.</w:t>
            </w:r>
          </w:p>
        </w:tc>
      </w:tr>
      <w:tr>
        <w:tc>
          <w:tcPr>
            <w:tcW w:type="dxa" w:w="2700"/>
            <w:vAlign w:val="center"/>
            <w:tcMar>
              <w:top w:w="80" w:type="dxa"/>
              <w:start w:w="120" w:type="dxa"/>
              <w:bottom w:w="80" w:type="dxa"/>
              <w:end w:w="120" w:type="dxa"/>
            </w:tcMar>
          </w:tcPr>
          <w:p>
            <w:pPr>
              <w:spacing w:before="0" w:after="60" w:line="264" w:lineRule="auto"/>
            </w:pPr>
            <w:r>
              <w:rPr>
                <w:rFonts w:ascii="Calibri" w:hAnsi="Calibri"/>
                <w:b w:val="0"/>
                <w:color w:val="1F2937"/>
                <w:sz w:val="16"/>
              </w:rPr>
              <w:t>Limited IT support</w:t>
            </w:r>
          </w:p>
        </w:tc>
        <w:tc>
          <w:tcPr>
            <w:tcW w:type="dxa" w:w="3200"/>
            <w:vAlign w:val="center"/>
            <w:tcMar>
              <w:top w:w="80" w:type="dxa"/>
              <w:start w:w="120" w:type="dxa"/>
              <w:bottom w:w="80" w:type="dxa"/>
              <w:end w:w="120" w:type="dxa"/>
            </w:tcMar>
          </w:tcPr>
          <w:p>
            <w:pPr>
              <w:spacing w:before="0" w:after="60" w:line="264" w:lineRule="auto"/>
            </w:pPr>
            <w:r>
              <w:rPr>
                <w:rFonts w:ascii="Calibri" w:hAnsi="Calibri"/>
                <w:b w:val="0"/>
                <w:color w:val="1F2937"/>
                <w:sz w:val="16"/>
              </w:rPr>
              <w:t>Maintenance may depend too heavily on external parties.</w:t>
            </w:r>
          </w:p>
        </w:tc>
        <w:tc>
          <w:tcPr>
            <w:tcW w:type="dxa" w:w="3460"/>
            <w:vAlign w:val="center"/>
            <w:tcMar>
              <w:top w:w="80" w:type="dxa"/>
              <w:start w:w="120" w:type="dxa"/>
              <w:bottom w:w="80" w:type="dxa"/>
              <w:end w:w="120" w:type="dxa"/>
            </w:tcMar>
          </w:tcPr>
          <w:p>
            <w:pPr>
              <w:spacing w:before="0" w:after="60" w:line="264" w:lineRule="auto"/>
            </w:pPr>
            <w:r>
              <w:rPr>
                <w:rFonts w:ascii="Calibri" w:hAnsi="Calibri"/>
                <w:b w:val="0"/>
                <w:color w:val="1F2937"/>
                <w:sz w:val="16"/>
              </w:rPr>
              <w:t>Keep technology simple and document support procedures.</w:t>
            </w:r>
          </w:p>
        </w:tc>
      </w:tr>
      <w:tr>
        <w:tc>
          <w:tcPr>
            <w:tcW w:type="dxa" w:w="2700"/>
            <w:vAlign w:val="center"/>
            <w:tcMar>
              <w:top w:w="80" w:type="dxa"/>
              <w:start w:w="120" w:type="dxa"/>
              <w:bottom w:w="80" w:type="dxa"/>
              <w:end w:w="120" w:type="dxa"/>
            </w:tcMar>
          </w:tcPr>
          <w:p>
            <w:pPr>
              <w:spacing w:before="0" w:after="60" w:line="264" w:lineRule="auto"/>
            </w:pPr>
            <w:r>
              <w:rPr>
                <w:rFonts w:ascii="Calibri" w:hAnsi="Calibri"/>
                <w:b w:val="0"/>
                <w:color w:val="1F2937"/>
                <w:sz w:val="16"/>
              </w:rPr>
              <w:t>Operational disruption during transition</w:t>
            </w:r>
          </w:p>
        </w:tc>
        <w:tc>
          <w:tcPr>
            <w:tcW w:type="dxa" w:w="3200"/>
            <w:vAlign w:val="center"/>
            <w:tcMar>
              <w:top w:w="80" w:type="dxa"/>
              <w:start w:w="120" w:type="dxa"/>
              <w:bottom w:w="80" w:type="dxa"/>
              <w:end w:w="120" w:type="dxa"/>
            </w:tcMar>
          </w:tcPr>
          <w:p>
            <w:pPr>
              <w:spacing w:before="0" w:after="60" w:line="264" w:lineRule="auto"/>
            </w:pPr>
            <w:r>
              <w:rPr>
                <w:rFonts w:ascii="Calibri" w:hAnsi="Calibri"/>
                <w:b w:val="0"/>
                <w:color w:val="1F2937"/>
                <w:sz w:val="16"/>
              </w:rPr>
              <w:t>Sales, billing, or receivable activities may slow temporarily.</w:t>
            </w:r>
          </w:p>
        </w:tc>
        <w:tc>
          <w:tcPr>
            <w:tcW w:type="dxa" w:w="3460"/>
            <w:vAlign w:val="center"/>
            <w:tcMar>
              <w:top w:w="80" w:type="dxa"/>
              <w:start w:w="120" w:type="dxa"/>
              <w:bottom w:w="80" w:type="dxa"/>
              <w:end w:w="120" w:type="dxa"/>
            </w:tcMar>
          </w:tcPr>
          <w:p>
            <w:pPr>
              <w:spacing w:before="0" w:after="60" w:line="264" w:lineRule="auto"/>
            </w:pPr>
            <w:r>
              <w:rPr>
                <w:rFonts w:ascii="Calibri" w:hAnsi="Calibri"/>
                <w:b w:val="0"/>
                <w:color w:val="1F2937"/>
                <w:sz w:val="16"/>
              </w:rPr>
              <w:t>Use phased rollout, parallel validation, and clear cutover planning.</w:t>
            </w:r>
          </w:p>
        </w:tc>
      </w:tr>
    </w:tbl>
    <w:p>
      <w:pPr>
        <w:spacing w:after="120"/>
      </w:pPr>
    </w:p>
    <w:p>
      <w:pPr>
        <w:pStyle w:val="Heading1"/>
      </w:pPr>
      <w:r>
        <w:t>22. Conclusion</w:t>
      </w:r>
    </w:p>
    <w:p>
      <w:pPr>
        <w:spacing w:before="0" w:after="120" w:line="264" w:lineRule="auto"/>
      </w:pPr>
      <w:r>
        <w:rPr>
          <w:rFonts w:ascii="Calibri" w:hAnsi="Calibri"/>
          <w:color w:val="1F2937"/>
          <w:sz w:val="22"/>
        </w:rPr>
        <w:t>This revised BRD defines the future business requirements for CV Tajuk's Revenue Cycle Information System and positions the document as an input to Waterfall SDLC requirement analysis. It emphasizes future implementation needs, business rules, acceptance criteria, and phase-gate deliverables.</w:t>
      </w:r>
    </w:p>
    <w:p>
      <w:pPr>
        <w:spacing w:before="0" w:after="120" w:line="264" w:lineRule="auto"/>
      </w:pPr>
      <w:r>
        <w:rPr>
          <w:rFonts w:ascii="Calibri" w:hAnsi="Calibri"/>
          <w:color w:val="1F2937"/>
          <w:sz w:val="22"/>
        </w:rPr>
        <w:t>The next recommended step is formal stakeholder review and requirement sign-off. After approval, the requirements should be translated into a detailed system specification and design package before construction begins.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4748B"/>
        <w:sz w:val="17"/>
      </w:rPr>
      <w:t>BRD - Future Revenue Cycle Information System for CV Tajuk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Future Revenue Cycle Information System for CV Tajuk</dc:title>
  <dc:subject>Future implementation BRD aligned with Waterfall SDLC</dc:subject>
  <dc:creator>Nicholas Yuwito</dc:creator>
  <cp:keywords/>
  <dc:description>Rewritten to emphasize future business requirements rather than MVP implementation documentation.</dc:description>
  <cp:lastModifiedBy/>
  <cp:revision>1</cp:revision>
  <dcterms:created xsi:type="dcterms:W3CDTF">2013-12-23T23:15:00Z</dcterms:created>
  <dcterms:modified xsi:type="dcterms:W3CDTF">2013-12-23T23:15:00Z</dcterms:modified>
  <cp:category/>
</cp:coreProperties>
</file>