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64" w:lineRule="auto"/>
        <w:jc w:val="center"/>
      </w:pPr>
      <w:r>
        <w:rPr>
          <w:rFonts w:ascii="Calibri" w:hAnsi="Calibri"/>
          <w:b/>
          <w:color w:val="64748B"/>
          <w:sz w:val="24"/>
        </w:rPr>
        <w:t>Academic Thesis Documentation</w:t>
      </w:r>
    </w:p>
    <w:p>
      <w:pPr>
        <w:spacing w:before="1760" w:after="160"/>
        <w:jc w:val="center"/>
      </w:pPr>
      <w:r>
        <w:rPr>
          <w:rFonts w:ascii="Calibri" w:hAnsi="Calibri"/>
          <w:b/>
          <w:color w:val="2E74B5"/>
          <w:sz w:val="52"/>
        </w:rPr>
        <w:t>Business Requirements Document</w:t>
      </w:r>
    </w:p>
    <w:p>
      <w:pPr>
        <w:spacing w:after="560"/>
        <w:jc w:val="center"/>
      </w:pPr>
      <w:r>
        <w:rPr>
          <w:rFonts w:ascii="Calibri" w:hAnsi="Calibri"/>
          <w:color w:val="1F2937"/>
          <w:sz w:val="30"/>
        </w:rPr>
        <w:t>Revenue Cycle Information System for CV Tajuk</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00"/>
        <w:gridCol w:w="7060"/>
      </w:tblGrid>
      <w:tr>
        <w:tc>
          <w:tcPr>
            <w:tcW w:type="dxa" w:w="2300"/>
            <w:vAlign w:val="center"/>
            <w:tcMar>
              <w:top w:w="80" w:type="dxa"/>
              <w:start w:w="120" w:type="dxa"/>
              <w:bottom w:w="80" w:type="dxa"/>
              <w:end w:w="120" w:type="dxa"/>
            </w:tcMar>
            <w:shd w:fill="E8EEF5"/>
          </w:tcPr>
          <w:p>
            <w:pPr>
              <w:spacing w:before="0" w:after="60" w:line="264" w:lineRule="auto"/>
            </w:pPr>
            <w:r>
              <w:rPr>
                <w:rFonts w:ascii="Calibri" w:hAnsi="Calibri"/>
                <w:b/>
                <w:color w:val="1F4D78"/>
                <w:sz w:val="20"/>
              </w:rPr>
              <w:t>Purpose</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20"/>
              </w:rPr>
              <w:t>Academic thesis documentation</w:t>
            </w:r>
          </w:p>
        </w:tc>
      </w:tr>
      <w:tr>
        <w:tc>
          <w:tcPr>
            <w:tcW w:type="dxa" w:w="2300"/>
            <w:vAlign w:val="center"/>
            <w:tcMar>
              <w:top w:w="80" w:type="dxa"/>
              <w:start w:w="120" w:type="dxa"/>
              <w:bottom w:w="80" w:type="dxa"/>
              <w:end w:w="120" w:type="dxa"/>
            </w:tcMar>
            <w:shd w:fill="E8EEF5"/>
          </w:tcPr>
          <w:p>
            <w:pPr>
              <w:spacing w:before="0" w:after="60" w:line="264" w:lineRule="auto"/>
            </w:pPr>
            <w:r>
              <w:rPr>
                <w:rFonts w:ascii="Calibri" w:hAnsi="Calibri"/>
                <w:b/>
                <w:color w:val="1F4D78"/>
                <w:sz w:val="20"/>
              </w:rPr>
              <w:t>Prepared by</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20"/>
              </w:rPr>
              <w:t>Nicholas Yuwito</w:t>
            </w:r>
          </w:p>
        </w:tc>
      </w:tr>
      <w:tr>
        <w:tc>
          <w:tcPr>
            <w:tcW w:type="dxa" w:w="2300"/>
            <w:vAlign w:val="center"/>
            <w:tcMar>
              <w:top w:w="80" w:type="dxa"/>
              <w:start w:w="120" w:type="dxa"/>
              <w:bottom w:w="80" w:type="dxa"/>
              <w:end w:w="120" w:type="dxa"/>
            </w:tcMar>
            <w:shd w:fill="E8EEF5"/>
          </w:tcPr>
          <w:p>
            <w:pPr>
              <w:spacing w:before="0" w:after="60" w:line="264" w:lineRule="auto"/>
            </w:pPr>
            <w:r>
              <w:rPr>
                <w:rFonts w:ascii="Calibri" w:hAnsi="Calibri"/>
                <w:b/>
                <w:color w:val="1F4D78"/>
                <w:sz w:val="20"/>
              </w:rPr>
              <w:t>Institution</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20"/>
              </w:rPr>
              <w:t>Bina Nusantara University</w:t>
            </w:r>
          </w:p>
        </w:tc>
      </w:tr>
      <w:tr>
        <w:tc>
          <w:tcPr>
            <w:tcW w:type="dxa" w:w="2300"/>
            <w:vAlign w:val="center"/>
            <w:tcMar>
              <w:top w:w="80" w:type="dxa"/>
              <w:start w:w="120" w:type="dxa"/>
              <w:bottom w:w="80" w:type="dxa"/>
              <w:end w:w="120" w:type="dxa"/>
            </w:tcMar>
            <w:shd w:fill="E8EEF5"/>
          </w:tcPr>
          <w:p>
            <w:pPr>
              <w:spacing w:before="0" w:after="60" w:line="264" w:lineRule="auto"/>
            </w:pPr>
            <w:r>
              <w:rPr>
                <w:rFonts w:ascii="Calibri" w:hAnsi="Calibri"/>
                <w:b/>
                <w:color w:val="1F4D78"/>
                <w:sz w:val="20"/>
              </w:rPr>
              <w:t>Date</w:t>
            </w:r>
          </w:p>
        </w:tc>
        <w:tc>
          <w:tcPr>
            <w:tcW w:type="dxa" w:w="7060"/>
            <w:vAlign w:val="center"/>
            <w:tcMar>
              <w:top w:w="80" w:type="dxa"/>
              <w:start w:w="120" w:type="dxa"/>
              <w:bottom w:w="80" w:type="dxa"/>
              <w:end w:w="120" w:type="dxa"/>
            </w:tcMar>
          </w:tcPr>
          <w:p>
            <w:r>
              <w:rPr>
                <w:b w:val="0"/>
                <w:sz w:val="18"/>
              </w:rPr>
              <w:t>July 7, 2026</w:t>
            </w:r>
          </w:p>
        </w:tc>
      </w:tr>
      <w:tr>
        <w:tc>
          <w:tcPr>
            <w:tcW w:type="dxa" w:w="2300"/>
            <w:vAlign w:val="center"/>
            <w:tcMar>
              <w:top w:w="80" w:type="dxa"/>
              <w:start w:w="120" w:type="dxa"/>
              <w:bottom w:w="80" w:type="dxa"/>
              <w:end w:w="120" w:type="dxa"/>
            </w:tcMar>
            <w:shd w:fill="E8EEF5"/>
          </w:tcPr>
          <w:p>
            <w:pPr>
              <w:spacing w:before="0" w:after="60" w:line="264" w:lineRule="auto"/>
            </w:pPr>
            <w:r>
              <w:rPr>
                <w:rFonts w:ascii="Calibri" w:hAnsi="Calibri"/>
                <w:b/>
                <w:color w:val="1F4D78"/>
                <w:sz w:val="20"/>
              </w:rPr>
              <w:t>Document status</w:t>
            </w:r>
          </w:p>
        </w:tc>
        <w:tc>
          <w:tcPr>
            <w:tcW w:type="dxa" w:w="7060"/>
            <w:vAlign w:val="center"/>
            <w:tcMar>
              <w:top w:w="80" w:type="dxa"/>
              <w:start w:w="120" w:type="dxa"/>
              <w:bottom w:w="80" w:type="dxa"/>
              <w:end w:w="120" w:type="dxa"/>
            </w:tcMar>
          </w:tcPr>
          <w:p>
            <w:r>
              <w:rPr>
                <w:b w:val="0"/>
                <w:sz w:val="18"/>
              </w:rPr>
              <w:t>Updated draft for thesis appendix / supervisor review</w:t>
            </w:r>
          </w:p>
        </w:tc>
      </w:tr>
    </w:tbl>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0"/>
      </w:tblGrid>
      <w:tr>
        <w:tc>
          <w:tcPr>
            <w:tcW w:type="dxa" w:w="9360"/>
            <w:vAlign w:val="center"/>
            <w:tcMar>
              <w:top w:w="80" w:type="dxa"/>
              <w:start w:w="120" w:type="dxa"/>
              <w:bottom w:w="80" w:type="dxa"/>
              <w:end w:w="120" w:type="dxa"/>
            </w:tcMar>
            <w:shd w:fill="F8FAFC"/>
          </w:tcPr>
          <w:p>
            <w:r>
              <w:rPr>
                <w:b w:val="0"/>
                <w:sz w:val="18"/>
              </w:rPr>
              <w:t>Source basis: This BRD is based on the thesis PDF reference, current local MVP project documentation, code structure, Prisma schema, documented user flows, and the updated requested scope covering Product master data, Pre Order/PO Sales Order flow, pricing adjustment, notifications, printed outputs, and table interaction improvements. It does not claim production readiness or full company-wide implementation.</w:t>
            </w:r>
          </w:p>
        </w:tc>
      </w:tr>
    </w:tbl>
    <w:p>
      <w:pPr>
        <w:spacing w:after="80"/>
      </w:pPr>
    </w:p>
    <w:p>
      <w:r>
        <w:br w:type="page"/>
      </w:r>
    </w:p>
    <w:p>
      <w:pPr>
        <w:pStyle w:val="Heading1"/>
      </w:pPr>
      <w:r>
        <w:t>Document Control</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00"/>
        <w:gridCol w:w="1800"/>
        <w:gridCol w:w="2100"/>
        <w:gridCol w:w="4260"/>
      </w:tblGrid>
      <w:tr>
        <w:trPr>
          <w:tblHeader w:val="true"/>
        </w:trPr>
        <w:tc>
          <w:tcPr>
            <w:tcW w:type="dxa" w:w="12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Version</w:t>
            </w:r>
          </w:p>
        </w:tc>
        <w:tc>
          <w:tcPr>
            <w:tcW w:type="dxa" w:w="18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Date</w:t>
            </w:r>
          </w:p>
        </w:tc>
        <w:tc>
          <w:tcPr>
            <w:tcW w:type="dxa" w:w="21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Author</w:t>
            </w:r>
          </w:p>
        </w:tc>
        <w:tc>
          <w:tcPr>
            <w:tcW w:type="dxa" w:w="42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Description</w:t>
            </w:r>
          </w:p>
        </w:tc>
      </w:tr>
      <w:tr>
        <w:tc>
          <w:tcPr>
            <w:tcW w:type="dxa" w:w="1200"/>
            <w:vAlign w:val="center"/>
            <w:tcMar>
              <w:top w:w="80" w:type="dxa"/>
              <w:start w:w="120" w:type="dxa"/>
              <w:bottom w:w="80" w:type="dxa"/>
              <w:end w:w="120" w:type="dxa"/>
            </w:tcMar>
          </w:tcPr>
          <w:p>
            <w:pPr>
              <w:spacing w:before="0" w:after="60" w:line="264" w:lineRule="auto"/>
            </w:pPr>
            <w:r>
              <w:rPr>
                <w:rFonts w:ascii="Calibri" w:hAnsi="Calibri"/>
                <w:b w:val="0"/>
                <w:color w:val="1F2937"/>
                <w:sz w:val="18"/>
              </w:rPr>
              <w:t>1.0</w:t>
            </w:r>
          </w:p>
        </w:tc>
        <w:tc>
          <w:tcPr>
            <w:tcW w:type="dxa" w:w="1800"/>
            <w:vAlign w:val="center"/>
            <w:tcMar>
              <w:top w:w="80" w:type="dxa"/>
              <w:start w:w="120" w:type="dxa"/>
              <w:bottom w:w="80" w:type="dxa"/>
              <w:end w:w="120" w:type="dxa"/>
            </w:tcMar>
          </w:tcPr>
          <w:p>
            <w:pPr>
              <w:spacing w:before="0" w:after="60" w:line="264" w:lineRule="auto"/>
            </w:pPr>
            <w:r>
              <w:rPr>
                <w:rFonts w:ascii="Calibri" w:hAnsi="Calibri"/>
                <w:b w:val="0"/>
                <w:color w:val="1F2937"/>
                <w:sz w:val="18"/>
              </w:rPr>
              <w:t>June 23, 2026</w:t>
            </w:r>
          </w:p>
        </w:tc>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Nicholas Yuwito</w:t>
            </w:r>
          </w:p>
        </w:tc>
        <w:tc>
          <w:tcPr>
            <w:tcW w:type="dxa" w:w="4260"/>
            <w:vAlign w:val="center"/>
            <w:tcMar>
              <w:top w:w="80" w:type="dxa"/>
              <w:start w:w="120" w:type="dxa"/>
              <w:bottom w:w="80" w:type="dxa"/>
              <w:end w:w="120" w:type="dxa"/>
            </w:tcMar>
          </w:tcPr>
          <w:p>
            <w:pPr>
              <w:spacing w:before="0" w:after="60" w:line="264" w:lineRule="auto"/>
            </w:pPr>
            <w:r>
              <w:rPr>
                <w:rFonts w:ascii="Calibri" w:hAnsi="Calibri"/>
                <w:b w:val="0"/>
                <w:color w:val="1F2937"/>
                <w:sz w:val="18"/>
              </w:rPr>
              <w:t>Initial BRD prepared for academic thesis documentation based on thesis source material and current MVP scope.</w:t>
            </w:r>
          </w:p>
        </w:tc>
      </w:tr>
      <w:tr>
        <w:tc>
          <w:tcPr>
            <w:tcW w:type="dxa" w:w="1200"/>
            <w:vAlign w:val="center"/>
          </w:tcPr>
          <w:p>
            <w:r>
              <w:rPr>
                <w:b w:val="0"/>
                <w:sz w:val="18"/>
              </w:rPr>
              <w:t>1.1</w:t>
            </w:r>
          </w:p>
        </w:tc>
        <w:tc>
          <w:tcPr>
            <w:tcW w:type="dxa" w:w="1800"/>
            <w:vAlign w:val="center"/>
          </w:tcPr>
          <w:p>
            <w:r>
              <w:rPr>
                <w:b w:val="0"/>
                <w:sz w:val="18"/>
              </w:rPr>
              <w:t>July 7, 2026</w:t>
            </w:r>
          </w:p>
        </w:tc>
        <w:tc>
          <w:tcPr>
            <w:tcW w:type="dxa" w:w="2100"/>
            <w:vAlign w:val="center"/>
          </w:tcPr>
          <w:p>
            <w:r>
              <w:rPr>
                <w:b w:val="0"/>
                <w:sz w:val="18"/>
              </w:rPr>
              <w:t>Nicholas Yuwito</w:t>
            </w:r>
          </w:p>
        </w:tc>
        <w:tc>
          <w:tcPr>
            <w:tcW w:type="dxa" w:w="4260"/>
            <w:vAlign w:val="center"/>
          </w:tcPr>
          <w:p>
            <w:r>
              <w:rPr>
                <w:b w:val="0"/>
                <w:sz w:val="18"/>
              </w:rPr>
              <w:t>Updated BRD scope and requirements to include Product master data, separated Pre Order/PO transaction handling, product-based pricing with optional markup/discount, PO reminders, printed document updates, table sort/filter behavior, and an activity diagram.</w:t>
            </w:r>
          </w:p>
        </w:tc>
      </w:tr>
    </w:tbl>
    <w:p>
      <w:pPr>
        <w:spacing w:after="120"/>
      </w:pPr>
    </w:p>
    <w:p>
      <w:pPr>
        <w:pStyle w:val="Heading1"/>
      </w:pPr>
      <w:r>
        <w:t>Executive Summary</w:t>
      </w:r>
    </w:p>
    <w:p>
      <w:pPr>
        <w:spacing w:before="0" w:after="120" w:line="264" w:lineRule="auto"/>
      </w:pPr>
      <w:r>
        <w:rPr>
          <w:rFonts w:ascii="Calibri" w:hAnsi="Calibri"/>
          <w:color w:val="1F2937"/>
          <w:sz w:val="22"/>
        </w:rPr>
        <w:t>This Business Requirements Document defines the business needs and requirements for a Revenue Cycle Information System for CV Tajuk. The project is an academic thesis/MVP initiative for a B2B textile/manufacturing UMKM and is intended to support analysis, design, and prototype evaluation rather than production deployment.</w:t>
      </w:r>
    </w:p>
    <w:p>
      <w:pPr>
        <w:spacing w:before="0" w:after="120" w:line="264" w:lineRule="auto"/>
      </w:pPr>
      <w:r>
        <w:rPr>
          <w:rFonts w:ascii="Calibri" w:hAnsi="Calibri"/>
          <w:color w:val="1F2937"/>
          <w:sz w:val="22"/>
        </w:rPr>
        <w:t>The thesis source describes CV Tajuk as a company whose revenue cycle still relies on a combination of WhatsApp, Microsoft Excel, physical documents, and a separate warehouse stock management system. This creates scattered customer and transaction data, informal sales-order handling, limited payment and receivable visibility, and follow-up activities that are not consistently documented.</w:t>
      </w:r>
    </w:p>
    <w:p>
      <w:pPr>
        <w:spacing w:before="0" w:after="120" w:line="264" w:lineRule="auto"/>
      </w:pPr>
      <w:r>
        <w:t>The proposed system supports a more centralized and structured revenue-cycle flow covering customer data, product master data, normal sales orders, Pre Order/PO transactions, invoices, payments, receivables, billing/follow-up activity, Surat Jalan, dashboard visibility, notifications, and audit trail evidence.</w:t>
      </w:r>
    </w:p>
    <w:p>
      <w:pPr>
        <w:pStyle w:val="Heading1"/>
      </w:pPr>
      <w:r>
        <w:t>Company Profile</w:t>
      </w:r>
    </w:p>
    <w:p>
      <w:pPr>
        <w:spacing w:before="0" w:after="120" w:line="264" w:lineRule="auto"/>
      </w:pPr>
      <w:r>
        <w:rPr>
          <w:rFonts w:ascii="Calibri" w:hAnsi="Calibri"/>
          <w:color w:val="1F2937"/>
          <w:sz w:val="22"/>
        </w:rPr>
        <w:t>CV Tajuk is identified in the thesis as a B2B manufacturing company engaged in the production of mats, mattresses, floor coverings, and other textile products. The thesis states that CV Tajuk was established in 1999 by Muhammad Taufik and has developed its operational recording practices from manual books toward computer-based tools such as Microsoft Excel and a custom warehouse stock management system.</w:t>
      </w:r>
    </w:p>
    <w:p>
      <w:pPr>
        <w:spacing w:before="0" w:after="120" w:line="264" w:lineRule="auto"/>
      </w:pPr>
      <w:r>
        <w:rPr>
          <w:rFonts w:ascii="Calibri" w:hAnsi="Calibri"/>
          <w:color w:val="1F2937"/>
          <w:sz w:val="22"/>
        </w:rPr>
        <w:t>The thesis describes the company's revenue-cycle focus as sales, customer data recording, transaction recording, sales documents, payment monitoring, receivables management, and customer follow-up. The existing technology use is therefore not absent, but it remains limited because the stock system is not integrated with broader revenue-cycle activities such as sales orders, invoice handling, delivery documents, payment monitoring, and billing follow-up.</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00"/>
        <w:gridCol w:w="7260"/>
      </w:tblGrid>
      <w:tr>
        <w:trPr>
          <w:tblHeader w:val="true"/>
        </w:trPr>
        <w:tc>
          <w:tcPr>
            <w:tcW w:type="dxa" w:w="21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Company attribute</w:t>
            </w:r>
          </w:p>
        </w:tc>
        <w:tc>
          <w:tcPr>
            <w:tcW w:type="dxa" w:w="72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Information supported by thesis source</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Organization</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CV Tajuk</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Business type</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B2B textile/manufacturing UMKM</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Products mentioned</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Mats, mattresses, floor coverings, and other textile products</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Established</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1999</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Founder</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Muhammad Taufik</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Location</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Komplek Bangunan, Jalan Komplek Multi Guna, Jalan Raya Serpong KM 7 No. 2, Pakualam, Kecamatan Serpong Utara, Kota Tangerang Selatan, Banten 15320</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Operating hours</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08.30 to 16.30 WIB</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8"/>
              </w:rPr>
              <w:t>Technology currently mentioned</w:t>
            </w:r>
          </w:p>
        </w:tc>
        <w:tc>
          <w:tcPr>
            <w:tcW w:type="dxa" w:w="7260"/>
            <w:vAlign w:val="center"/>
            <w:tcMar>
              <w:top w:w="80" w:type="dxa"/>
              <w:start w:w="120" w:type="dxa"/>
              <w:bottom w:w="80" w:type="dxa"/>
              <w:end w:w="120" w:type="dxa"/>
            </w:tcMar>
          </w:tcPr>
          <w:p>
            <w:pPr>
              <w:spacing w:before="0" w:after="60" w:line="264" w:lineRule="auto"/>
            </w:pPr>
            <w:r>
              <w:rPr>
                <w:rFonts w:ascii="Calibri" w:hAnsi="Calibri"/>
                <w:b w:val="0"/>
                <w:color w:val="1F2937"/>
                <w:sz w:val="18"/>
              </w:rPr>
              <w:t>Microsoft Excel and a warehouse stock management system; WhatsApp and physical documents are also used in revenue-cycle work</w:t>
            </w:r>
          </w:p>
        </w:tc>
      </w:tr>
    </w:tbl>
    <w:p>
      <w:pPr>
        <w:spacing w:after="120"/>
      </w:pPr>
    </w:p>
    <w:p>
      <w:pPr>
        <w:spacing w:before="0" w:after="120" w:line="264" w:lineRule="auto"/>
      </w:pPr>
      <w:r>
        <w:rPr>
          <w:rFonts w:ascii="Calibri" w:hAnsi="Calibri"/>
          <w:color w:val="1F2937"/>
          <w:sz w:val="22"/>
        </w:rPr>
        <w:t>The thesis records the company vision as becoming an adaptive and competitive textile manufacturing company through product quality development and the use of information technology. The mission is described as continuous operational development and innovation to improve efficiency, service quality, and business sustainability.</w:t>
      </w:r>
    </w:p>
    <w:p>
      <w:pPr>
        <w:pStyle w:val="Heading1"/>
      </w:pPr>
      <w:r>
        <w:t>Business Background</w:t>
      </w:r>
    </w:p>
    <w:p>
      <w:pPr>
        <w:spacing w:before="0" w:after="120" w:line="264" w:lineRule="auto"/>
      </w:pPr>
      <w:r>
        <w:rPr>
          <w:rFonts w:ascii="Calibri" w:hAnsi="Calibri"/>
          <w:color w:val="1F2937"/>
          <w:sz w:val="22"/>
        </w:rPr>
        <w:t>The revenue cycle is important to CV Tajuk because it is directly related to the process of receiving customer orders, delivering goods, issuing invoices, monitoring receivables, collecting payments, and following up with customers. The thesis describes the current condition as semi-manual and dispersed across multiple media.</w:t>
      </w:r>
    </w:p>
    <w:p>
      <w:pPr>
        <w:spacing w:before="0" w:after="120" w:line="264" w:lineRule="auto"/>
      </w:pPr>
      <w:r>
        <w:t>The current MVP responds to this background by using Sales Order and Pre Order/PO as starting transaction records, reusing connected data through Invoice, Payment, Surat Jalan, Receivable, Billing, Follow Up, Product, Dashboard, Notification, and Audit Trail modules.</w:t>
      </w:r>
    </w:p>
    <w:p>
      <w:pPr>
        <w:pStyle w:val="Heading1"/>
      </w:pPr>
      <w:r>
        <w:t>Business Problem Statement</w:t>
      </w:r>
    </w:p>
    <w:p>
      <w:pPr>
        <w:spacing w:before="0" w:after="120" w:line="264" w:lineRule="auto"/>
      </w:pPr>
      <w:r>
        <w:rPr>
          <w:rFonts w:ascii="Calibri" w:hAnsi="Calibri"/>
          <w:color w:val="1F2937"/>
          <w:sz w:val="22"/>
        </w:rPr>
        <w:t>Based on the thesis and current project documentation, the main business problem is that CV Tajuk requires a more structured and centralized way to manage revenue-cycle information. Existing practices depend on semi-manual communication and recording channels, which can limit data consistency, process traceability, and managerial visibility.</w:t>
      </w:r>
    </w:p>
    <w:p>
      <w:pPr>
        <w:pStyle w:val="ListBullet"/>
        <w:spacing w:after="80" w:line="280" w:lineRule="auto"/>
        <w:ind w:left="720" w:hanging="360"/>
      </w:pPr>
      <w:r>
        <w:rPr>
          <w:rFonts w:ascii="Calibri" w:hAnsi="Calibri"/>
          <w:color w:val="1F2937"/>
          <w:sz w:val="21"/>
        </w:rPr>
        <w:t>Customer and transaction records are not fully centralized across the revenue-cycle process.</w:t>
      </w:r>
    </w:p>
    <w:p>
      <w:pPr>
        <w:pStyle w:val="ListBullet"/>
        <w:spacing w:after="80" w:line="280" w:lineRule="auto"/>
        <w:ind w:left="720" w:hanging="360"/>
      </w:pPr>
      <w:r>
        <w:rPr>
          <w:rFonts w:ascii="Calibri" w:hAnsi="Calibri"/>
          <w:color w:val="1F2937"/>
          <w:sz w:val="21"/>
        </w:rPr>
        <w:t>Sales order processing is not yet standardized through a formal written SOP in the thesis context.</w:t>
      </w:r>
    </w:p>
    <w:p>
      <w:pPr>
        <w:pStyle w:val="ListBullet"/>
        <w:spacing w:after="80" w:line="280" w:lineRule="auto"/>
        <w:ind w:left="720" w:hanging="360"/>
      </w:pPr>
      <w:r>
        <w:rPr>
          <w:rFonts w:ascii="Calibri" w:hAnsi="Calibri"/>
          <w:color w:val="1F2937"/>
          <w:sz w:val="21"/>
        </w:rPr>
        <w:t>Payment and receivable status are not easy to monitor systematically when records are scattered.</w:t>
      </w:r>
    </w:p>
    <w:p>
      <w:pPr>
        <w:pStyle w:val="ListBullet"/>
        <w:spacing w:after="80" w:line="280" w:lineRule="auto"/>
        <w:ind w:left="720" w:hanging="360"/>
      </w:pPr>
      <w:r>
        <w:rPr>
          <w:rFonts w:ascii="Calibri" w:hAnsi="Calibri"/>
          <w:color w:val="1F2937"/>
          <w:sz w:val="21"/>
        </w:rPr>
        <w:t>Follow-up and billing activities may depend on manual communication and memory rather than a structured log.</w:t>
      </w:r>
    </w:p>
    <w:p>
      <w:pPr>
        <w:pStyle w:val="ListBullet"/>
        <w:spacing w:after="80" w:line="280" w:lineRule="auto"/>
        <w:ind w:left="720" w:hanging="360"/>
      </w:pPr>
      <w:r>
        <w:rPr>
          <w:rFonts w:ascii="Calibri" w:hAnsi="Calibri"/>
          <w:color w:val="1F2937"/>
          <w:sz w:val="21"/>
        </w:rPr>
        <w:t>Management visibility over sales performance, product trends, receivables, and customer behavior is limited without a centralized dashboard.</w:t>
      </w:r>
    </w:p>
    <w:p>
      <w:pPr>
        <w:pStyle w:val="ListBullet"/>
      </w:pPr>
      <w:r>
        <w:t>Product names and base prices need to be standardized so Sales Order and Pre Order item entry does not rely on inconsistent free-text input.</w:t>
      </w:r>
    </w:p>
    <w:p>
      <w:pPr>
        <w:pStyle w:val="ListBullet"/>
      </w:pPr>
      <w:r>
        <w:t>Pre Order/PO transactions require clearer tracking of uploaded PO documents, manually entered PO/Sales Order IDs, required dates, and reminders before the product-needed date.</w:t>
      </w:r>
    </w:p>
    <w:p>
      <w:pPr>
        <w:pStyle w:val="ListBullet"/>
      </w:pPr>
      <w:r>
        <w:t>Operational tables require working sort and filter behavior so users can review customer, product, transaction, invoice, payment, and receivable information efficiently.</w:t>
      </w:r>
    </w:p>
    <w:p>
      <w:pPr>
        <w:pStyle w:val="Heading1"/>
      </w:pPr>
      <w:r>
        <w:t>Project Objectives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00"/>
        <w:gridCol w:w="7860"/>
      </w:tblGrid>
      <w:tr>
        <w:trPr>
          <w:tblHeader w:val="true"/>
        </w:trPr>
        <w:tc>
          <w:tcPr>
            <w:tcW w:type="dxa" w:w="15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Objective ID</w:t>
            </w:r>
          </w:p>
        </w:tc>
        <w:tc>
          <w:tcPr>
            <w:tcW w:type="dxa" w:w="78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Objective</w:t>
            </w:r>
          </w:p>
        </w:tc>
      </w:tr>
      <w:tr>
        <w:tc>
          <w:tcPr>
            <w:tcW w:type="dxa" w:w="1500"/>
            <w:vAlign w:val="center"/>
            <w:tcMar>
              <w:top w:w="80" w:type="dxa"/>
              <w:start w:w="120" w:type="dxa"/>
              <w:bottom w:w="80" w:type="dxa"/>
              <w:end w:w="120" w:type="dxa"/>
            </w:tcMar>
          </w:tcPr>
          <w:p>
            <w:pPr>
              <w:spacing w:before="0" w:after="60" w:line="264" w:lineRule="auto"/>
            </w:pPr>
            <w:r>
              <w:rPr>
                <w:rFonts w:ascii="Calibri" w:hAnsi="Calibri"/>
                <w:b w:val="0"/>
                <w:color w:val="1F2937"/>
                <w:sz w:val="18"/>
              </w:rPr>
              <w:t>OBJ-001</w:t>
            </w:r>
          </w:p>
        </w:tc>
        <w:tc>
          <w:tcPr>
            <w:tcW w:type="dxa" w:w="7860"/>
            <w:vAlign w:val="center"/>
            <w:tcMar>
              <w:top w:w="80" w:type="dxa"/>
              <w:start w:w="120" w:type="dxa"/>
              <w:bottom w:w="80" w:type="dxa"/>
              <w:end w:w="120" w:type="dxa"/>
            </w:tcMar>
          </w:tcPr>
          <w:p>
            <w:pPr>
              <w:spacing w:before="0" w:after="60" w:line="264" w:lineRule="auto"/>
            </w:pPr>
            <w:r>
              <w:rPr>
                <w:rFonts w:ascii="Calibri" w:hAnsi="Calibri"/>
                <w:b w:val="0"/>
                <w:color w:val="1F2937"/>
                <w:sz w:val="18"/>
              </w:rPr>
              <w:t>Centralize customer, sales order, invoice, payment, receivable, delivery, and follow-up information within the academic MVP scope.</w:t>
            </w:r>
          </w:p>
        </w:tc>
      </w:tr>
      <w:tr>
        <w:tc>
          <w:tcPr>
            <w:tcW w:type="dxa" w:w="1500"/>
            <w:vAlign w:val="center"/>
            <w:tcMar>
              <w:top w:w="80" w:type="dxa"/>
              <w:start w:w="120" w:type="dxa"/>
              <w:bottom w:w="80" w:type="dxa"/>
              <w:end w:w="120" w:type="dxa"/>
            </w:tcMar>
          </w:tcPr>
          <w:p>
            <w:pPr>
              <w:spacing w:before="0" w:after="60" w:line="264" w:lineRule="auto"/>
            </w:pPr>
            <w:r>
              <w:rPr>
                <w:rFonts w:ascii="Calibri" w:hAnsi="Calibri"/>
                <w:b w:val="0"/>
                <w:color w:val="1F2937"/>
                <w:sz w:val="18"/>
              </w:rPr>
              <w:t>OBJ-002</w:t>
            </w:r>
          </w:p>
        </w:tc>
        <w:tc>
          <w:tcPr>
            <w:tcW w:type="dxa" w:w="7860"/>
            <w:vAlign w:val="center"/>
            <w:tcMar>
              <w:top w:w="80" w:type="dxa"/>
              <w:start w:w="120" w:type="dxa"/>
              <w:bottom w:w="80" w:type="dxa"/>
              <w:end w:w="120" w:type="dxa"/>
            </w:tcMar>
          </w:tcPr>
          <w:p>
            <w:pPr>
              <w:spacing w:before="0" w:after="60" w:line="264" w:lineRule="auto"/>
            </w:pPr>
            <w:r>
              <w:rPr>
                <w:rFonts w:ascii="Calibri" w:hAnsi="Calibri"/>
                <w:b w:val="0"/>
                <w:color w:val="1F2937"/>
                <w:sz w:val="18"/>
              </w:rPr>
              <w:t>Standardize the sales-order-to-invoice process so transaction records can be traced more consistently.</w:t>
            </w:r>
          </w:p>
        </w:tc>
      </w:tr>
      <w:tr>
        <w:tc>
          <w:tcPr>
            <w:tcW w:type="dxa" w:w="1500"/>
            <w:vAlign w:val="center"/>
            <w:tcMar>
              <w:top w:w="80" w:type="dxa"/>
              <w:start w:w="120" w:type="dxa"/>
              <w:bottom w:w="80" w:type="dxa"/>
              <w:end w:w="120" w:type="dxa"/>
            </w:tcMar>
          </w:tcPr>
          <w:p>
            <w:pPr>
              <w:spacing w:before="0" w:after="60" w:line="264" w:lineRule="auto"/>
            </w:pPr>
            <w:r>
              <w:rPr>
                <w:rFonts w:ascii="Calibri" w:hAnsi="Calibri"/>
                <w:b w:val="0"/>
                <w:color w:val="1F2937"/>
                <w:sz w:val="18"/>
              </w:rPr>
              <w:t>OBJ-003</w:t>
            </w:r>
          </w:p>
        </w:tc>
        <w:tc>
          <w:tcPr>
            <w:tcW w:type="dxa" w:w="7860"/>
            <w:vAlign w:val="center"/>
            <w:tcMar>
              <w:top w:w="80" w:type="dxa"/>
              <w:start w:w="120" w:type="dxa"/>
              <w:bottom w:w="80" w:type="dxa"/>
              <w:end w:w="120" w:type="dxa"/>
            </w:tcMar>
          </w:tcPr>
          <w:p>
            <w:pPr>
              <w:spacing w:before="0" w:after="60" w:line="264" w:lineRule="auto"/>
            </w:pPr>
            <w:r>
              <w:rPr>
                <w:rFonts w:ascii="Calibri" w:hAnsi="Calibri"/>
                <w:b w:val="0"/>
                <w:color w:val="1F2937"/>
                <w:sz w:val="18"/>
              </w:rPr>
              <w:t>Improve monitoring of invoice status, payment status, outstanding receivables, billing tasks, and customer follow-up.</w:t>
            </w:r>
          </w:p>
        </w:tc>
      </w:tr>
      <w:tr>
        <w:tc>
          <w:tcPr>
            <w:tcW w:type="dxa" w:w="1500"/>
            <w:vAlign w:val="center"/>
            <w:tcMar>
              <w:top w:w="80" w:type="dxa"/>
              <w:start w:w="120" w:type="dxa"/>
              <w:bottom w:w="80" w:type="dxa"/>
              <w:end w:w="120" w:type="dxa"/>
            </w:tcMar>
          </w:tcPr>
          <w:p>
            <w:pPr>
              <w:spacing w:before="0" w:after="60" w:line="264" w:lineRule="auto"/>
            </w:pPr>
            <w:r>
              <w:rPr>
                <w:rFonts w:ascii="Calibri" w:hAnsi="Calibri"/>
                <w:b w:val="0"/>
                <w:color w:val="1F2937"/>
                <w:sz w:val="18"/>
              </w:rPr>
              <w:t>OBJ-004</w:t>
            </w:r>
          </w:p>
        </w:tc>
        <w:tc>
          <w:tcPr>
            <w:tcW w:type="dxa" w:w="7860"/>
            <w:vAlign w:val="center"/>
            <w:tcMar>
              <w:top w:w="80" w:type="dxa"/>
              <w:start w:w="120" w:type="dxa"/>
              <w:bottom w:w="80" w:type="dxa"/>
              <w:end w:w="120" w:type="dxa"/>
            </w:tcMar>
          </w:tcPr>
          <w:p>
            <w:pPr>
              <w:spacing w:before="0" w:after="60" w:line="264" w:lineRule="auto"/>
            </w:pPr>
            <w:r>
              <w:rPr>
                <w:rFonts w:ascii="Calibri" w:hAnsi="Calibri"/>
                <w:b w:val="0"/>
                <w:color w:val="1F2937"/>
                <w:sz w:val="18"/>
              </w:rPr>
              <w:t>Support role-appropriate workflows for Manager, Admin, and Sales users in the local prototype.</w:t>
            </w:r>
          </w:p>
        </w:tc>
      </w:tr>
      <w:tr>
        <w:tc>
          <w:tcPr>
            <w:tcW w:type="dxa" w:w="1500"/>
            <w:vAlign w:val="center"/>
            <w:tcMar>
              <w:top w:w="80" w:type="dxa"/>
              <w:start w:w="120" w:type="dxa"/>
              <w:bottom w:w="80" w:type="dxa"/>
              <w:end w:w="120" w:type="dxa"/>
            </w:tcMar>
          </w:tcPr>
          <w:p>
            <w:pPr>
              <w:spacing w:before="0" w:after="60" w:line="264" w:lineRule="auto"/>
            </w:pPr>
            <w:r>
              <w:rPr>
                <w:rFonts w:ascii="Calibri" w:hAnsi="Calibri"/>
                <w:b w:val="0"/>
                <w:color w:val="1F2937"/>
                <w:sz w:val="18"/>
              </w:rPr>
              <w:t>OBJ-005</w:t>
            </w:r>
          </w:p>
        </w:tc>
        <w:tc>
          <w:tcPr>
            <w:tcW w:type="dxa" w:w="7860"/>
            <w:vAlign w:val="center"/>
            <w:tcMar>
              <w:top w:w="80" w:type="dxa"/>
              <w:start w:w="120" w:type="dxa"/>
              <w:bottom w:w="80" w:type="dxa"/>
              <w:end w:w="120" w:type="dxa"/>
            </w:tcMar>
          </w:tcPr>
          <w:p>
            <w:pPr>
              <w:spacing w:before="0" w:after="60" w:line="264" w:lineRule="auto"/>
            </w:pPr>
            <w:r>
              <w:rPr>
                <w:rFonts w:ascii="Calibri" w:hAnsi="Calibri"/>
                <w:b w:val="0"/>
                <w:color w:val="1F2937"/>
                <w:sz w:val="18"/>
              </w:rPr>
              <w:t>Provide dashboard and customer insight features that help support academic evaluation of revenue-cycle visibility.</w:t>
            </w:r>
          </w:p>
        </w:tc>
      </w:tr>
      <w:tr>
        <w:tc>
          <w:tcPr>
            <w:tcW w:type="dxa" w:w="1500"/>
            <w:vAlign w:val="center"/>
            <w:tcMar>
              <w:top w:w="80" w:type="dxa"/>
              <w:start w:w="120" w:type="dxa"/>
              <w:bottom w:w="80" w:type="dxa"/>
              <w:end w:w="120" w:type="dxa"/>
            </w:tcMar>
          </w:tcPr>
          <w:p>
            <w:pPr>
              <w:spacing w:before="0" w:after="60" w:line="264" w:lineRule="auto"/>
            </w:pPr>
            <w:r>
              <w:rPr>
                <w:rFonts w:ascii="Calibri" w:hAnsi="Calibri"/>
                <w:b w:val="0"/>
                <w:color w:val="1F2937"/>
                <w:sz w:val="18"/>
              </w:rPr>
              <w:t>OBJ-006</w:t>
            </w:r>
          </w:p>
        </w:tc>
        <w:tc>
          <w:tcPr>
            <w:tcW w:type="dxa" w:w="7860"/>
            <w:vAlign w:val="center"/>
            <w:tcMar>
              <w:top w:w="80" w:type="dxa"/>
              <w:start w:w="120" w:type="dxa"/>
              <w:bottom w:w="80" w:type="dxa"/>
              <w:end w:w="120" w:type="dxa"/>
            </w:tcMar>
          </w:tcPr>
          <w:p>
            <w:pPr>
              <w:spacing w:before="0" w:after="60" w:line="264" w:lineRule="auto"/>
            </w:pPr>
            <w:r>
              <w:rPr>
                <w:rFonts w:ascii="Calibri" w:hAnsi="Calibri"/>
                <w:b w:val="0"/>
                <w:color w:val="1F2937"/>
                <w:sz w:val="18"/>
              </w:rPr>
              <w:t>Preserve audit evidence for important business actions performed in the system.</w:t>
            </w:r>
          </w:p>
        </w:tc>
      </w:tr>
      <w:tr>
        <w:tc>
          <w:tcPr>
            <w:tcW w:type="dxa" w:w="1500"/>
            <w:vAlign w:val="center"/>
          </w:tcPr>
          <w:p>
            <w:r>
              <w:rPr>
                <w:b w:val="0"/>
                <w:sz w:val="18"/>
              </w:rPr>
              <w:t>OBJ-007</w:t>
            </w:r>
          </w:p>
        </w:tc>
        <w:tc>
          <w:tcPr>
            <w:tcW w:type="dxa" w:w="7860"/>
            <w:vAlign w:val="center"/>
          </w:tcPr>
          <w:p>
            <w:r>
              <w:rPr>
                <w:b w:val="0"/>
                <w:sz w:val="18"/>
              </w:rPr>
              <w:t>Standardize product selection and pricing through a Product master record with Product Name, Notes, Base Price, and Active/Inactive status.</w:t>
            </w:r>
          </w:p>
        </w:tc>
      </w:tr>
      <w:tr>
        <w:tc>
          <w:tcPr>
            <w:tcW w:type="dxa" w:w="1500"/>
            <w:vAlign w:val="center"/>
          </w:tcPr>
          <w:p>
            <w:r>
              <w:rPr>
                <w:b w:val="0"/>
                <w:sz w:val="18"/>
              </w:rPr>
              <w:t>OBJ-008</w:t>
            </w:r>
          </w:p>
        </w:tc>
        <w:tc>
          <w:tcPr>
            <w:tcW w:type="dxa" w:w="7860"/>
            <w:vAlign w:val="center"/>
          </w:tcPr>
          <w:p>
            <w:r>
              <w:rPr>
                <w:b w:val="0"/>
                <w:sz w:val="18"/>
              </w:rPr>
              <w:t>Support a separated Pre Order/PO transaction flow that captures PO document evidence, manual PO/Sales Order ID, required product date, and reminder notification while reusing the same downstream revenue-cycle process.</w:t>
            </w:r>
          </w:p>
        </w:tc>
      </w:tr>
      <w:tr>
        <w:tc>
          <w:tcPr>
            <w:tcW w:type="dxa" w:w="1500"/>
            <w:vAlign w:val="center"/>
          </w:tcPr>
          <w:p>
            <w:r>
              <w:rPr>
                <w:b w:val="0"/>
                <w:sz w:val="18"/>
              </w:rPr>
              <w:t>OBJ-009</w:t>
            </w:r>
          </w:p>
        </w:tc>
        <w:tc>
          <w:tcPr>
            <w:tcW w:type="dxa" w:w="7860"/>
            <w:vAlign w:val="center"/>
          </w:tcPr>
          <w:p>
            <w:r>
              <w:rPr>
                <w:b w:val="0"/>
                <w:sz w:val="18"/>
              </w:rPr>
              <w:t>Improve operational review by ensuring table sort, filter, and edit behavior works consistently across list pages.</w:t>
            </w:r>
          </w:p>
        </w:tc>
      </w:tr>
    </w:tbl>
    <w:p>
      <w:pPr>
        <w:spacing w:after="120"/>
      </w:pPr>
    </w:p>
    <w:p>
      <w:pPr>
        <w:pStyle w:val="Heading1"/>
      </w:pPr>
      <w:r>
        <w:t>Project Scope</w:t>
      </w:r>
    </w:p>
    <w:p>
      <w:pPr>
        <w:pStyle w:val="Heading2"/>
      </w:pPr>
      <w:r>
        <w:t>In Scope</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00"/>
        <w:gridCol w:w="6760"/>
      </w:tblGrid>
      <w:tr>
        <w:trPr>
          <w:tblHeader w:val="true"/>
        </w:trPr>
        <w:tc>
          <w:tcPr>
            <w:tcW w:type="dxa" w:w="26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Scope item</w:t>
            </w:r>
          </w:p>
        </w:tc>
        <w:tc>
          <w:tcPr>
            <w:tcW w:type="dxa" w:w="67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Description</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Customer data management</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Create, view, search, categorize, and review customer transaction history.</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Sales order management</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Create and manage sales orders, order items, payment terms, approval status, and transaction progress.</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Invoice management</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Generate and review invoices from eligible sales orders, including invoice status and due date handling.</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Payment recording</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Record payments against invoices and update paid and remaining amounts.</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Receivable monitoring</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Display unpaid, partial, overdue, and paid receivable conditions derived from invoice/payment data.</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Billing and follow-up</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Record collection-related billing tasks and product/customer follow-up activity.</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Surat Jalan</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Create, manage, and print delivery note documents where allowed by transaction rules.</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Dashboard and insights</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Show role-specific dashboard summaries, customer categories, payment risk, popular products, and attention items.</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Audit trail</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Record important changes and actions for academic traceability.</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Local account roles</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Support local Manager, Admin, and Sales demo accounts with basic role restrictions.</w:t>
            </w:r>
          </w:p>
        </w:tc>
      </w:tr>
      <w:tr>
        <w:tc>
          <w:tcPr>
            <w:tcW w:type="dxa" w:w="2600"/>
            <w:vAlign w:val="center"/>
          </w:tcPr>
          <w:p>
            <w:r>
              <w:rPr>
                <w:b w:val="0"/>
                <w:sz w:val="18"/>
              </w:rPr>
              <w:t>Product data management</w:t>
            </w:r>
          </w:p>
        </w:tc>
        <w:tc>
          <w:tcPr>
            <w:tcW w:type="dxa" w:w="6760"/>
            <w:vAlign w:val="center"/>
          </w:tcPr>
          <w:p>
            <w:r>
              <w:rPr>
                <w:b w:val="0"/>
                <w:sz w:val="18"/>
              </w:rPr>
              <w:t>Create, view, search, sort, filter, edit, and deactivate Product records containing Product Name, Notes, Base Price, and Status.</w:t>
            </w:r>
          </w:p>
        </w:tc>
      </w:tr>
      <w:tr>
        <w:tc>
          <w:tcPr>
            <w:tcW w:type="dxa" w:w="2600"/>
            <w:vAlign w:val="center"/>
          </w:tcPr>
          <w:p>
            <w:r>
              <w:rPr>
                <w:b w:val="0"/>
                <w:sz w:val="18"/>
              </w:rPr>
              <w:t>Pre Order / PO management</w:t>
            </w:r>
          </w:p>
        </w:tc>
        <w:tc>
          <w:tcPr>
            <w:tcW w:type="dxa" w:w="6760"/>
            <w:vAlign w:val="center"/>
          </w:tcPr>
          <w:p>
            <w:r>
              <w:rPr>
                <w:b w:val="0"/>
                <w:sz w:val="18"/>
              </w:rPr>
              <w:t>Create and manage Pre Order/PO transactions separately from normal Sales Orders while keeping the same detail, status, approval, invoice, payment, and delivery behavior where applicable.</w:t>
            </w:r>
          </w:p>
        </w:tc>
      </w:tr>
      <w:tr>
        <w:tc>
          <w:tcPr>
            <w:tcW w:type="dxa" w:w="2600"/>
            <w:vAlign w:val="center"/>
          </w:tcPr>
          <w:p>
            <w:r>
              <w:rPr>
                <w:b w:val="0"/>
                <w:sz w:val="18"/>
              </w:rPr>
              <w:t>PO document upload</w:t>
            </w:r>
          </w:p>
        </w:tc>
        <w:tc>
          <w:tcPr>
            <w:tcW w:type="dxa" w:w="6760"/>
            <w:vAlign w:val="center"/>
          </w:tcPr>
          <w:p>
            <w:r>
              <w:rPr>
                <w:b w:val="0"/>
                <w:sz w:val="18"/>
              </w:rPr>
              <w:t>Upload PO supporting documents in PDF, JPG, PNG, or Word format and link them to the related Pre Order/PO transaction.</w:t>
            </w:r>
          </w:p>
        </w:tc>
      </w:tr>
      <w:tr>
        <w:tc>
          <w:tcPr>
            <w:tcW w:type="dxa" w:w="2600"/>
            <w:vAlign w:val="center"/>
          </w:tcPr>
          <w:p>
            <w:r>
              <w:rPr>
                <w:b w:val="0"/>
                <w:sz w:val="18"/>
              </w:rPr>
              <w:t>Product-based item entry</w:t>
            </w:r>
          </w:p>
        </w:tc>
        <w:tc>
          <w:tcPr>
            <w:tcW w:type="dxa" w:w="6760"/>
            <w:vAlign w:val="center"/>
          </w:tcPr>
          <w:p>
            <w:r>
              <w:rPr>
                <w:b w:val="0"/>
                <w:sz w:val="18"/>
              </w:rPr>
              <w:t>Use Product Name dropdown selection from Product master data in Sales Order and Pre Order item entry; automatically fill Base Price while allowing authorized manual adjustment.</w:t>
            </w:r>
          </w:p>
        </w:tc>
      </w:tr>
      <w:tr>
        <w:tc>
          <w:tcPr>
            <w:tcW w:type="dxa" w:w="2600"/>
            <w:vAlign w:val="center"/>
          </w:tcPr>
          <w:p>
            <w:r>
              <w:rPr>
                <w:b w:val="0"/>
                <w:sz w:val="18"/>
              </w:rPr>
              <w:t>Pricing adjustment</w:t>
            </w:r>
          </w:p>
        </w:tc>
        <w:tc>
          <w:tcPr>
            <w:tcW w:type="dxa" w:w="6760"/>
            <w:vAlign w:val="center"/>
          </w:tcPr>
          <w:p>
            <w:r>
              <w:rPr>
                <w:b w:val="0"/>
                <w:sz w:val="18"/>
              </w:rPr>
              <w:t>Support optional Markup and Discount fields that affect Unit Price and are visible only inside the system and Audit Trail, not in printed Invoice or Surat Jalan output.</w:t>
            </w:r>
          </w:p>
        </w:tc>
      </w:tr>
      <w:tr>
        <w:tc>
          <w:tcPr>
            <w:tcW w:type="dxa" w:w="2600"/>
            <w:vAlign w:val="center"/>
          </w:tcPr>
          <w:p>
            <w:r>
              <w:rPr>
                <w:b w:val="0"/>
                <w:sz w:val="18"/>
              </w:rPr>
              <w:t>Notification reminder</w:t>
            </w:r>
          </w:p>
        </w:tc>
        <w:tc>
          <w:tcPr>
            <w:tcW w:type="dxa" w:w="6760"/>
            <w:vAlign w:val="center"/>
          </w:tcPr>
          <w:p>
            <w:r>
              <w:rPr>
                <w:b w:val="0"/>
                <w:sz w:val="18"/>
              </w:rPr>
              <w:t>Remind users to process Pre Order/PO transactions before the required product date.</w:t>
            </w:r>
          </w:p>
        </w:tc>
      </w:tr>
      <w:tr>
        <w:tc>
          <w:tcPr>
            <w:tcW w:type="dxa" w:w="2600"/>
            <w:vAlign w:val="center"/>
          </w:tcPr>
          <w:p>
            <w:r>
              <w:rPr>
                <w:b w:val="0"/>
                <w:sz w:val="18"/>
              </w:rPr>
              <w:t>Table interaction</w:t>
            </w:r>
          </w:p>
        </w:tc>
        <w:tc>
          <w:tcPr>
            <w:tcW w:type="dxa" w:w="6760"/>
            <w:vAlign w:val="center"/>
          </w:tcPr>
          <w:p>
            <w:r>
              <w:rPr>
                <w:b w:val="0"/>
                <w:sz w:val="18"/>
              </w:rPr>
              <w:t>Provide working sort and filter behavior across operational tables, including product, customer, transaction, invoice, payment, receivable, billing, follow-up, and audit views where available.</w:t>
            </w:r>
          </w:p>
        </w:tc>
      </w:tr>
    </w:tbl>
    <w:p>
      <w:pPr>
        <w:spacing w:after="120"/>
      </w:pPr>
    </w:p>
    <w:p>
      <w:pPr>
        <w:pStyle w:val="Heading2"/>
      </w:pPr>
      <w:r>
        <w:t>Out of Scope</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00"/>
        <w:gridCol w:w="6760"/>
      </w:tblGrid>
      <w:tr>
        <w:trPr>
          <w:tblHeader w:val="true"/>
        </w:trPr>
        <w:tc>
          <w:tcPr>
            <w:tcW w:type="dxa" w:w="26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Out-of-scope item</w:t>
            </w:r>
          </w:p>
        </w:tc>
        <w:tc>
          <w:tcPr>
            <w:tcW w:type="dxa" w:w="67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Reason</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Production deployment</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project is a local thesis/MVP implementation and is not claimed as production-ready.</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External system integration</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current scope does not include bank, logistics, ERP, e-commerce, or accounting-system integration.</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Online payment gateway</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Payments are recorded manually in the prototype.</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Full accounting system</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General ledger, journal entries, tax accounting, and complete financial statements are outside scope.</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Inventory and warehouse operations</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Surat Jalan module supports delivery documentation only and does not move stock.</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Mobile application</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is responsive web-based but does not include a native mobile app.</w:t>
            </w:r>
          </w:p>
        </w:tc>
      </w:tr>
      <w:tr>
        <w:tc>
          <w:tcPr>
            <w:tcW w:type="dxa" w:w="2600"/>
            <w:vAlign w:val="center"/>
            <w:tcMar>
              <w:top w:w="80" w:type="dxa"/>
              <w:start w:w="120" w:type="dxa"/>
              <w:bottom w:w="80" w:type="dxa"/>
              <w:end w:w="120" w:type="dxa"/>
            </w:tcMar>
          </w:tcPr>
          <w:p>
            <w:pPr>
              <w:spacing w:before="0" w:after="60" w:line="264" w:lineRule="auto"/>
            </w:pPr>
            <w:r>
              <w:rPr>
                <w:rFonts w:ascii="Calibri" w:hAnsi="Calibri"/>
                <w:b w:val="0"/>
                <w:color w:val="1F2937"/>
                <w:sz w:val="18"/>
              </w:rPr>
              <w:t>Advanced role administration</w:t>
            </w:r>
          </w:p>
        </w:tc>
        <w:tc>
          <w:tcPr>
            <w:tcW w:type="dxa" w:w="6760"/>
            <w:vAlign w:val="center"/>
            <w:tcMar>
              <w:top w:w="80" w:type="dxa"/>
              <w:start w:w="120" w:type="dxa"/>
              <w:bottom w:w="80" w:type="dxa"/>
              <w:end w:w="120" w:type="dxa"/>
            </w:tcMar>
          </w:tcPr>
          <w:p>
            <w:pPr>
              <w:spacing w:before="0" w:after="60" w:line="264" w:lineRule="auto"/>
            </w:pPr>
            <w:r>
              <w:rPr>
                <w:rFonts w:ascii="Calibri" w:hAnsi="Calibri"/>
                <w:b w:val="0"/>
                <w:color w:val="1F2937"/>
                <w:sz w:val="18"/>
              </w:rPr>
              <w:t>Basic local roles are supported; complex enterprise permission administration is outside scope.</w:t>
            </w:r>
          </w:p>
        </w:tc>
      </w:tr>
      <w:tr>
        <w:tc>
          <w:tcPr>
            <w:tcW w:type="dxa" w:w="2600"/>
            <w:vAlign w:val="center"/>
          </w:tcPr>
          <w:p>
            <w:r>
              <w:rPr>
                <w:b w:val="0"/>
                <w:sz w:val="18"/>
              </w:rPr>
              <w:t>Automated PO document interpretation</w:t>
            </w:r>
          </w:p>
        </w:tc>
        <w:tc>
          <w:tcPr>
            <w:tcW w:type="dxa" w:w="6760"/>
            <w:vAlign w:val="center"/>
          </w:tcPr>
          <w:p>
            <w:r>
              <w:rPr>
                <w:b w:val="0"/>
                <w:sz w:val="18"/>
              </w:rPr>
              <w:t>Uploaded PO documents are stored as supporting evidence; OCR, automatic data extraction, and document understanding are outside current MVP scope.</w:t>
            </w:r>
          </w:p>
        </w:tc>
      </w:tr>
      <w:tr>
        <w:tc>
          <w:tcPr>
            <w:tcW w:type="dxa" w:w="2600"/>
            <w:vAlign w:val="center"/>
          </w:tcPr>
          <w:p>
            <w:r>
              <w:rPr>
                <w:b w:val="0"/>
                <w:sz w:val="18"/>
              </w:rPr>
              <w:t>Inventory reservation and production planning</w:t>
            </w:r>
          </w:p>
        </w:tc>
        <w:tc>
          <w:tcPr>
            <w:tcW w:type="dxa" w:w="6760"/>
            <w:vAlign w:val="center"/>
          </w:tcPr>
          <w:p>
            <w:r>
              <w:rPr>
                <w:b w:val="0"/>
                <w:sz w:val="18"/>
              </w:rPr>
              <w:t>The required product date supports transaction processing reminders but does not reserve stock or create production schedules.</w:t>
            </w:r>
          </w:p>
        </w:tc>
      </w:tr>
    </w:tbl>
    <w:p>
      <w:pPr>
        <w:spacing w:after="120"/>
      </w:pPr>
    </w:p>
    <w:p>
      <w:pPr>
        <w:pStyle w:val="Heading1"/>
      </w:pPr>
      <w:r>
        <w:t>Stakeholders and User Roles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00"/>
        <w:gridCol w:w="3650"/>
        <w:gridCol w:w="3610"/>
      </w:tblGrid>
      <w:tr>
        <w:trPr>
          <w:tblHeader w:val="true"/>
        </w:trPr>
        <w:tc>
          <w:tcPr>
            <w:tcW w:type="dxa" w:w="21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Role / stakeholder</w:t>
            </w:r>
          </w:p>
        </w:tc>
        <w:tc>
          <w:tcPr>
            <w:tcW w:type="dxa" w:w="365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Responsibility in business process</w:t>
            </w:r>
          </w:p>
        </w:tc>
        <w:tc>
          <w:tcPr>
            <w:tcW w:type="dxa" w:w="361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System responsibility in MVP</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7"/>
              </w:rPr>
              <w:t>General Manager / Manager</w:t>
            </w:r>
          </w:p>
        </w:tc>
        <w:tc>
          <w:tcPr>
            <w:tcW w:type="dxa" w:w="3650"/>
            <w:vAlign w:val="center"/>
            <w:tcMar>
              <w:top w:w="80" w:type="dxa"/>
              <w:start w:w="120" w:type="dxa"/>
              <w:bottom w:w="80" w:type="dxa"/>
              <w:end w:w="120" w:type="dxa"/>
            </w:tcMar>
          </w:tcPr>
          <w:p>
            <w:pPr>
              <w:spacing w:before="0" w:after="60" w:line="264" w:lineRule="auto"/>
            </w:pPr>
            <w:r>
              <w:rPr>
                <w:rFonts w:ascii="Calibri" w:hAnsi="Calibri"/>
                <w:b w:val="0"/>
                <w:color w:val="1F2937"/>
                <w:sz w:val="17"/>
              </w:rPr>
              <w:t>Reviews end-to-end revenue-cycle condition and makes higher-level business decisions.</w:t>
            </w:r>
          </w:p>
        </w:tc>
        <w:tc>
          <w:tcPr>
            <w:tcW w:type="dxa" w:w="3610"/>
            <w:vAlign w:val="center"/>
            <w:tcMar>
              <w:top w:w="80" w:type="dxa"/>
              <w:start w:w="120" w:type="dxa"/>
              <w:bottom w:w="80" w:type="dxa"/>
              <w:end w:w="120" w:type="dxa"/>
            </w:tcMar>
          </w:tcPr>
          <w:p>
            <w:r>
              <w:rPr>
                <w:b w:val="0"/>
                <w:sz w:val="18"/>
              </w:rPr>
              <w:t>Can use all current features, review dashboard insight, approve/reject risky Sales Orders or Pre Orders, review Product data, review reminder status, and review audit evidence.</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7"/>
              </w:rPr>
              <w:t>Admin</w:t>
            </w:r>
          </w:p>
        </w:tc>
        <w:tc>
          <w:tcPr>
            <w:tcW w:type="dxa" w:w="3650"/>
            <w:vAlign w:val="center"/>
            <w:tcMar>
              <w:top w:w="80" w:type="dxa"/>
              <w:start w:w="120" w:type="dxa"/>
              <w:bottom w:w="80" w:type="dxa"/>
              <w:end w:w="120" w:type="dxa"/>
            </w:tcMar>
          </w:tcPr>
          <w:p>
            <w:pPr>
              <w:spacing w:before="0" w:after="60" w:line="264" w:lineRule="auto"/>
            </w:pPr>
            <w:r>
              <w:rPr>
                <w:rFonts w:ascii="Calibri" w:hAnsi="Calibri"/>
                <w:b w:val="0"/>
                <w:color w:val="1F2937"/>
                <w:sz w:val="17"/>
              </w:rPr>
              <w:t>Handles operational administration such as invoicing, payment recording, billing, delivery documents, and account records.</w:t>
            </w:r>
          </w:p>
        </w:tc>
        <w:tc>
          <w:tcPr>
            <w:tcW w:type="dxa" w:w="3610"/>
            <w:vAlign w:val="center"/>
            <w:tcMar>
              <w:top w:w="80" w:type="dxa"/>
              <w:start w:w="120" w:type="dxa"/>
              <w:bottom w:w="80" w:type="dxa"/>
              <w:end w:w="120" w:type="dxa"/>
            </w:tcMar>
          </w:tcPr>
          <w:p>
            <w:r>
              <w:rPr>
                <w:b w:val="0"/>
                <w:sz w:val="18"/>
              </w:rPr>
              <w:t>Can manage Product records, generate invoices, record payments, create Surat Jalan, manage billing/follow-up records, process Pre Order/PO documents and reminders, and create local accounts; cannot create Sales Orders unless assigned by business rule.</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w:t>
            </w:r>
          </w:p>
        </w:tc>
        <w:tc>
          <w:tcPr>
            <w:tcW w:type="dxa" w:w="3650"/>
            <w:vAlign w:val="center"/>
            <w:tcMar>
              <w:top w:w="80" w:type="dxa"/>
              <w:start w:w="120" w:type="dxa"/>
              <w:bottom w:w="80" w:type="dxa"/>
              <w:end w:w="120" w:type="dxa"/>
            </w:tcMar>
          </w:tcPr>
          <w:p>
            <w:pPr>
              <w:spacing w:before="0" w:after="60" w:line="264" w:lineRule="auto"/>
            </w:pPr>
            <w:r>
              <w:rPr>
                <w:rFonts w:ascii="Calibri" w:hAnsi="Calibri"/>
                <w:b w:val="0"/>
                <w:color w:val="1F2937"/>
                <w:sz w:val="17"/>
              </w:rPr>
              <w:t>Maintains customer relationships, receives orders, and supports customer follow-up.</w:t>
            </w:r>
          </w:p>
        </w:tc>
        <w:tc>
          <w:tcPr>
            <w:tcW w:type="dxa" w:w="3610"/>
            <w:vAlign w:val="center"/>
            <w:tcMar>
              <w:top w:w="80" w:type="dxa"/>
              <w:start w:w="120" w:type="dxa"/>
              <w:bottom w:w="80" w:type="dxa"/>
              <w:end w:w="120" w:type="dxa"/>
            </w:tcMar>
          </w:tcPr>
          <w:p>
            <w:r>
              <w:rPr>
                <w:b w:val="0"/>
                <w:sz w:val="18"/>
              </w:rPr>
              <w:t>Can manage customers, create Sales Orders and Pre Orders/PO transactions, select products from Product master data, upload PO documents, and review transaction status; restricted from invoice, payment, Surat Jalan, and account creation actions.</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w:t>
            </w:r>
          </w:p>
        </w:tc>
        <w:tc>
          <w:tcPr>
            <w:tcW w:type="dxa" w:w="3650"/>
            <w:vAlign w:val="center"/>
            <w:tcMar>
              <w:top w:w="80" w:type="dxa"/>
              <w:start w:w="120" w:type="dxa"/>
              <w:bottom w:w="80" w:type="dxa"/>
              <w:end w:w="120" w:type="dxa"/>
            </w:tcMar>
          </w:tcPr>
          <w:p>
            <w:pPr>
              <w:spacing w:before="0" w:after="60" w:line="264" w:lineRule="auto"/>
            </w:pPr>
            <w:r>
              <w:rPr>
                <w:rFonts w:ascii="Calibri" w:hAnsi="Calibri"/>
                <w:b w:val="0"/>
                <w:color w:val="1F2937"/>
                <w:sz w:val="17"/>
              </w:rPr>
              <w:t>Places orders and makes payments to CV Tajuk.</w:t>
            </w:r>
          </w:p>
        </w:tc>
        <w:tc>
          <w:tcPr>
            <w:tcW w:type="dxa" w:w="3610"/>
            <w:vAlign w:val="center"/>
            <w:tcMar>
              <w:top w:w="80" w:type="dxa"/>
              <w:start w:w="120" w:type="dxa"/>
              <w:bottom w:w="80" w:type="dxa"/>
              <w:end w:w="120" w:type="dxa"/>
            </w:tcMar>
          </w:tcPr>
          <w:p>
            <w:pPr>
              <w:spacing w:before="0" w:after="60" w:line="264" w:lineRule="auto"/>
            </w:pPr>
            <w:r>
              <w:rPr>
                <w:rFonts w:ascii="Calibri" w:hAnsi="Calibri"/>
                <w:b w:val="0"/>
                <w:color w:val="1F2937"/>
                <w:sz w:val="17"/>
              </w:rPr>
              <w:t>External party; not a system user in the current MVP.</w:t>
            </w:r>
          </w:p>
        </w:tc>
      </w:tr>
      <w:tr>
        <w:tc>
          <w:tcPr>
            <w:tcW w:type="dxa" w:w="2100"/>
            <w:vAlign w:val="center"/>
            <w:tcMar>
              <w:top w:w="80" w:type="dxa"/>
              <w:start w:w="120" w:type="dxa"/>
              <w:bottom w:w="80" w:type="dxa"/>
              <w:end w:w="120" w:type="dxa"/>
            </w:tcMar>
          </w:tcPr>
          <w:p>
            <w:pPr>
              <w:spacing w:before="0" w:after="60" w:line="264" w:lineRule="auto"/>
            </w:pPr>
            <w:r>
              <w:rPr>
                <w:rFonts w:ascii="Calibri" w:hAnsi="Calibri"/>
                <w:b w:val="0"/>
                <w:color w:val="1F2937"/>
                <w:sz w:val="17"/>
              </w:rPr>
              <w:t>Thesis supervisor / academic reviewer</w:t>
            </w:r>
          </w:p>
        </w:tc>
        <w:tc>
          <w:tcPr>
            <w:tcW w:type="dxa" w:w="3650"/>
            <w:vAlign w:val="center"/>
            <w:tcMar>
              <w:top w:w="80" w:type="dxa"/>
              <w:start w:w="120" w:type="dxa"/>
              <w:bottom w:w="80" w:type="dxa"/>
              <w:end w:w="120" w:type="dxa"/>
            </w:tcMar>
          </w:tcPr>
          <w:p>
            <w:pPr>
              <w:spacing w:before="0" w:after="60" w:line="264" w:lineRule="auto"/>
            </w:pPr>
            <w:r>
              <w:rPr>
                <w:rFonts w:ascii="Calibri" w:hAnsi="Calibri"/>
                <w:b w:val="0"/>
                <w:color w:val="1F2937"/>
                <w:sz w:val="17"/>
              </w:rPr>
              <w:t>Reviews whether the documented solution aligns with thesis scope and business problems.</w:t>
            </w:r>
          </w:p>
        </w:tc>
        <w:tc>
          <w:tcPr>
            <w:tcW w:type="dxa" w:w="3610"/>
            <w:vAlign w:val="center"/>
            <w:tcMar>
              <w:top w:w="80" w:type="dxa"/>
              <w:start w:w="120" w:type="dxa"/>
              <w:bottom w:w="80" w:type="dxa"/>
              <w:end w:w="120" w:type="dxa"/>
            </w:tcMar>
          </w:tcPr>
          <w:p>
            <w:pPr>
              <w:spacing w:before="0" w:after="60" w:line="264" w:lineRule="auto"/>
            </w:pPr>
            <w:r>
              <w:rPr>
                <w:rFonts w:ascii="Calibri" w:hAnsi="Calibri"/>
                <w:b w:val="0"/>
                <w:color w:val="1F2937"/>
                <w:sz w:val="17"/>
              </w:rPr>
              <w:t>Not an operational system role; uses documentation and prototype evidence for evaluation.</w:t>
            </w:r>
          </w:p>
        </w:tc>
      </w:tr>
    </w:tbl>
    <w:p>
      <w:pPr>
        <w:spacing w:after="120"/>
      </w:pPr>
    </w:p>
    <w:p>
      <w:pPr>
        <w:pStyle w:val="Heading1"/>
      </w:pPr>
      <w:r>
        <w:t>Current Business Process Overview</w:t>
      </w:r>
    </w:p>
    <w:p>
      <w:pPr>
        <w:spacing w:before="0" w:after="120" w:line="264" w:lineRule="auto"/>
      </w:pPr>
      <w:r>
        <w:rPr>
          <w:rFonts w:ascii="Calibri" w:hAnsi="Calibri"/>
          <w:color w:val="1F2937"/>
          <w:sz w:val="22"/>
        </w:rPr>
        <w:t>The thesis describes the current/as-is revenue-cycle process as beginning from customer orders received through channels such as telephone or WhatsApp. The sales team checks stock manually using the existing system, negotiates price and payment terms, records transaction information, prepares internal documents, and proceeds to production and delivery. Delivery documents such as Surat Jalan support distribution, while payment and receivable information is monitored separately through semi-manual records.</w:t>
      </w:r>
    </w:p>
    <w:p>
      <w:pPr>
        <w:spacing w:before="0" w:after="120" w:line="264" w:lineRule="auto"/>
      </w:pPr>
      <w:r>
        <w:rPr>
          <w:rFonts w:ascii="Calibri" w:hAnsi="Calibri"/>
          <w:color w:val="1F2937"/>
          <w:sz w:val="22"/>
        </w:rPr>
        <w:t>Because sales, delivery, invoice, receivable, payment, and follow-up records are not fully integrated, the current process can require repeated data entry and manual checking. The thesis also notes the absence of a formal written SOP for several sales, recording, billing, and delivery processes.</w:t>
      </w:r>
    </w:p>
    <w:p>
      <w:pPr>
        <w:pStyle w:val="Heading1"/>
      </w:pPr>
      <w:r>
        <w:t>Proposed Business Process Overview</w:t>
      </w:r>
    </w:p>
    <w:p>
      <w:pPr>
        <w:spacing w:before="0" w:after="120" w:line="264" w:lineRule="auto"/>
      </w:pPr>
      <w:r>
        <w:t>The proposed/to-be process uses the system as a centralized local record for key revenue-cycle activities. Customer and Product records become the basis for transactions. When creating a transaction, the user identifies whether it is a normal Sales Order or a Pre Order/PO transaction. Both transaction types share the same downstream invoice, payment, receivable, billing, and Surat Jalan process, while Pre Order/PO additionally records the uploaded PO document, manually entered Sales Order/PO ID, required product date, and reminder notification before the required date.</w:t>
      </w:r>
    </w:p>
    <w:p>
      <w:pPr>
        <w:pStyle w:val="Heading1"/>
      </w:pPr>
      <w:r>
        <w:t>Activity Diagram</w:t>
      </w:r>
    </w:p>
    <w:p>
      <w:r>
        <w:t>The updated activity diagram summarizes the required flow using simple start/end, activity, swimlane, decision, and arrow components. It separates normal Sales Order and Pre Order/PO at transaction creation, while keeping invoice, payment, receivable, billing, and delivery document processing consistent after the transaction is validated.</w:t>
      </w:r>
    </w:p>
    <w:p>
      <w:pPr>
        <w:jc w:val="center"/>
      </w:pPr>
      <w:r>
        <w:drawing>
          <wp:inline xmlns:a="http://schemas.openxmlformats.org/drawingml/2006/main" xmlns:pic="http://schemas.openxmlformats.org/drawingml/2006/picture">
            <wp:extent cx="5577840" cy="5093071"/>
            <wp:docPr id="1" name="Picture 1"/>
            <wp:cNvGraphicFramePr>
              <a:graphicFrameLocks noChangeAspect="1"/>
            </wp:cNvGraphicFramePr>
            <a:graphic>
              <a:graphicData uri="http://schemas.openxmlformats.org/drawingml/2006/picture">
                <pic:pic>
                  <pic:nvPicPr>
                    <pic:cNvPr id="0" name="revenue-cycle-activity-diagram.png"/>
                    <pic:cNvPicPr/>
                  </pic:nvPicPr>
                  <pic:blipFill>
                    <a:blip r:embed="rId10"/>
                    <a:stretch>
                      <a:fillRect/>
                    </a:stretch>
                  </pic:blipFill>
                  <pic:spPr>
                    <a:xfrm>
                      <a:off x="0" y="0"/>
                      <a:ext cx="5577840" cy="5093071"/>
                    </a:xfrm>
                    <a:prstGeom prst="rect"/>
                  </pic:spPr>
                </pic:pic>
              </a:graphicData>
            </a:graphic>
          </wp:inline>
        </w:drawing>
      </w:r>
    </w:p>
    <w:p>
      <w:pPr>
        <w:jc w:val="center"/>
      </w:pPr>
      <w:r>
        <w:rPr>
          <w:i/>
          <w:sz w:val="18"/>
        </w:rPr>
        <w:t>Figure 1. Activity diagram for the updated revenue-cycle flow, including normal Sales Order, Pre Order/PO, invoice, payment, and Surat Jalan processing.</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00"/>
        <w:gridCol w:w="7060"/>
      </w:tblGrid>
      <w:tr>
        <w:trPr>
          <w:tblHeader w:val="true"/>
        </w:trPr>
        <w:tc>
          <w:tcPr>
            <w:tcW w:type="dxa" w:w="23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Process step</w:t>
            </w:r>
          </w:p>
        </w:tc>
        <w:tc>
          <w:tcPr>
            <w:tcW w:type="dxa" w:w="70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Supported system behavior</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Customer setup</w:t>
            </w:r>
          </w:p>
        </w:tc>
        <w:tc>
          <w:tcPr>
            <w:tcW w:type="dxa" w:w="7060"/>
            <w:vAlign w:val="center"/>
            <w:tcMar>
              <w:top w:w="80" w:type="dxa"/>
              <w:start w:w="120" w:type="dxa"/>
              <w:bottom w:w="80" w:type="dxa"/>
              <w:end w:w="120" w:type="dxa"/>
            </w:tcMar>
          </w:tcPr>
          <w:p>
            <w:r>
              <w:rPr>
                <w:b w:val="0"/>
                <w:sz w:val="18"/>
              </w:rPr>
              <w:t>Customer profile, category, status, payment risk, and transaction history are maintained centrally.</w:t>
            </w:r>
          </w:p>
        </w:tc>
      </w:tr>
      <w:tr>
        <w:tc>
          <w:tcPr>
            <w:tcW w:type="dxa" w:w="2300"/>
            <w:vAlign w:val="center"/>
            <w:tcMar>
              <w:top w:w="80" w:type="dxa"/>
              <w:start w:w="120" w:type="dxa"/>
              <w:bottom w:w="80" w:type="dxa"/>
              <w:end w:w="120" w:type="dxa"/>
            </w:tcMar>
          </w:tcPr>
          <w:p>
            <w:r>
              <w:rPr>
                <w:b w:val="0"/>
                <w:sz w:val="18"/>
              </w:rPr>
              <w:t>Transaction creation</w:t>
            </w:r>
          </w:p>
        </w:tc>
        <w:tc>
          <w:tcPr>
            <w:tcW w:type="dxa" w:w="7060"/>
            <w:vAlign w:val="center"/>
            <w:tcMar>
              <w:top w:w="80" w:type="dxa"/>
              <w:start w:w="120" w:type="dxa"/>
              <w:bottom w:w="80" w:type="dxa"/>
              <w:end w:w="120" w:type="dxa"/>
            </w:tcMar>
          </w:tcPr>
          <w:p>
            <w:r>
              <w:rPr>
                <w:b w:val="0"/>
                <w:sz w:val="18"/>
              </w:rPr>
              <w:t>User selects whether the transaction is a normal Sales Order or a Pre Order/PO through a creation prompt.</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Invoice</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8"/>
              </w:rPr>
              <w:t>Invoice data is generated from Sales Order and Customer information where business rules allow.</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Payment</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8"/>
              </w:rPr>
              <w:t>Payments reduce invoice remaining balance and update status.</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Delivery / Surat Jalan</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8"/>
              </w:rPr>
              <w:t>Delivery note can be created from eligible invoice or sales order data and printed for documentation.</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Receivable</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8"/>
              </w:rPr>
              <w:t>Outstanding receivable status is derived from invoice and payment records rather than manually created.</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Billing and follow-up</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8"/>
              </w:rPr>
              <w:t>Collection reminders and customer/product follow-up activity are documented.</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8"/>
              </w:rPr>
              <w:t>Dashboard and audit</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8"/>
              </w:rPr>
              <w:t>Management summary and audit evidence are generated from system activity.</w:t>
            </w:r>
          </w:p>
        </w:tc>
      </w:tr>
      <w:tr>
        <w:tc>
          <w:tcPr>
            <w:tcW w:type="dxa" w:w="2300"/>
            <w:vAlign w:val="center"/>
          </w:tcPr>
          <w:p>
            <w:r>
              <w:rPr>
                <w:b w:val="0"/>
                <w:sz w:val="18"/>
              </w:rPr>
              <w:t>Product setup</w:t>
            </w:r>
          </w:p>
        </w:tc>
        <w:tc>
          <w:tcPr>
            <w:tcW w:type="dxa" w:w="7060"/>
            <w:vAlign w:val="center"/>
          </w:tcPr>
          <w:p>
            <w:r>
              <w:rPr>
                <w:b w:val="0"/>
                <w:sz w:val="18"/>
              </w:rPr>
              <w:t>Product Name, Notes, Base Price, and Active/Inactive status are maintained centrally and reused during item entry.</w:t>
            </w:r>
          </w:p>
        </w:tc>
      </w:tr>
      <w:tr>
        <w:tc>
          <w:tcPr>
            <w:tcW w:type="dxa" w:w="2300"/>
            <w:vAlign w:val="center"/>
          </w:tcPr>
          <w:p>
            <w:r>
              <w:rPr>
                <w:b w:val="0"/>
                <w:sz w:val="18"/>
              </w:rPr>
              <w:t>Pre Order / PO</w:t>
            </w:r>
          </w:p>
        </w:tc>
        <w:tc>
          <w:tcPr>
            <w:tcW w:type="dxa" w:w="7060"/>
            <w:vAlign w:val="center"/>
          </w:tcPr>
          <w:p>
            <w:r>
              <w:rPr>
                <w:b w:val="0"/>
                <w:sz w:val="18"/>
              </w:rPr>
              <w:t>PO transaction stores uploaded PO document, manually entered PO/Sales Order ID, required product date, transaction type, items, totals, and status.</w:t>
            </w:r>
          </w:p>
        </w:tc>
      </w:tr>
      <w:tr>
        <w:tc>
          <w:tcPr>
            <w:tcW w:type="dxa" w:w="2300"/>
            <w:vAlign w:val="center"/>
          </w:tcPr>
          <w:p>
            <w:r>
              <w:rPr>
                <w:b w:val="0"/>
                <w:sz w:val="18"/>
              </w:rPr>
              <w:t>Product pricing</w:t>
            </w:r>
          </w:p>
        </w:tc>
        <w:tc>
          <w:tcPr>
            <w:tcW w:type="dxa" w:w="7060"/>
            <w:vAlign w:val="center"/>
          </w:tcPr>
          <w:p>
            <w:r>
              <w:rPr>
                <w:b w:val="0"/>
                <w:sz w:val="18"/>
              </w:rPr>
              <w:t>Item entry uses Product Name dropdown, auto-fills Base Price, allows Unit Price edits, and applies optional Markup or Discount internally.</w:t>
            </w:r>
          </w:p>
        </w:tc>
      </w:tr>
      <w:tr>
        <w:tc>
          <w:tcPr>
            <w:tcW w:type="dxa" w:w="2300"/>
            <w:vAlign w:val="center"/>
          </w:tcPr>
          <w:p>
            <w:r>
              <w:rPr>
                <w:b w:val="0"/>
                <w:sz w:val="18"/>
              </w:rPr>
              <w:t>PO reminder</w:t>
            </w:r>
          </w:p>
        </w:tc>
        <w:tc>
          <w:tcPr>
            <w:tcW w:type="dxa" w:w="7060"/>
            <w:vAlign w:val="center"/>
          </w:tcPr>
          <w:p>
            <w:r>
              <w:rPr>
                <w:b w:val="0"/>
                <w:sz w:val="18"/>
              </w:rPr>
              <w:t>System notifies users before the required product date so PO transactions can be processed on time.</w:t>
            </w:r>
          </w:p>
        </w:tc>
      </w:tr>
      <w:tr>
        <w:tc>
          <w:tcPr>
            <w:tcW w:type="dxa" w:w="2300"/>
            <w:vAlign w:val="center"/>
          </w:tcPr>
          <w:p>
            <w:r>
              <w:rPr>
                <w:b w:val="0"/>
                <w:sz w:val="18"/>
              </w:rPr>
              <w:t>Printed documents</w:t>
            </w:r>
          </w:p>
        </w:tc>
        <w:tc>
          <w:tcPr>
            <w:tcW w:type="dxa" w:w="7060"/>
            <w:vAlign w:val="center"/>
          </w:tcPr>
          <w:p>
            <w:r>
              <w:rPr>
                <w:b w:val="0"/>
                <w:sz w:val="18"/>
              </w:rPr>
              <w:t>Invoice and Surat Jalan show transaction type and PO details when relevant, but exclude internal markup/discount fields.</w:t>
            </w:r>
          </w:p>
        </w:tc>
      </w:tr>
      <w:tr>
        <w:tc>
          <w:tcPr>
            <w:tcW w:type="dxa" w:w="2300"/>
            <w:vAlign w:val="center"/>
          </w:tcPr>
          <w:p>
            <w:r>
              <w:rPr>
                <w:b w:val="0"/>
                <w:sz w:val="18"/>
              </w:rPr>
              <w:t>Table review</w:t>
            </w:r>
          </w:p>
        </w:tc>
        <w:tc>
          <w:tcPr>
            <w:tcW w:type="dxa" w:w="7060"/>
            <w:vAlign w:val="center"/>
          </w:tcPr>
          <w:p>
            <w:r>
              <w:rPr>
                <w:b w:val="0"/>
                <w:sz w:val="18"/>
              </w:rPr>
              <w:t>Operational tables support working sort and filter behavior to help users find and review records.</w:t>
            </w:r>
          </w:p>
        </w:tc>
      </w:tr>
    </w:tbl>
    <w:p>
      <w:pPr>
        <w:spacing w:after="120"/>
      </w:pPr>
    </w:p>
    <w:p>
      <w:pPr>
        <w:pStyle w:val="Heading1"/>
      </w:pPr>
      <w:r>
        <w:t>Business Requirements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2850"/>
        <w:gridCol w:w="3500"/>
        <w:gridCol w:w="850"/>
        <w:gridCol w:w="1260"/>
      </w:tblGrid>
      <w:tr>
        <w:trPr>
          <w:tblHeader w:val="true"/>
        </w:trPr>
        <w:tc>
          <w:tcPr>
            <w:tcW w:type="dxa" w:w="9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ID</w:t>
            </w:r>
          </w:p>
        </w:tc>
        <w:tc>
          <w:tcPr>
            <w:tcW w:type="dxa" w:w="285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Requirement description</w:t>
            </w:r>
          </w:p>
        </w:tc>
        <w:tc>
          <w:tcPr>
            <w:tcW w:type="dxa" w:w="35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Business rationale</w:t>
            </w:r>
          </w:p>
        </w:tc>
        <w:tc>
          <w:tcPr>
            <w:tcW w:type="dxa" w:w="85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Priority</w:t>
            </w:r>
          </w:p>
        </w:tc>
        <w:tc>
          <w:tcPr>
            <w:tcW w:type="dxa" w:w="126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Related module</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BR-001</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maintain centralized customer records.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Centralized customer data reduces scattered references across WhatsApp, Excel, and physical documents.</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BR-002</w:t>
            </w:r>
          </w:p>
        </w:tc>
        <w:tc>
          <w:tcPr>
            <w:tcW w:type="dxa" w:w="2850"/>
            <w:vAlign w:val="center"/>
            <w:tcMar>
              <w:top w:w="80" w:type="dxa"/>
              <w:start w:w="120" w:type="dxa"/>
              <w:bottom w:w="80" w:type="dxa"/>
              <w:end w:w="120" w:type="dxa"/>
            </w:tcMar>
          </w:tcPr>
          <w:p>
            <w:r>
              <w:rPr>
                <w:b w:val="0"/>
                <w:sz w:val="18"/>
              </w:rPr>
              <w:t>The system shall support Sales Order creation with customer, Product Name, quantity, unit price, optional internal markup/discount, total, and payment-term data.</w:t>
            </w:r>
          </w:p>
        </w:tc>
        <w:tc>
          <w:tcPr>
            <w:tcW w:type="dxa" w:w="3500"/>
            <w:vAlign w:val="center"/>
            <w:tcMar>
              <w:top w:w="80" w:type="dxa"/>
              <w:start w:w="120" w:type="dxa"/>
              <w:bottom w:w="80" w:type="dxa"/>
              <w:end w:w="120" w:type="dxa"/>
            </w:tcMar>
          </w:tcPr>
          <w:p>
            <w:r>
              <w:rPr>
                <w:b w:val="0"/>
                <w:sz w:val="18"/>
              </w:rPr>
              <w:t>A standardized Sales Order is needed as the starting point for traceable revenue-cycle transactions while reducing inconsistent free-text item entry.</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BR-003</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support Manager approval for Sales-created orders involving customers with late or historical payment risk.</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Approval control supports risk management for customers with payment concerns.</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Orders / Approval</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BR-004</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generate or create invoices from eligible sales orders.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 information should reuse order and customer data to reduce repeated manual entry.</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BR-005</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record customer payments against invoices.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Payment recording is required to update paid amount, remaining amount, and invoice status.</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Payments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BR-006</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show receivable status and outstanding balances derived from invoices and payments.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Receivable monitoring addresses the thesis gap related to limited payment and receivable visibility.</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Receivables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BR-007</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support Billing tasks for collection-related follow-up.</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Billing reminders help document and monitor collection work.</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Medium</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Billing</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BR-008</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support customer/product follow-up records.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Follow-up documentation reduces reliance on memory and informal communication.</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Medium</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Follow Up</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BR-009</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support Surat Jalan creation and printing for eligible transactions.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Delivery documents are part of the revenue cycle and support transaction documentation.</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Medium</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Surat Jalan</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BR-010</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provide role-specific dashboards and operational summaries.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Dashboard insight improves management visibility into sales, receivables, attention items, and customer behavior.</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Medium</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Dashboard</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BR-011</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provide basic role-based restrictions for Manager, Admin, and Sales users.</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Basic role control supports separation of duties within the academic MVP.</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User / Access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BR-012</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record important business actions in an audit trail.</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Audit evidence supports traceability and academic evaluation of process controls.</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Medium</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Audit Trail</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BR-013</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support search, filter, sort, and export where available for operational review.</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Users need practical ways to review transaction data without complex reporting tools.</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Low</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Tables / Export</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BR-014</w:t>
            </w:r>
          </w:p>
        </w:tc>
        <w:tc>
          <w:tcPr>
            <w:tcW w:type="dxa" w:w="285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system shall remain feasible for local UMKM prototype use.</w:t>
            </w:r>
          </w:p>
        </w:tc>
        <w:tc>
          <w:tcPr>
            <w:tcW w:type="dxa" w:w="3500"/>
            <w:vAlign w:val="center"/>
            <w:tcMar>
              <w:top w:w="80" w:type="dxa"/>
              <w:start w:w="120" w:type="dxa"/>
              <w:bottom w:w="80" w:type="dxa"/>
              <w:end w:w="120" w:type="dxa"/>
            </w:tcMar>
          </w:tcPr>
          <w:p>
            <w:pPr>
              <w:spacing w:before="0" w:after="60" w:line="264" w:lineRule="auto"/>
            </w:pPr>
            <w:r>
              <w:rPr>
                <w:rFonts w:ascii="Calibri" w:hAnsi="Calibri"/>
                <w:b w:val="0"/>
                <w:color w:val="1F2937"/>
                <w:sz w:val="17"/>
              </w:rPr>
              <w:t>The thesis emphasizes limited infrastructure, limited IT support, and gradual change.</w:t>
            </w:r>
          </w:p>
        </w:tc>
        <w:tc>
          <w:tcPr>
            <w:tcW w:type="dxa" w:w="850"/>
            <w:vAlign w:val="center"/>
            <w:tcMar>
              <w:top w:w="80" w:type="dxa"/>
              <w:start w:w="120" w:type="dxa"/>
              <w:bottom w:w="80" w:type="dxa"/>
              <w:end w:w="120" w:type="dxa"/>
            </w:tcMar>
          </w:tcPr>
          <w:p>
            <w:pPr>
              <w:spacing w:before="0" w:after="60" w:line="264" w:lineRule="auto"/>
            </w:pPr>
            <w:r>
              <w:rPr>
                <w:rFonts w:ascii="Calibri" w:hAnsi="Calibri"/>
                <w:b w:val="0"/>
                <w:color w:val="1F2937"/>
                <w:sz w:val="17"/>
              </w:rPr>
              <w:t>High</w:t>
            </w:r>
          </w:p>
        </w:tc>
        <w:tc>
          <w:tcPr>
            <w:tcW w:type="dxa" w:w="1260"/>
            <w:vAlign w:val="center"/>
            <w:tcMar>
              <w:top w:w="80" w:type="dxa"/>
              <w:start w:w="120" w:type="dxa"/>
              <w:bottom w:w="80" w:type="dxa"/>
              <w:end w:w="120" w:type="dxa"/>
            </w:tcMar>
          </w:tcPr>
          <w:p>
            <w:pPr>
              <w:spacing w:before="0" w:after="60" w:line="264" w:lineRule="auto"/>
            </w:pPr>
            <w:r>
              <w:rPr>
                <w:rFonts w:ascii="Calibri" w:hAnsi="Calibri"/>
                <w:b w:val="0"/>
                <w:color w:val="1F2937"/>
                <w:sz w:val="17"/>
              </w:rPr>
              <w:t>Overall MVP</w:t>
            </w:r>
          </w:p>
        </w:tc>
      </w:tr>
      <w:tr>
        <w:tc>
          <w:tcPr>
            <w:tcW w:type="dxa" w:w="900"/>
            <w:vAlign w:val="center"/>
          </w:tcPr>
          <w:p>
            <w:r>
              <w:rPr>
                <w:b w:val="0"/>
                <w:sz w:val="18"/>
              </w:rPr>
              <w:t>BR-015</w:t>
            </w:r>
          </w:p>
        </w:tc>
        <w:tc>
          <w:tcPr>
            <w:tcW w:type="dxa" w:w="2850"/>
            <w:vAlign w:val="center"/>
          </w:tcPr>
          <w:p>
            <w:r>
              <w:rPr>
                <w:b w:val="0"/>
                <w:sz w:val="18"/>
              </w:rPr>
              <w:t>The system shall maintain Product master data with Product Name, Notes, Base Price, and Active/Inactive status.</w:t>
            </w:r>
          </w:p>
        </w:tc>
        <w:tc>
          <w:tcPr>
            <w:tcW w:type="dxa" w:w="3500"/>
            <w:vAlign w:val="center"/>
          </w:tcPr>
          <w:p>
            <w:r>
              <w:rPr>
                <w:b w:val="0"/>
                <w:sz w:val="18"/>
              </w:rPr>
              <w:t>Product master data standardizes item naming and base pricing across Sales Order and Pre Order transactions.</w:t>
            </w:r>
          </w:p>
        </w:tc>
        <w:tc>
          <w:tcPr>
            <w:tcW w:type="dxa" w:w="850"/>
            <w:vAlign w:val="center"/>
          </w:tcPr>
          <w:p>
            <w:r>
              <w:rPr>
                <w:b w:val="0"/>
                <w:sz w:val="18"/>
              </w:rPr>
              <w:t>High</w:t>
            </w:r>
          </w:p>
        </w:tc>
        <w:tc>
          <w:tcPr>
            <w:tcW w:type="dxa" w:w="1260"/>
            <w:vAlign w:val="center"/>
          </w:tcPr>
          <w:p>
            <w:r>
              <w:rPr>
                <w:b w:val="0"/>
                <w:sz w:val="18"/>
              </w:rPr>
              <w:t>Products</w:t>
            </w:r>
          </w:p>
        </w:tc>
      </w:tr>
      <w:tr>
        <w:tc>
          <w:tcPr>
            <w:tcW w:type="dxa" w:w="900"/>
            <w:vAlign w:val="center"/>
          </w:tcPr>
          <w:p>
            <w:r>
              <w:rPr>
                <w:b w:val="0"/>
                <w:sz w:val="18"/>
              </w:rPr>
              <w:t>BR-016</w:t>
            </w:r>
          </w:p>
        </w:tc>
        <w:tc>
          <w:tcPr>
            <w:tcW w:type="dxa" w:w="2850"/>
            <w:vAlign w:val="center"/>
          </w:tcPr>
          <w:p>
            <w:r>
              <w:rPr>
                <w:b w:val="0"/>
                <w:sz w:val="18"/>
              </w:rPr>
              <w:t>The system shall provide a Product menu in the left navigation with list, detail, add, edit, search, sort, filter, and inactive behavior similar to Customer management.</w:t>
            </w:r>
          </w:p>
        </w:tc>
        <w:tc>
          <w:tcPr>
            <w:tcW w:type="dxa" w:w="3500"/>
            <w:vAlign w:val="center"/>
          </w:tcPr>
          <w:p>
            <w:r>
              <w:rPr>
                <w:b w:val="0"/>
                <w:sz w:val="18"/>
              </w:rPr>
              <w:t>Consistent product management behavior reduces user learning effort and improves data quality.</w:t>
            </w:r>
          </w:p>
        </w:tc>
        <w:tc>
          <w:tcPr>
            <w:tcW w:type="dxa" w:w="850"/>
            <w:vAlign w:val="center"/>
          </w:tcPr>
          <w:p>
            <w:r>
              <w:rPr>
                <w:b w:val="0"/>
                <w:sz w:val="18"/>
              </w:rPr>
              <w:t>High</w:t>
            </w:r>
          </w:p>
        </w:tc>
        <w:tc>
          <w:tcPr>
            <w:tcW w:type="dxa" w:w="1260"/>
            <w:vAlign w:val="center"/>
          </w:tcPr>
          <w:p>
            <w:r>
              <w:rPr>
                <w:b w:val="0"/>
                <w:sz w:val="18"/>
              </w:rPr>
              <w:t>Products</w:t>
            </w:r>
          </w:p>
        </w:tc>
      </w:tr>
      <w:tr>
        <w:tc>
          <w:tcPr>
            <w:tcW w:type="dxa" w:w="900"/>
            <w:vAlign w:val="center"/>
          </w:tcPr>
          <w:p>
            <w:r>
              <w:rPr>
                <w:b w:val="0"/>
                <w:sz w:val="18"/>
              </w:rPr>
              <w:t>BR-017</w:t>
            </w:r>
          </w:p>
        </w:tc>
        <w:tc>
          <w:tcPr>
            <w:tcW w:type="dxa" w:w="2850"/>
            <w:vAlign w:val="center"/>
          </w:tcPr>
          <w:p>
            <w:r>
              <w:rPr>
                <w:b w:val="0"/>
                <w:sz w:val="18"/>
              </w:rPr>
              <w:t>The system shall ask users whether a new transaction is a normal Sales Order or a Pre Order/PO transaction.</w:t>
            </w:r>
          </w:p>
        </w:tc>
        <w:tc>
          <w:tcPr>
            <w:tcW w:type="dxa" w:w="3500"/>
            <w:vAlign w:val="center"/>
          </w:tcPr>
          <w:p>
            <w:r>
              <w:rPr>
                <w:b w:val="0"/>
                <w:sz w:val="18"/>
              </w:rPr>
              <w:t>The transaction type must be clear before collecting required fields and applying the correct workflow.</w:t>
            </w:r>
          </w:p>
        </w:tc>
        <w:tc>
          <w:tcPr>
            <w:tcW w:type="dxa" w:w="850"/>
            <w:vAlign w:val="center"/>
          </w:tcPr>
          <w:p>
            <w:r>
              <w:rPr>
                <w:b w:val="0"/>
                <w:sz w:val="18"/>
              </w:rPr>
              <w:t>High</w:t>
            </w:r>
          </w:p>
        </w:tc>
        <w:tc>
          <w:tcPr>
            <w:tcW w:type="dxa" w:w="1260"/>
            <w:vAlign w:val="center"/>
          </w:tcPr>
          <w:p>
            <w:r>
              <w:rPr>
                <w:b w:val="0"/>
                <w:sz w:val="18"/>
              </w:rPr>
              <w:t>Sales Orders / Pre Orders</w:t>
            </w:r>
          </w:p>
        </w:tc>
      </w:tr>
      <w:tr>
        <w:tc>
          <w:tcPr>
            <w:tcW w:type="dxa" w:w="900"/>
            <w:vAlign w:val="center"/>
          </w:tcPr>
          <w:p>
            <w:r>
              <w:rPr>
                <w:b w:val="0"/>
                <w:sz w:val="18"/>
              </w:rPr>
              <w:t>BR-018</w:t>
            </w:r>
          </w:p>
        </w:tc>
        <w:tc>
          <w:tcPr>
            <w:tcW w:type="dxa" w:w="2850"/>
            <w:vAlign w:val="center"/>
          </w:tcPr>
          <w:p>
            <w:r>
              <w:rPr>
                <w:b w:val="0"/>
                <w:sz w:val="18"/>
              </w:rPr>
              <w:t>The system shall maintain Pre Order/PO transactions in a separate left-navigation menu while preserving the same downstream invoice, payment, receivable, billing, and Surat Jalan behavior as Sales Orders.</w:t>
            </w:r>
          </w:p>
        </w:tc>
        <w:tc>
          <w:tcPr>
            <w:tcW w:type="dxa" w:w="3500"/>
            <w:vAlign w:val="center"/>
          </w:tcPr>
          <w:p>
            <w:r>
              <w:rPr>
                <w:b w:val="0"/>
                <w:sz w:val="18"/>
              </w:rPr>
              <w:t>PO transactions need separate monitoring but should not duplicate the downstream revenue-cycle process.</w:t>
            </w:r>
          </w:p>
        </w:tc>
        <w:tc>
          <w:tcPr>
            <w:tcW w:type="dxa" w:w="850"/>
            <w:vAlign w:val="center"/>
          </w:tcPr>
          <w:p>
            <w:r>
              <w:rPr>
                <w:b w:val="0"/>
                <w:sz w:val="18"/>
              </w:rPr>
              <w:t>High</w:t>
            </w:r>
          </w:p>
        </w:tc>
        <w:tc>
          <w:tcPr>
            <w:tcW w:type="dxa" w:w="1260"/>
            <w:vAlign w:val="center"/>
          </w:tcPr>
          <w:p>
            <w:r>
              <w:rPr>
                <w:b w:val="0"/>
                <w:sz w:val="18"/>
              </w:rPr>
              <w:t>Pre Orders</w:t>
            </w:r>
          </w:p>
        </w:tc>
      </w:tr>
      <w:tr>
        <w:tc>
          <w:tcPr>
            <w:tcW w:type="dxa" w:w="900"/>
            <w:vAlign w:val="center"/>
          </w:tcPr>
          <w:p>
            <w:r>
              <w:rPr>
                <w:b w:val="0"/>
                <w:sz w:val="18"/>
              </w:rPr>
              <w:t>BR-019</w:t>
            </w:r>
          </w:p>
        </w:tc>
        <w:tc>
          <w:tcPr>
            <w:tcW w:type="dxa" w:w="2850"/>
            <w:vAlign w:val="center"/>
          </w:tcPr>
          <w:p>
            <w:r>
              <w:rPr>
                <w:b w:val="0"/>
                <w:sz w:val="18"/>
              </w:rPr>
              <w:t>The system shall capture PO document upload, manual PO/Sales Order ID, and required product date for Pre Order/PO transactions.</w:t>
            </w:r>
          </w:p>
        </w:tc>
        <w:tc>
          <w:tcPr>
            <w:tcW w:type="dxa" w:w="3500"/>
            <w:vAlign w:val="center"/>
          </w:tcPr>
          <w:p>
            <w:r>
              <w:rPr>
                <w:b w:val="0"/>
                <w:sz w:val="18"/>
              </w:rPr>
              <w:t>PO evidence, manual reference numbers, and required dates are needed to process customer PO transactions correctly.</w:t>
            </w:r>
          </w:p>
        </w:tc>
        <w:tc>
          <w:tcPr>
            <w:tcW w:type="dxa" w:w="850"/>
            <w:vAlign w:val="center"/>
          </w:tcPr>
          <w:p>
            <w:r>
              <w:rPr>
                <w:b w:val="0"/>
                <w:sz w:val="18"/>
              </w:rPr>
              <w:t>High</w:t>
            </w:r>
          </w:p>
        </w:tc>
        <w:tc>
          <w:tcPr>
            <w:tcW w:type="dxa" w:w="1260"/>
            <w:vAlign w:val="center"/>
          </w:tcPr>
          <w:p>
            <w:r>
              <w:rPr>
                <w:b w:val="0"/>
                <w:sz w:val="18"/>
              </w:rPr>
              <w:t>Pre Orders</w:t>
            </w:r>
          </w:p>
        </w:tc>
      </w:tr>
      <w:tr>
        <w:tc>
          <w:tcPr>
            <w:tcW w:type="dxa" w:w="900"/>
            <w:vAlign w:val="center"/>
          </w:tcPr>
          <w:p>
            <w:r>
              <w:rPr>
                <w:b w:val="0"/>
                <w:sz w:val="18"/>
              </w:rPr>
              <w:t>BR-020</w:t>
            </w:r>
          </w:p>
        </w:tc>
        <w:tc>
          <w:tcPr>
            <w:tcW w:type="dxa" w:w="2850"/>
            <w:vAlign w:val="center"/>
          </w:tcPr>
          <w:p>
            <w:r>
              <w:rPr>
                <w:b w:val="0"/>
                <w:sz w:val="18"/>
              </w:rPr>
              <w:t>The system shall use Product Name dropdown selection from Product master data for item entry in Sales Order and Pre Order transactions.</w:t>
            </w:r>
          </w:p>
        </w:tc>
        <w:tc>
          <w:tcPr>
            <w:tcW w:type="dxa" w:w="3500"/>
            <w:vAlign w:val="center"/>
          </w:tcPr>
          <w:p>
            <w:r>
              <w:rPr>
                <w:b w:val="0"/>
                <w:sz w:val="18"/>
              </w:rPr>
              <w:t>Dropdown selection improves consistency and enables automatic base-price filling.</w:t>
            </w:r>
          </w:p>
        </w:tc>
        <w:tc>
          <w:tcPr>
            <w:tcW w:type="dxa" w:w="850"/>
            <w:vAlign w:val="center"/>
          </w:tcPr>
          <w:p>
            <w:r>
              <w:rPr>
                <w:b w:val="0"/>
                <w:sz w:val="18"/>
              </w:rPr>
              <w:t>High</w:t>
            </w:r>
          </w:p>
        </w:tc>
        <w:tc>
          <w:tcPr>
            <w:tcW w:type="dxa" w:w="1260"/>
            <w:vAlign w:val="center"/>
          </w:tcPr>
          <w:p>
            <w:r>
              <w:rPr>
                <w:b w:val="0"/>
                <w:sz w:val="18"/>
              </w:rPr>
              <w:t>Sales Orders / Pre Orders / Products</w:t>
            </w:r>
          </w:p>
        </w:tc>
      </w:tr>
      <w:tr>
        <w:tc>
          <w:tcPr>
            <w:tcW w:type="dxa" w:w="900"/>
            <w:vAlign w:val="center"/>
          </w:tcPr>
          <w:p>
            <w:r>
              <w:rPr>
                <w:b w:val="0"/>
                <w:sz w:val="18"/>
              </w:rPr>
              <w:t>BR-021</w:t>
            </w:r>
          </w:p>
        </w:tc>
        <w:tc>
          <w:tcPr>
            <w:tcW w:type="dxa" w:w="2850"/>
            <w:vAlign w:val="center"/>
          </w:tcPr>
          <w:p>
            <w:r>
              <w:rPr>
                <w:b w:val="0"/>
                <w:sz w:val="18"/>
              </w:rPr>
              <w:t>The system shall automatically fill Unit Price from Product Base Price while allowing the Unit Price to be edited before saving.</w:t>
            </w:r>
          </w:p>
        </w:tc>
        <w:tc>
          <w:tcPr>
            <w:tcW w:type="dxa" w:w="3500"/>
            <w:vAlign w:val="center"/>
          </w:tcPr>
          <w:p>
            <w:r>
              <w:rPr>
                <w:b w:val="0"/>
                <w:sz w:val="18"/>
              </w:rPr>
              <w:t>Users need a default price for speed but still require flexibility for transaction-specific pricing.</w:t>
            </w:r>
          </w:p>
        </w:tc>
        <w:tc>
          <w:tcPr>
            <w:tcW w:type="dxa" w:w="850"/>
            <w:vAlign w:val="center"/>
          </w:tcPr>
          <w:p>
            <w:r>
              <w:rPr>
                <w:b w:val="0"/>
                <w:sz w:val="18"/>
              </w:rPr>
              <w:t>High</w:t>
            </w:r>
          </w:p>
        </w:tc>
        <w:tc>
          <w:tcPr>
            <w:tcW w:type="dxa" w:w="1260"/>
            <w:vAlign w:val="center"/>
          </w:tcPr>
          <w:p>
            <w:r>
              <w:rPr>
                <w:b w:val="0"/>
                <w:sz w:val="18"/>
              </w:rPr>
              <w:t>Pricing</w:t>
            </w:r>
          </w:p>
        </w:tc>
      </w:tr>
      <w:tr>
        <w:tc>
          <w:tcPr>
            <w:tcW w:type="dxa" w:w="900"/>
            <w:vAlign w:val="center"/>
          </w:tcPr>
          <w:p>
            <w:r>
              <w:rPr>
                <w:b w:val="0"/>
                <w:sz w:val="18"/>
              </w:rPr>
              <w:t>BR-022</w:t>
            </w:r>
          </w:p>
        </w:tc>
        <w:tc>
          <w:tcPr>
            <w:tcW w:type="dxa" w:w="2850"/>
            <w:vAlign w:val="center"/>
          </w:tcPr>
          <w:p>
            <w:r>
              <w:rPr>
                <w:b w:val="0"/>
                <w:sz w:val="18"/>
              </w:rPr>
              <w:t>The system shall support optional Markup and Discount fields that affect Unit Price and are recorded in the system and Audit Trail only.</w:t>
            </w:r>
          </w:p>
        </w:tc>
        <w:tc>
          <w:tcPr>
            <w:tcW w:type="dxa" w:w="3500"/>
            <w:vAlign w:val="center"/>
          </w:tcPr>
          <w:p>
            <w:r>
              <w:rPr>
                <w:b w:val="0"/>
                <w:sz w:val="18"/>
              </w:rPr>
              <w:t>Internal pricing adjustments need traceability without exposing markup/discount details on customer-facing documents.</w:t>
            </w:r>
          </w:p>
        </w:tc>
        <w:tc>
          <w:tcPr>
            <w:tcW w:type="dxa" w:w="850"/>
            <w:vAlign w:val="center"/>
          </w:tcPr>
          <w:p>
            <w:r>
              <w:rPr>
                <w:b w:val="0"/>
                <w:sz w:val="18"/>
              </w:rPr>
              <w:t>Medium</w:t>
            </w:r>
          </w:p>
        </w:tc>
        <w:tc>
          <w:tcPr>
            <w:tcW w:type="dxa" w:w="1260"/>
            <w:vAlign w:val="center"/>
          </w:tcPr>
          <w:p>
            <w:r>
              <w:rPr>
                <w:b w:val="0"/>
                <w:sz w:val="18"/>
              </w:rPr>
              <w:t>Pricing / Audit Trail</w:t>
            </w:r>
          </w:p>
        </w:tc>
      </w:tr>
      <w:tr>
        <w:tc>
          <w:tcPr>
            <w:tcW w:type="dxa" w:w="900"/>
            <w:vAlign w:val="center"/>
          </w:tcPr>
          <w:p>
            <w:r>
              <w:rPr>
                <w:b w:val="0"/>
                <w:sz w:val="18"/>
              </w:rPr>
              <w:t>BR-023</w:t>
            </w:r>
          </w:p>
        </w:tc>
        <w:tc>
          <w:tcPr>
            <w:tcW w:type="dxa" w:w="2850"/>
            <w:vAlign w:val="center"/>
          </w:tcPr>
          <w:p>
            <w:r>
              <w:rPr>
                <w:b w:val="0"/>
                <w:sz w:val="18"/>
              </w:rPr>
              <w:t>The system shall show a tooltip near Unit Price indicating the selected customer category.</w:t>
            </w:r>
          </w:p>
        </w:tc>
        <w:tc>
          <w:tcPr>
            <w:tcW w:type="dxa" w:w="3500"/>
            <w:vAlign w:val="center"/>
          </w:tcPr>
          <w:p>
            <w:r>
              <w:rPr>
                <w:b w:val="0"/>
                <w:sz w:val="18"/>
              </w:rPr>
              <w:t>Customer category context helps users evaluate pricing decisions during transaction entry.</w:t>
            </w:r>
          </w:p>
        </w:tc>
        <w:tc>
          <w:tcPr>
            <w:tcW w:type="dxa" w:w="850"/>
            <w:vAlign w:val="center"/>
          </w:tcPr>
          <w:p>
            <w:r>
              <w:rPr>
                <w:b w:val="0"/>
                <w:sz w:val="18"/>
              </w:rPr>
              <w:t>Low</w:t>
            </w:r>
          </w:p>
        </w:tc>
        <w:tc>
          <w:tcPr>
            <w:tcW w:type="dxa" w:w="1260"/>
            <w:vAlign w:val="center"/>
          </w:tcPr>
          <w:p>
            <w:r>
              <w:rPr>
                <w:b w:val="0"/>
                <w:sz w:val="18"/>
              </w:rPr>
              <w:t>Pricing / Customers</w:t>
            </w:r>
          </w:p>
        </w:tc>
      </w:tr>
      <w:tr>
        <w:tc>
          <w:tcPr>
            <w:tcW w:type="dxa" w:w="900"/>
            <w:vAlign w:val="center"/>
          </w:tcPr>
          <w:p>
            <w:r>
              <w:rPr>
                <w:b w:val="0"/>
                <w:sz w:val="18"/>
              </w:rPr>
              <w:t>BR-024</w:t>
            </w:r>
          </w:p>
        </w:tc>
        <w:tc>
          <w:tcPr>
            <w:tcW w:type="dxa" w:w="2850"/>
            <w:vAlign w:val="center"/>
          </w:tcPr>
          <w:p>
            <w:r>
              <w:rPr>
                <w:b w:val="0"/>
                <w:sz w:val="18"/>
              </w:rPr>
              <w:t>The system shall include transaction type and relevant PO details in printed Invoice and Surat Jalan output.</w:t>
            </w:r>
          </w:p>
        </w:tc>
        <w:tc>
          <w:tcPr>
            <w:tcW w:type="dxa" w:w="3500"/>
            <w:vAlign w:val="center"/>
          </w:tcPr>
          <w:p>
            <w:r>
              <w:rPr>
                <w:b w:val="0"/>
                <w:sz w:val="18"/>
              </w:rPr>
              <w:t>Printed documents must clearly identify whether the transaction is a normal Sales Order or Pre Order/PO and show PO reference details when applicable.</w:t>
            </w:r>
          </w:p>
        </w:tc>
        <w:tc>
          <w:tcPr>
            <w:tcW w:type="dxa" w:w="850"/>
            <w:vAlign w:val="center"/>
          </w:tcPr>
          <w:p>
            <w:r>
              <w:rPr>
                <w:b w:val="0"/>
                <w:sz w:val="18"/>
              </w:rPr>
              <w:t>High</w:t>
            </w:r>
          </w:p>
        </w:tc>
        <w:tc>
          <w:tcPr>
            <w:tcW w:type="dxa" w:w="1260"/>
            <w:vAlign w:val="center"/>
          </w:tcPr>
          <w:p>
            <w:r>
              <w:rPr>
                <w:b w:val="0"/>
                <w:sz w:val="18"/>
              </w:rPr>
              <w:t>Invoices / Surat Jalan</w:t>
            </w:r>
          </w:p>
        </w:tc>
      </w:tr>
      <w:tr>
        <w:tc>
          <w:tcPr>
            <w:tcW w:type="dxa" w:w="900"/>
            <w:vAlign w:val="center"/>
          </w:tcPr>
          <w:p>
            <w:r>
              <w:rPr>
                <w:b w:val="0"/>
                <w:sz w:val="18"/>
              </w:rPr>
              <w:t>BR-025</w:t>
            </w:r>
          </w:p>
        </w:tc>
        <w:tc>
          <w:tcPr>
            <w:tcW w:type="dxa" w:w="2850"/>
            <w:vAlign w:val="center"/>
          </w:tcPr>
          <w:p>
            <w:r>
              <w:rPr>
                <w:b w:val="0"/>
                <w:sz w:val="18"/>
              </w:rPr>
              <w:t>The system shall notify users before a Pre Order/PO required product date arrives.</w:t>
            </w:r>
          </w:p>
        </w:tc>
        <w:tc>
          <w:tcPr>
            <w:tcW w:type="dxa" w:w="3500"/>
            <w:vAlign w:val="center"/>
          </w:tcPr>
          <w:p>
            <w:r>
              <w:rPr>
                <w:b w:val="0"/>
                <w:sz w:val="18"/>
              </w:rPr>
              <w:t>Reminder notifications reduce the risk of late PO processing.</w:t>
            </w:r>
          </w:p>
        </w:tc>
        <w:tc>
          <w:tcPr>
            <w:tcW w:type="dxa" w:w="850"/>
            <w:vAlign w:val="center"/>
          </w:tcPr>
          <w:p>
            <w:r>
              <w:rPr>
                <w:b w:val="0"/>
                <w:sz w:val="18"/>
              </w:rPr>
              <w:t>Medium</w:t>
            </w:r>
          </w:p>
        </w:tc>
        <w:tc>
          <w:tcPr>
            <w:tcW w:type="dxa" w:w="1260"/>
            <w:vAlign w:val="center"/>
          </w:tcPr>
          <w:p>
            <w:r>
              <w:rPr>
                <w:b w:val="0"/>
                <w:sz w:val="18"/>
              </w:rPr>
              <w:t>Notifications / Pre Orders</w:t>
            </w:r>
          </w:p>
        </w:tc>
      </w:tr>
      <w:tr>
        <w:tc>
          <w:tcPr>
            <w:tcW w:type="dxa" w:w="900"/>
            <w:vAlign w:val="center"/>
          </w:tcPr>
          <w:p>
            <w:r>
              <w:rPr>
                <w:b w:val="0"/>
                <w:sz w:val="18"/>
              </w:rPr>
              <w:t>BR-026</w:t>
            </w:r>
          </w:p>
        </w:tc>
        <w:tc>
          <w:tcPr>
            <w:tcW w:type="dxa" w:w="2850"/>
            <w:vAlign w:val="center"/>
          </w:tcPr>
          <w:p>
            <w:r>
              <w:rPr>
                <w:b w:val="0"/>
                <w:sz w:val="18"/>
              </w:rPr>
              <w:t>The system shall provide working sort and filter controls across all operational tables where those controls are displayed.</w:t>
            </w:r>
          </w:p>
        </w:tc>
        <w:tc>
          <w:tcPr>
            <w:tcW w:type="dxa" w:w="3500"/>
            <w:vAlign w:val="center"/>
          </w:tcPr>
          <w:p>
            <w:r>
              <w:rPr>
                <w:b w:val="0"/>
                <w:sz w:val="18"/>
              </w:rPr>
              <w:t>Table interaction must support practical record review rather than presenting inactive UI controls.</w:t>
            </w:r>
          </w:p>
        </w:tc>
        <w:tc>
          <w:tcPr>
            <w:tcW w:type="dxa" w:w="850"/>
            <w:vAlign w:val="center"/>
          </w:tcPr>
          <w:p>
            <w:r>
              <w:rPr>
                <w:b w:val="0"/>
                <w:sz w:val="18"/>
              </w:rPr>
              <w:t>Medium</w:t>
            </w:r>
          </w:p>
        </w:tc>
        <w:tc>
          <w:tcPr>
            <w:tcW w:type="dxa" w:w="1260"/>
            <w:vAlign w:val="center"/>
          </w:tcPr>
          <w:p>
            <w:r>
              <w:rPr>
                <w:b w:val="0"/>
                <w:sz w:val="18"/>
              </w:rPr>
              <w:t>Tables / UX</w:t>
            </w:r>
          </w:p>
        </w:tc>
      </w:tr>
    </w:tbl>
    <w:p>
      <w:pPr>
        <w:spacing w:after="120"/>
      </w:pPr>
    </w:p>
    <w:p>
      <w:pPr>
        <w:pStyle w:val="Heading1"/>
      </w:pPr>
      <w:r>
        <w:t>Functional Requirement Summary</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0"/>
        <w:gridCol w:w="6960"/>
      </w:tblGrid>
      <w:tr>
        <w:trPr>
          <w:tblHeader w:val="true"/>
        </w:trPr>
        <w:tc>
          <w:tcPr>
            <w:tcW w:type="dxa" w:w="24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Function group</w:t>
            </w:r>
          </w:p>
        </w:tc>
        <w:tc>
          <w:tcPr>
            <w:tcW w:type="dxa" w:w="69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Business-focused summary</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Customer management</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Maintain customer profile, contact information, status, category, payment risk, and transaction history.</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Sales order management</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Record order request, items, payment term, totals, approval condition, status, and connected transaction chain.</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Invoice and payment</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Create invoice from eligible order, monitor due date, record payment, and update status.</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Receivable and billing</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Show active receivables, identify overdue balances, and support planned billing tasks.</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Surat Jalan</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Create and print delivery documentation using invoice, sales order, or customer data.</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Follow-up</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Record customer/product contact activity and support reminders for inactive customers.</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Dashboard and insight</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Provide role-specific summary cards, trends, status counts, payment risk, customer category, and product popularity where implemented.</w:t>
            </w:r>
          </w:p>
        </w:tc>
      </w:tr>
      <w:tr>
        <w:tc>
          <w:tcPr>
            <w:tcW w:type="dxa" w:w="2400"/>
            <w:vAlign w:val="center"/>
            <w:tcMar>
              <w:top w:w="80" w:type="dxa"/>
              <w:start w:w="120" w:type="dxa"/>
              <w:bottom w:w="80" w:type="dxa"/>
              <w:end w:w="120" w:type="dxa"/>
            </w:tcMar>
          </w:tcPr>
          <w:p>
            <w:pPr>
              <w:spacing w:before="0" w:after="60" w:line="264" w:lineRule="auto"/>
            </w:pPr>
            <w:r>
              <w:rPr>
                <w:rFonts w:ascii="Calibri" w:hAnsi="Calibri"/>
                <w:b w:val="0"/>
                <w:color w:val="1F2937"/>
                <w:sz w:val="18"/>
              </w:rPr>
              <w:t>Audit and confirmation</w:t>
            </w:r>
          </w:p>
        </w:tc>
        <w:tc>
          <w:tcPr>
            <w:tcW w:type="dxa" w:w="6960"/>
            <w:vAlign w:val="center"/>
            <w:tcMar>
              <w:top w:w="80" w:type="dxa"/>
              <w:start w:w="120" w:type="dxa"/>
              <w:bottom w:w="80" w:type="dxa"/>
              <w:end w:w="120" w:type="dxa"/>
            </w:tcMar>
          </w:tcPr>
          <w:p>
            <w:pPr>
              <w:spacing w:before="0" w:after="60" w:line="264" w:lineRule="auto"/>
            </w:pPr>
            <w:r>
              <w:rPr>
                <w:rFonts w:ascii="Calibri" w:hAnsi="Calibri"/>
                <w:b w:val="0"/>
                <w:color w:val="1F2937"/>
                <w:sz w:val="18"/>
              </w:rPr>
              <w:t>Prompt confirmation before meaningful actions and store audit information including actor, role, module, summary, and optional note.</w:t>
            </w:r>
          </w:p>
        </w:tc>
      </w:tr>
      <w:tr>
        <w:tc>
          <w:tcPr>
            <w:tcW w:type="dxa" w:w="2400"/>
            <w:vAlign w:val="center"/>
          </w:tcPr>
          <w:p>
            <w:r>
              <w:rPr>
                <w:b w:val="0"/>
                <w:sz w:val="18"/>
              </w:rPr>
              <w:t>Product management</w:t>
            </w:r>
          </w:p>
        </w:tc>
        <w:tc>
          <w:tcPr>
            <w:tcW w:type="dxa" w:w="6960"/>
            <w:vAlign w:val="center"/>
          </w:tcPr>
          <w:p>
            <w:r>
              <w:rPr>
                <w:b w:val="0"/>
                <w:sz w:val="18"/>
              </w:rPr>
              <w:t>Maintain Product Name, Notes, Base Price, and Active/Inactive status; support product list, detail, add, edit, search, sort, and filter behavior.</w:t>
            </w:r>
          </w:p>
        </w:tc>
      </w:tr>
      <w:tr>
        <w:tc>
          <w:tcPr>
            <w:tcW w:type="dxa" w:w="2400"/>
            <w:vAlign w:val="center"/>
          </w:tcPr>
          <w:p>
            <w:r>
              <w:rPr>
                <w:b w:val="0"/>
                <w:sz w:val="18"/>
              </w:rPr>
              <w:t>Pre Order / PO management</w:t>
            </w:r>
          </w:p>
        </w:tc>
        <w:tc>
          <w:tcPr>
            <w:tcW w:type="dxa" w:w="6960"/>
            <w:vAlign w:val="center"/>
          </w:tcPr>
          <w:p>
            <w:r>
              <w:rPr>
                <w:b w:val="0"/>
                <w:sz w:val="18"/>
              </w:rPr>
              <w:t>Create and manage Pre Order/PO transactions with uploaded PO document, manual PO/Sales Order ID, required product date, items, status, approval, and transaction chain.</w:t>
            </w:r>
          </w:p>
        </w:tc>
      </w:tr>
      <w:tr>
        <w:tc>
          <w:tcPr>
            <w:tcW w:type="dxa" w:w="2400"/>
            <w:vAlign w:val="center"/>
          </w:tcPr>
          <w:p>
            <w:r>
              <w:rPr>
                <w:b w:val="0"/>
                <w:sz w:val="18"/>
              </w:rPr>
              <w:t>Product-based pricing</w:t>
            </w:r>
          </w:p>
        </w:tc>
        <w:tc>
          <w:tcPr>
            <w:tcW w:type="dxa" w:w="6960"/>
            <w:vAlign w:val="center"/>
          </w:tcPr>
          <w:p>
            <w:r>
              <w:rPr>
                <w:b w:val="0"/>
                <w:sz w:val="18"/>
              </w:rPr>
              <w:t>Select Product Name from Product master, auto-fill Base Price, allow Unit Price edits, apply optional Markup/Discount internally, and show customer category tooltip near Unit Price.</w:t>
            </w:r>
          </w:p>
        </w:tc>
      </w:tr>
      <w:tr>
        <w:tc>
          <w:tcPr>
            <w:tcW w:type="dxa" w:w="2400"/>
            <w:vAlign w:val="center"/>
          </w:tcPr>
          <w:p>
            <w:r>
              <w:rPr>
                <w:b w:val="0"/>
                <w:sz w:val="18"/>
              </w:rPr>
              <w:t>Notification</w:t>
            </w:r>
          </w:p>
        </w:tc>
        <w:tc>
          <w:tcPr>
            <w:tcW w:type="dxa" w:w="6960"/>
            <w:vAlign w:val="center"/>
          </w:tcPr>
          <w:p>
            <w:r>
              <w:rPr>
                <w:b w:val="0"/>
                <w:sz w:val="18"/>
              </w:rPr>
              <w:t>Remind users to process Pre Order/PO transactions before the required product date.</w:t>
            </w:r>
          </w:p>
        </w:tc>
      </w:tr>
      <w:tr>
        <w:tc>
          <w:tcPr>
            <w:tcW w:type="dxa" w:w="2400"/>
            <w:vAlign w:val="center"/>
          </w:tcPr>
          <w:p>
            <w:r>
              <w:rPr>
                <w:b w:val="0"/>
                <w:sz w:val="18"/>
              </w:rPr>
              <w:t>Table usability</w:t>
            </w:r>
          </w:p>
        </w:tc>
        <w:tc>
          <w:tcPr>
            <w:tcW w:type="dxa" w:w="6960"/>
            <w:vAlign w:val="center"/>
          </w:tcPr>
          <w:p>
            <w:r>
              <w:rPr>
                <w:b w:val="0"/>
                <w:sz w:val="18"/>
              </w:rPr>
              <w:t>Ensure displayed sort and filter controls work consistently across every operational table.</w:t>
            </w:r>
          </w:p>
        </w:tc>
      </w:tr>
    </w:tbl>
    <w:p>
      <w:pPr>
        <w:spacing w:after="120"/>
      </w:pPr>
    </w:p>
    <w:p>
      <w:pPr>
        <w:pStyle w:val="Heading1"/>
      </w:pPr>
      <w:r>
        <w:t>Non-Functional Business Requirements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00"/>
        <w:gridCol w:w="7360"/>
      </w:tblGrid>
      <w:tr>
        <w:trPr>
          <w:tblHeader w:val="true"/>
        </w:trPr>
        <w:tc>
          <w:tcPr>
            <w:tcW w:type="dxa" w:w="20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Category</w:t>
            </w:r>
          </w:p>
        </w:tc>
        <w:tc>
          <w:tcPr>
            <w:tcW w:type="dxa" w:w="73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Requirement</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Usability</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should be simple, readable, and easy to learn for internal users with varied technology familiarity.</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Data accuracy</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should reduce repeated manual input by reusing customer, sales order, and invoice data across connected modules.</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Local accessibility</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should run in a local web environment suitable for thesis demonstration and internal prototype use.</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Maintainability</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MVP should remain understandable and maintainable within academic project constraints.</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Security</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should provide basic local login, role identity, and role-based action restrictions; it does not claim production-grade security.</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Performance</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should respond adequately for local demo and realistic UMKM-scale transaction data, not enterprise-scale workloads.</w:t>
            </w:r>
          </w:p>
        </w:tc>
      </w:tr>
      <w:tr>
        <w:tc>
          <w:tcPr>
            <w:tcW w:type="dxa" w:w="2000"/>
            <w:vAlign w:val="center"/>
            <w:tcMar>
              <w:top w:w="80" w:type="dxa"/>
              <w:start w:w="120" w:type="dxa"/>
              <w:bottom w:w="80" w:type="dxa"/>
              <w:end w:w="120" w:type="dxa"/>
            </w:tcMar>
          </w:tcPr>
          <w:p>
            <w:pPr>
              <w:spacing w:before="0" w:after="60" w:line="264" w:lineRule="auto"/>
            </w:pPr>
            <w:r>
              <w:rPr>
                <w:rFonts w:ascii="Calibri" w:hAnsi="Calibri"/>
                <w:b w:val="0"/>
                <w:color w:val="1F2937"/>
                <w:sz w:val="18"/>
              </w:rPr>
              <w:t>Traceability</w:t>
            </w:r>
          </w:p>
        </w:tc>
        <w:tc>
          <w:tcPr>
            <w:tcW w:type="dxa" w:w="7360"/>
            <w:vAlign w:val="center"/>
            <w:tcMar>
              <w:top w:w="80" w:type="dxa"/>
              <w:start w:w="120" w:type="dxa"/>
              <w:bottom w:w="80" w:type="dxa"/>
              <w:end w:w="120" w:type="dxa"/>
            </w:tcMar>
          </w:tcPr>
          <w:p>
            <w:pPr>
              <w:spacing w:before="0" w:after="60" w:line="264" w:lineRule="auto"/>
            </w:pPr>
            <w:r>
              <w:rPr>
                <w:rFonts w:ascii="Calibri" w:hAnsi="Calibri"/>
                <w:b w:val="0"/>
                <w:color w:val="1F2937"/>
                <w:sz w:val="18"/>
              </w:rPr>
              <w:t>Important actions should be recorded in Audit Trail to support review and accountability within the MVP.</w:t>
            </w:r>
          </w:p>
        </w:tc>
      </w:tr>
      <w:tr>
        <w:tc>
          <w:tcPr>
            <w:tcW w:type="dxa" w:w="2000"/>
            <w:vAlign w:val="center"/>
          </w:tcPr>
          <w:p>
            <w:r>
              <w:rPr>
                <w:b w:val="0"/>
                <w:sz w:val="18"/>
              </w:rPr>
              <w:t>Usability - tables</w:t>
            </w:r>
          </w:p>
        </w:tc>
        <w:tc>
          <w:tcPr>
            <w:tcW w:type="dxa" w:w="7360"/>
            <w:vAlign w:val="center"/>
          </w:tcPr>
          <w:p>
            <w:r>
              <w:rPr>
                <w:b w:val="0"/>
                <w:sz w:val="18"/>
              </w:rPr>
              <w:t>Sort and filter controls should behave consistently and visibly across operational list pages.</w:t>
            </w:r>
          </w:p>
        </w:tc>
      </w:tr>
      <w:tr>
        <w:tc>
          <w:tcPr>
            <w:tcW w:type="dxa" w:w="2000"/>
            <w:vAlign w:val="center"/>
          </w:tcPr>
          <w:p>
            <w:r>
              <w:rPr>
                <w:b w:val="0"/>
                <w:sz w:val="18"/>
              </w:rPr>
              <w:t>File handling</w:t>
            </w:r>
          </w:p>
        </w:tc>
        <w:tc>
          <w:tcPr>
            <w:tcW w:type="dxa" w:w="7360"/>
            <w:vAlign w:val="center"/>
          </w:tcPr>
          <w:p>
            <w:r>
              <w:rPr>
                <w:b w:val="0"/>
                <w:sz w:val="18"/>
              </w:rPr>
              <w:t>PO document upload should accept the approved file types and keep the file linked to the correct Pre Order/PO record.</w:t>
            </w:r>
          </w:p>
        </w:tc>
      </w:tr>
      <w:tr>
        <w:tc>
          <w:tcPr>
            <w:tcW w:type="dxa" w:w="2000"/>
            <w:vAlign w:val="center"/>
          </w:tcPr>
          <w:p>
            <w:r>
              <w:rPr>
                <w:b w:val="0"/>
                <w:sz w:val="18"/>
              </w:rPr>
              <w:t>Notification reliability</w:t>
            </w:r>
          </w:p>
        </w:tc>
        <w:tc>
          <w:tcPr>
            <w:tcW w:type="dxa" w:w="7360"/>
            <w:vAlign w:val="center"/>
          </w:tcPr>
          <w:p>
            <w:r>
              <w:rPr>
                <w:b w:val="0"/>
                <w:sz w:val="18"/>
              </w:rPr>
              <w:t>PO reminders should be visible before the required product date so users can process the transaction in time.</w:t>
            </w:r>
          </w:p>
        </w:tc>
      </w:tr>
    </w:tbl>
    <w:p>
      <w:pPr>
        <w:spacing w:after="120"/>
      </w:pPr>
    </w:p>
    <w:p>
      <w:pPr>
        <w:pStyle w:val="Heading1"/>
      </w:pPr>
      <w:r>
        <w:t>Business Rules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00"/>
        <w:gridCol w:w="6200"/>
        <w:gridCol w:w="2060"/>
      </w:tblGrid>
      <w:tr>
        <w:trPr>
          <w:tblHeader w:val="true"/>
        </w:trPr>
        <w:tc>
          <w:tcPr>
            <w:tcW w:type="dxa" w:w="11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Rule ID</w:t>
            </w:r>
          </w:p>
        </w:tc>
        <w:tc>
          <w:tcPr>
            <w:tcW w:type="dxa" w:w="62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Business rule</w:t>
            </w:r>
          </w:p>
        </w:tc>
        <w:tc>
          <w:tcPr>
            <w:tcW w:type="dxa" w:w="206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Related area</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RULE-001</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A Sales Order must be associated with a customer.</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RULE-002</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One Sales Order can generate at most one Invoice.</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Orders / Invoices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RULE-003</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Debit payment terms require immediate due date handling.</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RULE-004</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Credit payment terms use a selected credit term from 1 to 12 months where supported.</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RULE-005</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Payments must not exceed the invoice remaining amount.</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Payments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RULE-006</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 status changes according to paid and remaining amount: Unpaid, Partial, Paid, Overdue, or Cancelled.</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Invoices / Receivables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RULE-007</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Debit Surat Jalan creation is allowed only after the related invoice is Paid.</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Surat Jalan</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RULE-008</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Credit Surat Jalan creation is allowed after invoice generation, even before full payment.</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Surat Jalan</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RULE-009</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Receivables are derived from invoices and payments, not manually created by users.</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Receivables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RULE-010</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Sales-created orders for customers with Late Payment or Historically Late risk require Manager approval before invoicing.</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Orders / Approval</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RULE-011</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users can create Sales Orders but cannot create Invoices, Payments, Surat Jalan, or local accounts.</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Access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RULE-012</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Admin users can manage invoice, payment, Surat Jalan, billing, and account actions but cannot create Sales Orders.</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Access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RULE-013</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Manager users can use all current features and approve or reject risky Sales Orders.</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Access</w:t>
            </w:r>
          </w:p>
        </w:tc>
      </w:tr>
      <w:tr>
        <w:tc>
          <w:tcPr>
            <w:tcW w:type="dxa" w:w="1100"/>
            <w:vAlign w:val="center"/>
            <w:tcMar>
              <w:top w:w="80" w:type="dxa"/>
              <w:start w:w="120" w:type="dxa"/>
              <w:bottom w:w="80" w:type="dxa"/>
              <w:end w:w="120" w:type="dxa"/>
            </w:tcMar>
          </w:tcPr>
          <w:p>
            <w:pPr>
              <w:spacing w:before="0" w:after="60" w:line="264" w:lineRule="auto"/>
            </w:pPr>
            <w:r>
              <w:rPr>
                <w:rFonts w:ascii="Calibri" w:hAnsi="Calibri"/>
                <w:b w:val="0"/>
                <w:color w:val="1F2937"/>
                <w:sz w:val="17"/>
              </w:rPr>
              <w:t>RULE-014</w:t>
            </w:r>
          </w:p>
        </w:tc>
        <w:tc>
          <w:tcPr>
            <w:tcW w:type="dxa" w:w="6200"/>
            <w:vAlign w:val="center"/>
            <w:tcMar>
              <w:top w:w="80" w:type="dxa"/>
              <w:start w:w="120" w:type="dxa"/>
              <w:bottom w:w="80" w:type="dxa"/>
              <w:end w:w="120" w:type="dxa"/>
            </w:tcMar>
          </w:tcPr>
          <w:p>
            <w:pPr>
              <w:spacing w:before="0" w:after="60" w:line="264" w:lineRule="auto"/>
            </w:pPr>
            <w:r>
              <w:rPr>
                <w:rFonts w:ascii="Calibri" w:hAnsi="Calibri"/>
                <w:b w:val="0"/>
                <w:color w:val="1F2937"/>
                <w:sz w:val="17"/>
              </w:rPr>
              <w:t>Eligible ongoing Sales Orders may be deleted by Admin or Manager only when not paid, delivered, or cancelled, with a mandatory deletion note.</w:t>
            </w:r>
          </w:p>
        </w:tc>
        <w:tc>
          <w:tcPr>
            <w:tcW w:type="dxa" w:w="20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Orders / Audit</w:t>
            </w:r>
          </w:p>
        </w:tc>
      </w:tr>
      <w:tr>
        <w:tc>
          <w:tcPr>
            <w:tcW w:type="dxa" w:w="1100"/>
            <w:vAlign w:val="center"/>
          </w:tcPr>
          <w:p>
            <w:r>
              <w:rPr>
                <w:b w:val="0"/>
                <w:sz w:val="18"/>
              </w:rPr>
              <w:t>RULE-015</w:t>
            </w:r>
          </w:p>
        </w:tc>
        <w:tc>
          <w:tcPr>
            <w:tcW w:type="dxa" w:w="6200"/>
            <w:vAlign w:val="center"/>
          </w:tcPr>
          <w:p>
            <w:r>
              <w:rPr>
                <w:b w:val="0"/>
                <w:sz w:val="18"/>
              </w:rPr>
              <w:t>Product records may be Active or Inactive; inactive products should not be used for new item selection unless explicitly allowed for historical review.</w:t>
            </w:r>
          </w:p>
        </w:tc>
        <w:tc>
          <w:tcPr>
            <w:tcW w:type="dxa" w:w="2060"/>
            <w:vAlign w:val="center"/>
          </w:tcPr>
          <w:p>
            <w:r>
              <w:rPr>
                <w:b w:val="0"/>
                <w:sz w:val="18"/>
              </w:rPr>
              <w:t>Products</w:t>
            </w:r>
          </w:p>
        </w:tc>
      </w:tr>
      <w:tr>
        <w:tc>
          <w:tcPr>
            <w:tcW w:type="dxa" w:w="1100"/>
            <w:vAlign w:val="center"/>
          </w:tcPr>
          <w:p>
            <w:r>
              <w:rPr>
                <w:b w:val="0"/>
                <w:sz w:val="18"/>
              </w:rPr>
              <w:t>RULE-016</w:t>
            </w:r>
          </w:p>
        </w:tc>
        <w:tc>
          <w:tcPr>
            <w:tcW w:type="dxa" w:w="6200"/>
            <w:vAlign w:val="center"/>
          </w:tcPr>
          <w:p>
            <w:r>
              <w:rPr>
                <w:b w:val="0"/>
                <w:sz w:val="18"/>
              </w:rPr>
              <w:t>Product Name in Sales Order and Pre Order item entry must be selected from Product master data rather than typed as free text.</w:t>
            </w:r>
          </w:p>
        </w:tc>
        <w:tc>
          <w:tcPr>
            <w:tcW w:type="dxa" w:w="2060"/>
            <w:vAlign w:val="center"/>
          </w:tcPr>
          <w:p>
            <w:r>
              <w:rPr>
                <w:b w:val="0"/>
                <w:sz w:val="18"/>
              </w:rPr>
              <w:t>Sales Orders / Pre Orders / Products</w:t>
            </w:r>
          </w:p>
        </w:tc>
      </w:tr>
      <w:tr>
        <w:tc>
          <w:tcPr>
            <w:tcW w:type="dxa" w:w="1100"/>
            <w:vAlign w:val="center"/>
          </w:tcPr>
          <w:p>
            <w:r>
              <w:rPr>
                <w:b w:val="0"/>
                <w:sz w:val="18"/>
              </w:rPr>
              <w:t>RULE-017</w:t>
            </w:r>
          </w:p>
        </w:tc>
        <w:tc>
          <w:tcPr>
            <w:tcW w:type="dxa" w:w="6200"/>
            <w:vAlign w:val="center"/>
          </w:tcPr>
          <w:p>
            <w:r>
              <w:rPr>
                <w:b w:val="0"/>
                <w:sz w:val="18"/>
              </w:rPr>
              <w:t>Selecting a Product automatically fills Unit Price from the product Base Price, but the Unit Price may still be edited before saving.</w:t>
            </w:r>
          </w:p>
        </w:tc>
        <w:tc>
          <w:tcPr>
            <w:tcW w:type="dxa" w:w="2060"/>
            <w:vAlign w:val="center"/>
          </w:tcPr>
          <w:p>
            <w:r>
              <w:rPr>
                <w:b w:val="0"/>
                <w:sz w:val="18"/>
              </w:rPr>
              <w:t>Pricing</w:t>
            </w:r>
          </w:p>
        </w:tc>
      </w:tr>
      <w:tr>
        <w:tc>
          <w:tcPr>
            <w:tcW w:type="dxa" w:w="1100"/>
            <w:vAlign w:val="center"/>
          </w:tcPr>
          <w:p>
            <w:r>
              <w:rPr>
                <w:b w:val="0"/>
                <w:sz w:val="18"/>
              </w:rPr>
              <w:t>RULE-018</w:t>
            </w:r>
          </w:p>
        </w:tc>
        <w:tc>
          <w:tcPr>
            <w:tcW w:type="dxa" w:w="6200"/>
            <w:vAlign w:val="center"/>
          </w:tcPr>
          <w:p>
            <w:r>
              <w:rPr>
                <w:b w:val="0"/>
                <w:sz w:val="18"/>
              </w:rPr>
              <w:t>Markup increases Unit Price and Discount reduces Unit Price; both fields are optional and must be recorded internally when used.</w:t>
            </w:r>
          </w:p>
        </w:tc>
        <w:tc>
          <w:tcPr>
            <w:tcW w:type="dxa" w:w="2060"/>
            <w:vAlign w:val="center"/>
          </w:tcPr>
          <w:p>
            <w:r>
              <w:rPr>
                <w:b w:val="0"/>
                <w:sz w:val="18"/>
              </w:rPr>
              <w:t>Pricing</w:t>
            </w:r>
          </w:p>
        </w:tc>
      </w:tr>
      <w:tr>
        <w:tc>
          <w:tcPr>
            <w:tcW w:type="dxa" w:w="1100"/>
            <w:vAlign w:val="center"/>
          </w:tcPr>
          <w:p>
            <w:r>
              <w:rPr>
                <w:b w:val="0"/>
                <w:sz w:val="18"/>
              </w:rPr>
              <w:t>RULE-019</w:t>
            </w:r>
          </w:p>
        </w:tc>
        <w:tc>
          <w:tcPr>
            <w:tcW w:type="dxa" w:w="6200"/>
            <w:vAlign w:val="center"/>
          </w:tcPr>
          <w:p>
            <w:r>
              <w:rPr>
                <w:b w:val="0"/>
                <w:sz w:val="18"/>
              </w:rPr>
              <w:t>Markup and Discount values must not appear on printed Invoice or Surat Jalan output.</w:t>
            </w:r>
          </w:p>
        </w:tc>
        <w:tc>
          <w:tcPr>
            <w:tcW w:type="dxa" w:w="2060"/>
            <w:vAlign w:val="center"/>
          </w:tcPr>
          <w:p>
            <w:r>
              <w:rPr>
                <w:b w:val="0"/>
                <w:sz w:val="18"/>
              </w:rPr>
              <w:t>Printed Documents / Pricing</w:t>
            </w:r>
          </w:p>
        </w:tc>
      </w:tr>
      <w:tr>
        <w:tc>
          <w:tcPr>
            <w:tcW w:type="dxa" w:w="1100"/>
            <w:vAlign w:val="center"/>
          </w:tcPr>
          <w:p>
            <w:r>
              <w:rPr>
                <w:b w:val="0"/>
                <w:sz w:val="18"/>
              </w:rPr>
              <w:t>RULE-020</w:t>
            </w:r>
          </w:p>
        </w:tc>
        <w:tc>
          <w:tcPr>
            <w:tcW w:type="dxa" w:w="6200"/>
            <w:vAlign w:val="center"/>
          </w:tcPr>
          <w:p>
            <w:r>
              <w:rPr>
                <w:b w:val="0"/>
                <w:sz w:val="18"/>
              </w:rPr>
              <w:t>Markup and Discount changes must be visible in system records and Audit Trail for traceability.</w:t>
            </w:r>
          </w:p>
        </w:tc>
        <w:tc>
          <w:tcPr>
            <w:tcW w:type="dxa" w:w="2060"/>
            <w:vAlign w:val="center"/>
          </w:tcPr>
          <w:p>
            <w:r>
              <w:rPr>
                <w:b w:val="0"/>
                <w:sz w:val="18"/>
              </w:rPr>
              <w:t>Pricing / Audit Trail</w:t>
            </w:r>
          </w:p>
        </w:tc>
      </w:tr>
      <w:tr>
        <w:tc>
          <w:tcPr>
            <w:tcW w:type="dxa" w:w="1100"/>
            <w:vAlign w:val="center"/>
          </w:tcPr>
          <w:p>
            <w:r>
              <w:rPr>
                <w:b w:val="0"/>
                <w:sz w:val="18"/>
              </w:rPr>
              <w:t>RULE-021</w:t>
            </w:r>
          </w:p>
        </w:tc>
        <w:tc>
          <w:tcPr>
            <w:tcW w:type="dxa" w:w="6200"/>
            <w:vAlign w:val="center"/>
          </w:tcPr>
          <w:p>
            <w:r>
              <w:rPr>
                <w:b w:val="0"/>
                <w:sz w:val="18"/>
              </w:rPr>
              <w:t>A Pre Order/PO transaction must include manual PO/Sales Order ID, required product date, and uploaded PO document when the business process requires PO evidence.</w:t>
            </w:r>
          </w:p>
        </w:tc>
        <w:tc>
          <w:tcPr>
            <w:tcW w:type="dxa" w:w="2060"/>
            <w:vAlign w:val="center"/>
          </w:tcPr>
          <w:p>
            <w:r>
              <w:rPr>
                <w:b w:val="0"/>
                <w:sz w:val="18"/>
              </w:rPr>
              <w:t>Pre Orders</w:t>
            </w:r>
          </w:p>
        </w:tc>
      </w:tr>
      <w:tr>
        <w:tc>
          <w:tcPr>
            <w:tcW w:type="dxa" w:w="1100"/>
            <w:vAlign w:val="center"/>
          </w:tcPr>
          <w:p>
            <w:r>
              <w:rPr>
                <w:b w:val="0"/>
                <w:sz w:val="18"/>
              </w:rPr>
              <w:t>RULE-022</w:t>
            </w:r>
          </w:p>
        </w:tc>
        <w:tc>
          <w:tcPr>
            <w:tcW w:type="dxa" w:w="6200"/>
            <w:vAlign w:val="center"/>
          </w:tcPr>
          <w:p>
            <w:r>
              <w:rPr>
                <w:b w:val="0"/>
                <w:sz w:val="18"/>
              </w:rPr>
              <w:t>Pre Order/PO transactions are listed separately from normal Sales Orders but follow the same eligible invoice, payment, receivable, billing, and Surat Jalan process after validation.</w:t>
            </w:r>
          </w:p>
        </w:tc>
        <w:tc>
          <w:tcPr>
            <w:tcW w:type="dxa" w:w="2060"/>
            <w:vAlign w:val="center"/>
          </w:tcPr>
          <w:p>
            <w:r>
              <w:rPr>
                <w:b w:val="0"/>
                <w:sz w:val="18"/>
              </w:rPr>
              <w:t>Pre Orders / Revenue Cycle</w:t>
            </w:r>
          </w:p>
        </w:tc>
      </w:tr>
      <w:tr>
        <w:tc>
          <w:tcPr>
            <w:tcW w:type="dxa" w:w="1100"/>
            <w:vAlign w:val="center"/>
          </w:tcPr>
          <w:p>
            <w:r>
              <w:rPr>
                <w:b w:val="0"/>
                <w:sz w:val="18"/>
              </w:rPr>
              <w:t>RULE-023</w:t>
            </w:r>
          </w:p>
        </w:tc>
        <w:tc>
          <w:tcPr>
            <w:tcW w:type="dxa" w:w="6200"/>
            <w:vAlign w:val="center"/>
          </w:tcPr>
          <w:p>
            <w:r>
              <w:rPr>
                <w:b w:val="0"/>
                <w:sz w:val="18"/>
              </w:rPr>
              <w:t>PO reminder notifications should be generated before the required product date based on the recorded date needed field.</w:t>
            </w:r>
          </w:p>
        </w:tc>
        <w:tc>
          <w:tcPr>
            <w:tcW w:type="dxa" w:w="2060"/>
            <w:vAlign w:val="center"/>
          </w:tcPr>
          <w:p>
            <w:r>
              <w:rPr>
                <w:b w:val="0"/>
                <w:sz w:val="18"/>
              </w:rPr>
              <w:t>Notifications / Pre Orders</w:t>
            </w:r>
          </w:p>
        </w:tc>
      </w:tr>
      <w:tr>
        <w:tc>
          <w:tcPr>
            <w:tcW w:type="dxa" w:w="1100"/>
            <w:vAlign w:val="center"/>
          </w:tcPr>
          <w:p>
            <w:r>
              <w:rPr>
                <w:b w:val="0"/>
                <w:sz w:val="18"/>
              </w:rPr>
              <w:t>RULE-024</w:t>
            </w:r>
          </w:p>
        </w:tc>
        <w:tc>
          <w:tcPr>
            <w:tcW w:type="dxa" w:w="6200"/>
            <w:vAlign w:val="center"/>
          </w:tcPr>
          <w:p>
            <w:r>
              <w:rPr>
                <w:b w:val="0"/>
                <w:sz w:val="18"/>
              </w:rPr>
              <w:t>Invoice and Surat Jalan printouts must show transaction type and relevant PO details when the source transaction is a Pre Order/PO.</w:t>
            </w:r>
          </w:p>
        </w:tc>
        <w:tc>
          <w:tcPr>
            <w:tcW w:type="dxa" w:w="2060"/>
            <w:vAlign w:val="center"/>
          </w:tcPr>
          <w:p>
            <w:r>
              <w:rPr>
                <w:b w:val="0"/>
                <w:sz w:val="18"/>
              </w:rPr>
              <w:t>Invoices / Surat Jalan</w:t>
            </w:r>
          </w:p>
        </w:tc>
      </w:tr>
      <w:tr>
        <w:tc>
          <w:tcPr>
            <w:tcW w:type="dxa" w:w="1100"/>
            <w:vAlign w:val="center"/>
          </w:tcPr>
          <w:p>
            <w:r>
              <w:rPr>
                <w:b w:val="0"/>
                <w:sz w:val="18"/>
              </w:rPr>
              <w:t>RULE-025</w:t>
            </w:r>
          </w:p>
        </w:tc>
        <w:tc>
          <w:tcPr>
            <w:tcW w:type="dxa" w:w="6200"/>
            <w:vAlign w:val="center"/>
          </w:tcPr>
          <w:p>
            <w:r>
              <w:rPr>
                <w:b w:val="0"/>
                <w:sz w:val="18"/>
              </w:rPr>
              <w:t>Displayed sort and filter controls on tables must apply to the table data shown to the user.</w:t>
            </w:r>
          </w:p>
        </w:tc>
        <w:tc>
          <w:tcPr>
            <w:tcW w:type="dxa" w:w="2060"/>
            <w:vAlign w:val="center"/>
          </w:tcPr>
          <w:p>
            <w:r>
              <w:rPr>
                <w:b w:val="0"/>
                <w:sz w:val="18"/>
              </w:rPr>
              <w:t>Tables / UX</w:t>
            </w:r>
          </w:p>
        </w:tc>
      </w:tr>
    </w:tbl>
    <w:p>
      <w:pPr>
        <w:spacing w:after="120"/>
      </w:pPr>
    </w:p>
    <w:p>
      <w:pPr>
        <w:pStyle w:val="Heading1"/>
      </w:pPr>
      <w:r>
        <w:t>Data Requirements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00"/>
        <w:gridCol w:w="7060"/>
      </w:tblGrid>
      <w:tr>
        <w:trPr>
          <w:tblHeader w:val="true"/>
        </w:trPr>
        <w:tc>
          <w:tcPr>
            <w:tcW w:type="dxa" w:w="23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Data object</w:t>
            </w:r>
          </w:p>
        </w:tc>
        <w:tc>
          <w:tcPr>
            <w:tcW w:type="dxa" w:w="706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Business meaning / required information</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Company/contact identity, phone, email, address, customer type, status, notes, category, payment risk, and linked transactions.</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SalesOrder</w:t>
            </w:r>
          </w:p>
        </w:tc>
        <w:tc>
          <w:tcPr>
            <w:tcW w:type="dxa" w:w="7060"/>
            <w:vAlign w:val="center"/>
            <w:tcMar>
              <w:top w:w="80" w:type="dxa"/>
              <w:start w:w="120" w:type="dxa"/>
              <w:bottom w:w="80" w:type="dxa"/>
              <w:end w:w="120" w:type="dxa"/>
            </w:tcMar>
          </w:tcPr>
          <w:p>
            <w:r>
              <w:rPr>
                <w:b w:val="0"/>
                <w:sz w:val="18"/>
              </w:rPr>
              <w:t>Order number, transaction type, customer, order date, status, subtotal, total, payment term, approval status/risk, notes, creator, and timestamps. For Pre Order/PO, also include manual PO/Sales Order ID, uploaded PO document reference, and required product date.</w:t>
            </w:r>
          </w:p>
        </w:tc>
      </w:tr>
      <w:tr>
        <w:tc>
          <w:tcPr>
            <w:tcW w:type="dxa" w:w="2300"/>
            <w:vAlign w:val="center"/>
            <w:tcMar>
              <w:top w:w="80" w:type="dxa"/>
              <w:start w:w="120" w:type="dxa"/>
              <w:bottom w:w="80" w:type="dxa"/>
              <w:end w:w="120" w:type="dxa"/>
            </w:tcMar>
          </w:tcPr>
          <w:p>
            <w:r>
              <w:rPr>
                <w:b w:val="0"/>
                <w:sz w:val="18"/>
              </w:rPr>
              <w:t>SalesOrderItem / PreOrderItem</w:t>
            </w:r>
          </w:p>
        </w:tc>
        <w:tc>
          <w:tcPr>
            <w:tcW w:type="dxa" w:w="7060"/>
            <w:vAlign w:val="center"/>
            <w:tcMar>
              <w:top w:w="80" w:type="dxa"/>
              <w:start w:w="120" w:type="dxa"/>
              <w:bottom w:w="80" w:type="dxa"/>
              <w:end w:w="120" w:type="dxa"/>
            </w:tcMar>
          </w:tcPr>
          <w:p>
            <w:r>
              <w:rPr>
                <w:b w:val="0"/>
                <w:sz w:val="18"/>
              </w:rPr>
              <w:t>Product reference, Product Name, quantity, base price, editable unit price, optional markup, optional discount, subtotal, and internal pricing adjustment notes where applicable.</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 number, linked sales order/customer, issue date, due date, total, paid amount, remaining amount, payment term, status, and notes.</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Payment</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Linked invoice, payment date, amount, payment method, notes, and timestamps.</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Receivable</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Derived view of invoice total, paid amount, remaining amount, due date, and status; not a separate physical table in the current schema.</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FollowUp / Billing</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 optional invoice, follow-up date, status, notes, and timestamps for collection-related activity.</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CustomerProductFollowUp</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 contact date, notes, and timestamps for sales relationship/product follow-up.</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DeliveryNote / Surat Jalan</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Delivery note number, linked invoice/sales order/customer, recipient, phone, address, delivery date, status, sender, receiver, authorized person, notes, and items.</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User</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Local username, password hash, display name, role, status, and timestamps.</w:t>
            </w:r>
          </w:p>
        </w:tc>
      </w:tr>
      <w:tr>
        <w:tc>
          <w:tcPr>
            <w:tcW w:type="dxa" w:w="2300"/>
            <w:vAlign w:val="center"/>
            <w:tcMar>
              <w:top w:w="80" w:type="dxa"/>
              <w:start w:w="120" w:type="dxa"/>
              <w:bottom w:w="80" w:type="dxa"/>
              <w:end w:w="120" w:type="dxa"/>
            </w:tcMar>
          </w:tcPr>
          <w:p>
            <w:pPr>
              <w:spacing w:before="0" w:after="60" w:line="264" w:lineRule="auto"/>
            </w:pPr>
            <w:r>
              <w:rPr>
                <w:rFonts w:ascii="Calibri" w:hAnsi="Calibri"/>
                <w:b w:val="0"/>
                <w:color w:val="1F2937"/>
                <w:sz w:val="17"/>
              </w:rPr>
              <w:t>AuditTrail</w:t>
            </w:r>
          </w:p>
        </w:tc>
        <w:tc>
          <w:tcPr>
            <w:tcW w:type="dxa" w:w="7060"/>
            <w:vAlign w:val="center"/>
            <w:tcMar>
              <w:top w:w="80" w:type="dxa"/>
              <w:start w:w="120" w:type="dxa"/>
              <w:bottom w:w="80" w:type="dxa"/>
              <w:end w:w="120" w:type="dxa"/>
            </w:tcMar>
          </w:tcPr>
          <w:p>
            <w:pPr>
              <w:spacing w:before="0" w:after="60" w:line="264" w:lineRule="auto"/>
            </w:pPr>
            <w:r>
              <w:rPr>
                <w:rFonts w:ascii="Calibri" w:hAnsi="Calibri"/>
                <w:b w:val="0"/>
                <w:color w:val="1F2937"/>
                <w:sz w:val="17"/>
              </w:rPr>
              <w:t>Actor, role, module, entity, transaction code, action, confirmation note, change summary, old/new values, and timestamp.</w:t>
            </w:r>
          </w:p>
        </w:tc>
      </w:tr>
      <w:tr>
        <w:tc>
          <w:tcPr>
            <w:tcW w:type="dxa" w:w="2300"/>
            <w:vAlign w:val="center"/>
          </w:tcPr>
          <w:p>
            <w:r>
              <w:rPr>
                <w:b w:val="0"/>
                <w:sz w:val="18"/>
              </w:rPr>
              <w:t>Product</w:t>
            </w:r>
          </w:p>
        </w:tc>
        <w:tc>
          <w:tcPr>
            <w:tcW w:type="dxa" w:w="7060"/>
            <w:vAlign w:val="center"/>
          </w:tcPr>
          <w:p>
            <w:r>
              <w:rPr>
                <w:b w:val="0"/>
                <w:sz w:val="18"/>
              </w:rPr>
              <w:t>Product Name, Notes, Base Price, Active/Inactive status, creator/updater, and timestamps.</w:t>
            </w:r>
          </w:p>
        </w:tc>
      </w:tr>
      <w:tr>
        <w:tc>
          <w:tcPr>
            <w:tcW w:type="dxa" w:w="2300"/>
            <w:vAlign w:val="center"/>
          </w:tcPr>
          <w:p>
            <w:r>
              <w:rPr>
                <w:b w:val="0"/>
                <w:sz w:val="18"/>
              </w:rPr>
              <w:t>PreOrder / POTransaction</w:t>
            </w:r>
          </w:p>
        </w:tc>
        <w:tc>
          <w:tcPr>
            <w:tcW w:type="dxa" w:w="7060"/>
            <w:vAlign w:val="center"/>
          </w:tcPr>
          <w:p>
            <w:r>
              <w:rPr>
                <w:b w:val="0"/>
                <w:sz w:val="18"/>
              </w:rPr>
              <w:t>Separated transaction view for PO-based orders containing customer, manual PO/Sales Order ID, required product date, uploaded PO document, transaction type, status, items, totals, approval, invoice/payment/delivery links, notes, and timestamps.</w:t>
            </w:r>
          </w:p>
        </w:tc>
      </w:tr>
      <w:tr>
        <w:tc>
          <w:tcPr>
            <w:tcW w:type="dxa" w:w="2300"/>
            <w:vAlign w:val="center"/>
          </w:tcPr>
          <w:p>
            <w:r>
              <w:rPr>
                <w:b w:val="0"/>
                <w:sz w:val="18"/>
              </w:rPr>
              <w:t>PODocumentAttachment</w:t>
            </w:r>
          </w:p>
        </w:tc>
        <w:tc>
          <w:tcPr>
            <w:tcW w:type="dxa" w:w="7060"/>
            <w:vAlign w:val="center"/>
          </w:tcPr>
          <w:p>
            <w:r>
              <w:rPr>
                <w:b w:val="0"/>
                <w:sz w:val="18"/>
              </w:rPr>
              <w:t>Uploaded file name, file type, storage path/reference, linked Pre Order/PO transaction, uploader, and upload timestamp.</w:t>
            </w:r>
          </w:p>
        </w:tc>
      </w:tr>
      <w:tr>
        <w:tc>
          <w:tcPr>
            <w:tcW w:type="dxa" w:w="2300"/>
            <w:vAlign w:val="center"/>
          </w:tcPr>
          <w:p>
            <w:r>
              <w:rPr>
                <w:b w:val="0"/>
                <w:sz w:val="18"/>
              </w:rPr>
              <w:t>Notification</w:t>
            </w:r>
          </w:p>
        </w:tc>
        <w:tc>
          <w:tcPr>
            <w:tcW w:type="dxa" w:w="7060"/>
            <w:vAlign w:val="center"/>
          </w:tcPr>
          <w:p>
            <w:r>
              <w:rPr>
                <w:b w:val="0"/>
                <w:sz w:val="18"/>
              </w:rPr>
              <w:t>Related transaction, reminder type, due/required date, message, status/read condition, and timestamp.</w:t>
            </w:r>
          </w:p>
        </w:tc>
      </w:tr>
      <w:tr>
        <w:tc>
          <w:tcPr>
            <w:tcW w:type="dxa" w:w="2300"/>
            <w:vAlign w:val="center"/>
          </w:tcPr>
          <w:p>
            <w:r>
              <w:rPr>
                <w:b w:val="0"/>
                <w:sz w:val="18"/>
              </w:rPr>
              <w:t>PricingAdjustment</w:t>
            </w:r>
          </w:p>
        </w:tc>
        <w:tc>
          <w:tcPr>
            <w:tcW w:type="dxa" w:w="7060"/>
            <w:vAlign w:val="center"/>
          </w:tcPr>
          <w:p>
            <w:r>
              <w:rPr>
                <w:b w:val="0"/>
                <w:sz w:val="18"/>
              </w:rPr>
              <w:t>Internal markup and discount values, calculation effect, related item, actor, and timestamp; excluded from customer-facing printed output.</w:t>
            </w:r>
          </w:p>
        </w:tc>
      </w:tr>
    </w:tbl>
    <w:p>
      <w:pPr>
        <w:spacing w:after="120"/>
      </w:pPr>
    </w:p>
    <w:p>
      <w:pPr>
        <w:pStyle w:val="Heading1"/>
      </w:pPr>
      <w:r>
        <w:t>Assumptions and Constraints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00"/>
        <w:gridCol w:w="7660"/>
      </w:tblGrid>
      <w:tr>
        <w:trPr>
          <w:tblHeader w:val="true"/>
        </w:trPr>
        <w:tc>
          <w:tcPr>
            <w:tcW w:type="dxa" w:w="17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Type</w:t>
            </w:r>
          </w:p>
        </w:tc>
        <w:tc>
          <w:tcPr>
            <w:tcW w:type="dxa" w:w="76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Statement</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Assumption</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BRD is based on available thesis content, project documentation, visible schema, and implemented MVP behavior.</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Assumption</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Internal users can adapt to a simple local web-based prototype with appropriate guidance and training.</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Assumption</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system is used to demonstrate revenue-cycle information flow and usability for academic evaluation.</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Constraint</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project is local-only and not intended as production deployment.</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Constraint</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MVP does not integrate with bank systems, logistics systems, warehouse stock systems, ERP, e-commerce, or payment gateways.</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Constraint</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There is no claim of full accounting coverage, general ledger, journal automation, or tax compliance.</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Constraint</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Security is limited to basic local account and role restrictions suitable for thesis demonstration.</w:t>
            </w:r>
          </w:p>
        </w:tc>
      </w:tr>
      <w:tr>
        <w:tc>
          <w:tcPr>
            <w:tcW w:type="dxa" w:w="1700"/>
            <w:vAlign w:val="center"/>
            <w:tcMar>
              <w:top w:w="80" w:type="dxa"/>
              <w:start w:w="120" w:type="dxa"/>
              <w:bottom w:w="80" w:type="dxa"/>
              <w:end w:w="120" w:type="dxa"/>
            </w:tcMar>
          </w:tcPr>
          <w:p>
            <w:pPr>
              <w:spacing w:before="0" w:after="60" w:line="264" w:lineRule="auto"/>
            </w:pPr>
            <w:r>
              <w:rPr>
                <w:rFonts w:ascii="Calibri" w:hAnsi="Calibri"/>
                <w:b w:val="0"/>
                <w:color w:val="1F2937"/>
                <w:sz w:val="18"/>
              </w:rPr>
              <w:t>Constraint</w:t>
            </w:r>
          </w:p>
        </w:tc>
        <w:tc>
          <w:tcPr>
            <w:tcW w:type="dxa" w:w="7660"/>
            <w:vAlign w:val="center"/>
            <w:tcMar>
              <w:top w:w="80" w:type="dxa"/>
              <w:start w:w="120" w:type="dxa"/>
              <w:bottom w:w="80" w:type="dxa"/>
              <w:end w:w="120" w:type="dxa"/>
            </w:tcMar>
          </w:tcPr>
          <w:p>
            <w:pPr>
              <w:spacing w:before="0" w:after="60" w:line="264" w:lineRule="auto"/>
            </w:pPr>
            <w:r>
              <w:rPr>
                <w:rFonts w:ascii="Calibri" w:hAnsi="Calibri"/>
                <w:b w:val="0"/>
                <w:color w:val="1F2937"/>
                <w:sz w:val="18"/>
              </w:rPr>
              <w:t>The thesis scope emphasizes analysis, design, prototype, and usability testing; implementation claims must be worded carefully.</w:t>
            </w:r>
          </w:p>
        </w:tc>
      </w:tr>
      <w:tr>
        <w:tc>
          <w:tcPr>
            <w:tcW w:type="dxa" w:w="1700"/>
            <w:vAlign w:val="center"/>
          </w:tcPr>
          <w:p>
            <w:r>
              <w:rPr>
                <w:b w:val="0"/>
                <w:sz w:val="18"/>
              </w:rPr>
              <w:t>Assumption</w:t>
            </w:r>
          </w:p>
        </w:tc>
        <w:tc>
          <w:tcPr>
            <w:tcW w:type="dxa" w:w="7660"/>
            <w:vAlign w:val="center"/>
          </w:tcPr>
          <w:p>
            <w:r>
              <w:rPr>
                <w:b w:val="0"/>
                <w:sz w:val="18"/>
              </w:rPr>
              <w:t>Product base price is used as a default transaction price and may be adjusted by authorized users according to business context.</w:t>
            </w:r>
          </w:p>
        </w:tc>
      </w:tr>
      <w:tr>
        <w:tc>
          <w:tcPr>
            <w:tcW w:type="dxa" w:w="1700"/>
            <w:vAlign w:val="center"/>
          </w:tcPr>
          <w:p>
            <w:r>
              <w:rPr>
                <w:b w:val="0"/>
                <w:sz w:val="18"/>
              </w:rPr>
              <w:t>Assumption</w:t>
            </w:r>
          </w:p>
        </w:tc>
        <w:tc>
          <w:tcPr>
            <w:tcW w:type="dxa" w:w="7660"/>
            <w:vAlign w:val="center"/>
          </w:tcPr>
          <w:p>
            <w:r>
              <w:rPr>
                <w:b w:val="0"/>
                <w:sz w:val="18"/>
              </w:rPr>
              <w:t>PO document upload stores supporting evidence only; the user remains responsible for entering PO/Sales Order ID and required product date accurately.</w:t>
            </w:r>
          </w:p>
        </w:tc>
      </w:tr>
      <w:tr>
        <w:tc>
          <w:tcPr>
            <w:tcW w:type="dxa" w:w="1700"/>
            <w:vAlign w:val="center"/>
          </w:tcPr>
          <w:p>
            <w:r>
              <w:rPr>
                <w:b w:val="0"/>
                <w:sz w:val="18"/>
              </w:rPr>
              <w:t>Constraint</w:t>
            </w:r>
          </w:p>
        </w:tc>
        <w:tc>
          <w:tcPr>
            <w:tcW w:type="dxa" w:w="7660"/>
            <w:vAlign w:val="center"/>
          </w:tcPr>
          <w:p>
            <w:r>
              <w:rPr>
                <w:b w:val="0"/>
                <w:sz w:val="18"/>
              </w:rPr>
              <w:t>Markup and Discount are internal operational fields and should not be exposed in customer-facing Invoice or Surat Jalan output.</w:t>
            </w:r>
          </w:p>
        </w:tc>
      </w:tr>
      <w:tr>
        <w:tc>
          <w:tcPr>
            <w:tcW w:type="dxa" w:w="1700"/>
            <w:vAlign w:val="center"/>
          </w:tcPr>
          <w:p>
            <w:r>
              <w:rPr>
                <w:b w:val="0"/>
                <w:sz w:val="18"/>
              </w:rPr>
              <w:t>Constraint</w:t>
            </w:r>
          </w:p>
        </w:tc>
        <w:tc>
          <w:tcPr>
            <w:tcW w:type="dxa" w:w="7660"/>
            <w:vAlign w:val="center"/>
          </w:tcPr>
          <w:p>
            <w:r>
              <w:rPr>
                <w:b w:val="0"/>
                <w:sz w:val="18"/>
              </w:rPr>
              <w:t>PO reminders depend on the required product date being entered correctly.</w:t>
            </w:r>
          </w:p>
        </w:tc>
      </w:tr>
    </w:tbl>
    <w:p>
      <w:pPr>
        <w:spacing w:after="120"/>
      </w:pPr>
    </w:p>
    <w:p>
      <w:pPr>
        <w:pStyle w:val="Heading1"/>
      </w:pPr>
      <w:r>
        <w:t>Success Criteria / Acceptance Criteria</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4300"/>
        <w:gridCol w:w="4160"/>
      </w:tblGrid>
      <w:tr>
        <w:trPr>
          <w:tblHeader w:val="true"/>
        </w:trPr>
        <w:tc>
          <w:tcPr>
            <w:tcW w:type="dxa" w:w="9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ID</w:t>
            </w:r>
          </w:p>
        </w:tc>
        <w:tc>
          <w:tcPr>
            <w:tcW w:type="dxa" w:w="430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Acceptance criterion</w:t>
            </w:r>
          </w:p>
        </w:tc>
        <w:tc>
          <w:tcPr>
            <w:tcW w:type="dxa" w:w="4160"/>
            <w:vAlign w:val="center"/>
            <w:tcMar>
              <w:top w:w="80" w:type="dxa"/>
              <w:start w:w="120" w:type="dxa"/>
              <w:bottom w:w="80" w:type="dxa"/>
              <w:end w:w="120" w:type="dxa"/>
            </w:tcMar>
            <w:shd w:fill="F2F4F7"/>
          </w:tcPr>
          <w:p>
            <w:pPr>
              <w:spacing w:before="0" w:after="60" w:line="264" w:lineRule="auto"/>
            </w:pPr>
            <w:r>
              <w:rPr>
                <w:rFonts w:ascii="Calibri" w:hAnsi="Calibri"/>
                <w:b/>
                <w:color w:val="1F2937"/>
                <w:sz w:val="17"/>
              </w:rPr>
              <w:t>Evidence / expected result</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AC-001</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Users can log in with a local role account and view the appropriate dashboard.</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Role dashboard is shown and role badge is visible.</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AC-002</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Users can create and review customer records.</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Customer appears in customer list and can be used in related transactions.</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AC-003</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Authorized users can create a Sales Order with item and payment-term data.</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 Order total and status are recorded correctly.</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AC-004</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Eligible transactions can generate an Invoice.</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Invoice uses customer and sales-order data without unnecessary retyping.</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AC-005</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Authorized users can record payments without exceeding remaining balance.</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Paid amount, remaining amount, and invoice status update correctly.</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AC-006</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Receivable monitoring reflects invoice and payment data.</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Unpaid, partial, overdue, and paid conditions are shown consistently.</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AC-007</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Surat Jalan follows debit/credit eligibility rules.</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Debit requires paid invoice; credit can create after invoice generation.</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AC-008</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Billing and follow-up records can be reviewed and updated.</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Records appear in the relevant module and dashboard/notification areas where applicable.</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AC-009</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Restricted actions are disabled for roles that should not perform them.</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Sales/Admin/Manager restrictions match documented role matrix.</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AC-010</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Important actions are visible in Audit Trail.</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Audit Trail shows actor, role, module, action, summary, and note where available.</w:t>
            </w:r>
          </w:p>
        </w:tc>
      </w:tr>
      <w:tr>
        <w:tc>
          <w:tcPr>
            <w:tcW w:type="dxa" w:w="900"/>
            <w:vAlign w:val="center"/>
            <w:tcMar>
              <w:top w:w="80" w:type="dxa"/>
              <w:start w:w="120" w:type="dxa"/>
              <w:bottom w:w="80" w:type="dxa"/>
              <w:end w:w="120" w:type="dxa"/>
            </w:tcMar>
          </w:tcPr>
          <w:p>
            <w:pPr>
              <w:spacing w:before="0" w:after="60" w:line="264" w:lineRule="auto"/>
            </w:pPr>
            <w:r>
              <w:rPr>
                <w:rFonts w:ascii="Calibri" w:hAnsi="Calibri"/>
                <w:b w:val="0"/>
                <w:color w:val="1F2937"/>
                <w:sz w:val="17"/>
              </w:rPr>
              <w:t>AC-011</w:t>
            </w:r>
          </w:p>
        </w:tc>
        <w:tc>
          <w:tcPr>
            <w:tcW w:type="dxa" w:w="4300"/>
            <w:vAlign w:val="center"/>
            <w:tcMar>
              <w:top w:w="80" w:type="dxa"/>
              <w:start w:w="120" w:type="dxa"/>
              <w:bottom w:w="80" w:type="dxa"/>
              <w:end w:w="120" w:type="dxa"/>
            </w:tcMar>
          </w:tcPr>
          <w:p>
            <w:pPr>
              <w:spacing w:before="0" w:after="60" w:line="264" w:lineRule="auto"/>
            </w:pPr>
            <w:r>
              <w:rPr>
                <w:rFonts w:ascii="Calibri" w:hAnsi="Calibri"/>
                <w:b w:val="0"/>
                <w:color w:val="1F2937"/>
                <w:sz w:val="17"/>
              </w:rPr>
              <w:t>Supervisor review can trace BRD sections to thesis scope and current MVP features.</w:t>
            </w:r>
          </w:p>
        </w:tc>
        <w:tc>
          <w:tcPr>
            <w:tcW w:type="dxa" w:w="4160"/>
            <w:vAlign w:val="center"/>
            <w:tcMar>
              <w:top w:w="80" w:type="dxa"/>
              <w:start w:w="120" w:type="dxa"/>
              <w:bottom w:w="80" w:type="dxa"/>
              <w:end w:w="120" w:type="dxa"/>
            </w:tcMar>
          </w:tcPr>
          <w:p>
            <w:pPr>
              <w:spacing w:before="0" w:after="60" w:line="264" w:lineRule="auto"/>
            </w:pPr>
            <w:r>
              <w:rPr>
                <w:rFonts w:ascii="Calibri" w:hAnsi="Calibri"/>
                <w:b w:val="0"/>
                <w:color w:val="1F2937"/>
                <w:sz w:val="17"/>
              </w:rPr>
              <w:t>Document avoids production-ready or unsupported enterprise claims.</w:t>
            </w:r>
          </w:p>
        </w:tc>
      </w:tr>
      <w:tr>
        <w:tc>
          <w:tcPr>
            <w:tcW w:type="dxa" w:w="900"/>
            <w:vAlign w:val="center"/>
          </w:tcPr>
          <w:p>
            <w:r>
              <w:rPr>
                <w:b w:val="0"/>
                <w:sz w:val="18"/>
              </w:rPr>
              <w:t>AC-012</w:t>
            </w:r>
          </w:p>
        </w:tc>
        <w:tc>
          <w:tcPr>
            <w:tcW w:type="dxa" w:w="4300"/>
            <w:vAlign w:val="center"/>
          </w:tcPr>
          <w:p>
            <w:r>
              <w:rPr>
                <w:b w:val="0"/>
                <w:sz w:val="18"/>
              </w:rPr>
              <w:t>Authorized users can create, view, edit, and deactivate Product records.</w:t>
            </w:r>
          </w:p>
        </w:tc>
        <w:tc>
          <w:tcPr>
            <w:tcW w:type="dxa" w:w="4160"/>
            <w:vAlign w:val="center"/>
          </w:tcPr>
          <w:p>
            <w:r>
              <w:rPr>
                <w:b w:val="0"/>
                <w:sz w:val="18"/>
              </w:rPr>
              <w:t>Product appears in the Product list, can be opened in detail view, can be edited, and inactive status is reflected correctly.</w:t>
            </w:r>
          </w:p>
        </w:tc>
      </w:tr>
      <w:tr>
        <w:tc>
          <w:tcPr>
            <w:tcW w:type="dxa" w:w="900"/>
            <w:vAlign w:val="center"/>
          </w:tcPr>
          <w:p>
            <w:r>
              <w:rPr>
                <w:b w:val="0"/>
                <w:sz w:val="18"/>
              </w:rPr>
              <w:t>AC-013</w:t>
            </w:r>
          </w:p>
        </w:tc>
        <w:tc>
          <w:tcPr>
            <w:tcW w:type="dxa" w:w="4300"/>
            <w:vAlign w:val="center"/>
          </w:tcPr>
          <w:p>
            <w:r>
              <w:rPr>
                <w:b w:val="0"/>
                <w:sz w:val="18"/>
              </w:rPr>
              <w:t>Users are prompted to choose normal Sales Order or Pre Order/PO when creating a new transaction.</w:t>
            </w:r>
          </w:p>
        </w:tc>
        <w:tc>
          <w:tcPr>
            <w:tcW w:type="dxa" w:w="4160"/>
            <w:vAlign w:val="center"/>
          </w:tcPr>
          <w:p>
            <w:r>
              <w:rPr>
                <w:b w:val="0"/>
                <w:sz w:val="18"/>
              </w:rPr>
              <w:t>The selected transaction type determines the next form and required fields.</w:t>
            </w:r>
          </w:p>
        </w:tc>
      </w:tr>
      <w:tr>
        <w:tc>
          <w:tcPr>
            <w:tcW w:type="dxa" w:w="900"/>
            <w:vAlign w:val="center"/>
          </w:tcPr>
          <w:p>
            <w:r>
              <w:rPr>
                <w:b w:val="0"/>
                <w:sz w:val="18"/>
              </w:rPr>
              <w:t>AC-014</w:t>
            </w:r>
          </w:p>
        </w:tc>
        <w:tc>
          <w:tcPr>
            <w:tcW w:type="dxa" w:w="4300"/>
            <w:vAlign w:val="center"/>
          </w:tcPr>
          <w:p>
            <w:r>
              <w:rPr>
                <w:b w:val="0"/>
                <w:sz w:val="18"/>
              </w:rPr>
              <w:t>Users can create a Pre Order/PO with uploaded PO document, manual PO/Sales Order ID, required product date, customer, products, and payment-term data.</w:t>
            </w:r>
          </w:p>
        </w:tc>
        <w:tc>
          <w:tcPr>
            <w:tcW w:type="dxa" w:w="4160"/>
            <w:vAlign w:val="center"/>
          </w:tcPr>
          <w:p>
            <w:r>
              <w:rPr>
                <w:b w:val="0"/>
                <w:sz w:val="18"/>
              </w:rPr>
              <w:t>Pre Order/PO appears in the separated PO menu and detail page with transaction type shown.</w:t>
            </w:r>
          </w:p>
        </w:tc>
      </w:tr>
      <w:tr>
        <w:tc>
          <w:tcPr>
            <w:tcW w:type="dxa" w:w="900"/>
            <w:vAlign w:val="center"/>
          </w:tcPr>
          <w:p>
            <w:r>
              <w:rPr>
                <w:b w:val="0"/>
                <w:sz w:val="18"/>
              </w:rPr>
              <w:t>AC-015</w:t>
            </w:r>
          </w:p>
        </w:tc>
        <w:tc>
          <w:tcPr>
            <w:tcW w:type="dxa" w:w="4300"/>
            <w:vAlign w:val="center"/>
          </w:tcPr>
          <w:p>
            <w:r>
              <w:rPr>
                <w:b w:val="0"/>
                <w:sz w:val="18"/>
              </w:rPr>
              <w:t>Sales Order and Pre Order item entry uses Product Name dropdown from Product master data.</w:t>
            </w:r>
          </w:p>
        </w:tc>
        <w:tc>
          <w:tcPr>
            <w:tcW w:type="dxa" w:w="4160"/>
            <w:vAlign w:val="center"/>
          </w:tcPr>
          <w:p>
            <w:r>
              <w:rPr>
                <w:b w:val="0"/>
                <w:sz w:val="18"/>
              </w:rPr>
              <w:t>Selected Product fills item name and Base Price automatically.</w:t>
            </w:r>
          </w:p>
        </w:tc>
      </w:tr>
      <w:tr>
        <w:tc>
          <w:tcPr>
            <w:tcW w:type="dxa" w:w="900"/>
            <w:vAlign w:val="center"/>
          </w:tcPr>
          <w:p>
            <w:r>
              <w:rPr>
                <w:b w:val="0"/>
                <w:sz w:val="18"/>
              </w:rPr>
              <w:t>AC-016</w:t>
            </w:r>
          </w:p>
        </w:tc>
        <w:tc>
          <w:tcPr>
            <w:tcW w:type="dxa" w:w="4300"/>
            <w:vAlign w:val="center"/>
          </w:tcPr>
          <w:p>
            <w:r>
              <w:rPr>
                <w:b w:val="0"/>
                <w:sz w:val="18"/>
              </w:rPr>
              <w:t>Unit Price can be edited after Base Price is auto-filled, and optional Markup/Discount changes the calculated Unit Price.</w:t>
            </w:r>
          </w:p>
        </w:tc>
        <w:tc>
          <w:tcPr>
            <w:tcW w:type="dxa" w:w="4160"/>
            <w:vAlign w:val="center"/>
          </w:tcPr>
          <w:p>
            <w:r>
              <w:rPr>
                <w:b w:val="0"/>
                <w:sz w:val="18"/>
              </w:rPr>
              <w:t>Transaction totals update correctly and pricing adjustment evidence appears only in system/audit records.</w:t>
            </w:r>
          </w:p>
        </w:tc>
      </w:tr>
      <w:tr>
        <w:tc>
          <w:tcPr>
            <w:tcW w:type="dxa" w:w="900"/>
            <w:vAlign w:val="center"/>
          </w:tcPr>
          <w:p>
            <w:r>
              <w:rPr>
                <w:b w:val="0"/>
                <w:sz w:val="18"/>
              </w:rPr>
              <w:t>AC-017</w:t>
            </w:r>
          </w:p>
        </w:tc>
        <w:tc>
          <w:tcPr>
            <w:tcW w:type="dxa" w:w="4300"/>
            <w:vAlign w:val="center"/>
          </w:tcPr>
          <w:p>
            <w:r>
              <w:rPr>
                <w:b w:val="0"/>
                <w:sz w:val="18"/>
              </w:rPr>
              <w:t>Invoice and Surat Jalan printouts show transaction type and relevant PO details but do not show Markup or Discount fields.</w:t>
            </w:r>
          </w:p>
        </w:tc>
        <w:tc>
          <w:tcPr>
            <w:tcW w:type="dxa" w:w="4160"/>
            <w:vAlign w:val="center"/>
          </w:tcPr>
          <w:p>
            <w:r>
              <w:rPr>
                <w:b w:val="0"/>
                <w:sz w:val="18"/>
              </w:rPr>
              <w:t>Generated print output includes Sales Order/Pre Order identity and PO details when applicable, with no internal pricing adjustment fields displayed.</w:t>
            </w:r>
          </w:p>
        </w:tc>
      </w:tr>
      <w:tr>
        <w:tc>
          <w:tcPr>
            <w:tcW w:type="dxa" w:w="900"/>
            <w:vAlign w:val="center"/>
          </w:tcPr>
          <w:p>
            <w:r>
              <w:rPr>
                <w:b w:val="0"/>
                <w:sz w:val="18"/>
              </w:rPr>
              <w:t>AC-018</w:t>
            </w:r>
          </w:p>
        </w:tc>
        <w:tc>
          <w:tcPr>
            <w:tcW w:type="dxa" w:w="4300"/>
            <w:vAlign w:val="center"/>
          </w:tcPr>
          <w:p>
            <w:r>
              <w:rPr>
                <w:b w:val="0"/>
                <w:sz w:val="18"/>
              </w:rPr>
              <w:t>Pre Order/PO reminder notification appears before the required product date.</w:t>
            </w:r>
          </w:p>
        </w:tc>
        <w:tc>
          <w:tcPr>
            <w:tcW w:type="dxa" w:w="4160"/>
            <w:vAlign w:val="center"/>
          </w:tcPr>
          <w:p>
            <w:r>
              <w:rPr>
                <w:b w:val="0"/>
                <w:sz w:val="18"/>
              </w:rPr>
              <w:t>Notification/reminder area shows the PO transaction that needs processing.</w:t>
            </w:r>
          </w:p>
        </w:tc>
      </w:tr>
      <w:tr>
        <w:tc>
          <w:tcPr>
            <w:tcW w:type="dxa" w:w="900"/>
            <w:vAlign w:val="center"/>
          </w:tcPr>
          <w:p>
            <w:r>
              <w:rPr>
                <w:b w:val="0"/>
                <w:sz w:val="18"/>
              </w:rPr>
              <w:t>AC-019</w:t>
            </w:r>
          </w:p>
        </w:tc>
        <w:tc>
          <w:tcPr>
            <w:tcW w:type="dxa" w:w="4300"/>
            <w:vAlign w:val="center"/>
          </w:tcPr>
          <w:p>
            <w:r>
              <w:rPr>
                <w:b w:val="0"/>
                <w:sz w:val="18"/>
              </w:rPr>
              <w:t>Sort and filter controls work on all tables where displayed.</w:t>
            </w:r>
          </w:p>
        </w:tc>
        <w:tc>
          <w:tcPr>
            <w:tcW w:type="dxa" w:w="4160"/>
            <w:vAlign w:val="center"/>
          </w:tcPr>
          <w:p>
            <w:r>
              <w:rPr>
                <w:b w:val="0"/>
                <w:sz w:val="18"/>
              </w:rPr>
              <w:t>User can sort/filter visible list data and the table result changes accordingly.</w:t>
            </w:r>
          </w:p>
        </w:tc>
      </w:tr>
    </w:tbl>
    <w:p>
      <w:pPr>
        <w:spacing w:after="120"/>
      </w:pPr>
    </w:p>
    <w:p>
      <w:pPr>
        <w:pStyle w:val="Heading1"/>
      </w:pPr>
      <w:r>
        <w:t>Risks and Considerations</w:t>
      </w:r>
    </w:p>
    <w:tbl>
      <w:tblPr>
        <w:tblW w:type="dxa" w:w="9360"/>
        <w:tblLayout w:type="fixed"/>
        <w:tblLook w:firstColumn="1" w:firstRow="1" w:lastColumn="0" w:lastRow="0" w:noHBand="0" w:noVBand="1" w:val="04A0"/>
        <w:jc w:val="center"/>
        <w:tblInd w:type="dxa" w:w="12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00"/>
        <w:gridCol w:w="6560"/>
      </w:tblGrid>
      <w:tr>
        <w:trPr>
          <w:tblHeader w:val="true"/>
        </w:trPr>
        <w:tc>
          <w:tcPr>
            <w:tcW w:type="dxa" w:w="280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Risk</w:t>
            </w:r>
          </w:p>
        </w:tc>
        <w:tc>
          <w:tcPr>
            <w:tcW w:type="dxa" w:w="6560"/>
            <w:vAlign w:val="center"/>
            <w:tcMar>
              <w:top w:w="80" w:type="dxa"/>
              <w:start w:w="120" w:type="dxa"/>
              <w:bottom w:w="80" w:type="dxa"/>
              <w:end w:w="120" w:type="dxa"/>
            </w:tcMar>
            <w:shd w:fill="F2F4F7"/>
          </w:tcPr>
          <w:p>
            <w:pPr>
              <w:spacing w:before="0" w:after="60" w:line="264" w:lineRule="auto"/>
            </w:pPr>
            <w:r>
              <w:rPr>
                <w:rFonts w:ascii="Calibri" w:hAnsi="Calibri"/>
                <w:b/>
                <w:color w:val="1F2937"/>
                <w:sz w:val="19"/>
              </w:rPr>
              <w:t>Consideration / mitigation</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Incomplete or inconsistent data migration</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Standardize initial customer and transaction data before relying on dashboard or receivable insight.</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User adaptation risk</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Keep workflows simple, provide training, and use usability feedback to refine navigation and labels.</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Manual process dependency</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Treat the MVP as a transition aid and avoid assuming all manual communication will disappear immediately.</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Local-only limitation</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Use the application for academic demonstration; production hosting, backup, and security planning would require a separate phase.</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No internal IT team</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Keep the system simple and document setup/maintenance steps clearly.</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Scope drift</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Avoid adding ERP, inventory, bank integration, or mobile-app assumptions unless a future project explicitly approves them.</w:t>
            </w:r>
          </w:p>
        </w:tc>
      </w:tr>
      <w:tr>
        <w:tc>
          <w:tcPr>
            <w:tcW w:type="dxa" w:w="2800"/>
            <w:vAlign w:val="center"/>
            <w:tcMar>
              <w:top w:w="80" w:type="dxa"/>
              <w:start w:w="120" w:type="dxa"/>
              <w:bottom w:w="80" w:type="dxa"/>
              <w:end w:w="120" w:type="dxa"/>
            </w:tcMar>
          </w:tcPr>
          <w:p>
            <w:pPr>
              <w:spacing w:before="0" w:after="60" w:line="264" w:lineRule="auto"/>
            </w:pPr>
            <w:r>
              <w:rPr>
                <w:rFonts w:ascii="Calibri" w:hAnsi="Calibri"/>
                <w:b w:val="0"/>
                <w:color w:val="1F2937"/>
                <w:sz w:val="18"/>
              </w:rPr>
              <w:t>Prototype limitations</w:t>
            </w:r>
          </w:p>
        </w:tc>
        <w:tc>
          <w:tcPr>
            <w:tcW w:type="dxa" w:w="6560"/>
            <w:vAlign w:val="center"/>
            <w:tcMar>
              <w:top w:w="80" w:type="dxa"/>
              <w:start w:w="120" w:type="dxa"/>
              <w:bottom w:w="80" w:type="dxa"/>
              <w:end w:w="120" w:type="dxa"/>
            </w:tcMar>
          </w:tcPr>
          <w:p>
            <w:pPr>
              <w:spacing w:before="0" w:after="60" w:line="264" w:lineRule="auto"/>
            </w:pPr>
            <w:r>
              <w:rPr>
                <w:rFonts w:ascii="Calibri" w:hAnsi="Calibri"/>
                <w:b w:val="0"/>
                <w:color w:val="1F2937"/>
                <w:sz w:val="18"/>
              </w:rPr>
              <w:t>Recognize that usability testing and MVP validation do not equal full production system testing.</w:t>
            </w:r>
          </w:p>
        </w:tc>
      </w:tr>
      <w:tr>
        <w:tc>
          <w:tcPr>
            <w:tcW w:type="dxa" w:w="2800"/>
            <w:vAlign w:val="center"/>
          </w:tcPr>
          <w:p>
            <w:r>
              <w:rPr>
                <w:b w:val="0"/>
                <w:sz w:val="18"/>
              </w:rPr>
              <w:t>Incorrect product base price</w:t>
            </w:r>
          </w:p>
        </w:tc>
        <w:tc>
          <w:tcPr>
            <w:tcW w:type="dxa" w:w="6560"/>
            <w:vAlign w:val="center"/>
          </w:tcPr>
          <w:p>
            <w:r>
              <w:rPr>
                <w:b w:val="0"/>
                <w:sz w:val="18"/>
              </w:rPr>
              <w:t>Review and maintain Product master data carefully because it becomes the default price source for Sales Order and Pre Order item entry.</w:t>
            </w:r>
          </w:p>
        </w:tc>
      </w:tr>
      <w:tr>
        <w:tc>
          <w:tcPr>
            <w:tcW w:type="dxa" w:w="2800"/>
            <w:vAlign w:val="center"/>
          </w:tcPr>
          <w:p>
            <w:r>
              <w:rPr>
                <w:b w:val="0"/>
                <w:sz w:val="18"/>
              </w:rPr>
              <w:t>PO document upload quality</w:t>
            </w:r>
          </w:p>
        </w:tc>
        <w:tc>
          <w:tcPr>
            <w:tcW w:type="dxa" w:w="6560"/>
            <w:vAlign w:val="center"/>
          </w:tcPr>
          <w:p>
            <w:r>
              <w:rPr>
                <w:b w:val="0"/>
                <w:sz w:val="18"/>
              </w:rPr>
              <w:t>Define acceptable file formats and naming conventions; uploaded documents should remain linked to the correct Pre Order/PO transaction.</w:t>
            </w:r>
          </w:p>
        </w:tc>
      </w:tr>
      <w:tr>
        <w:tc>
          <w:tcPr>
            <w:tcW w:type="dxa" w:w="2800"/>
            <w:vAlign w:val="center"/>
          </w:tcPr>
          <w:p>
            <w:r>
              <w:rPr>
                <w:b w:val="0"/>
                <w:sz w:val="18"/>
              </w:rPr>
              <w:t>Missed PO required date</w:t>
            </w:r>
          </w:p>
        </w:tc>
        <w:tc>
          <w:tcPr>
            <w:tcW w:type="dxa" w:w="6560"/>
            <w:vAlign w:val="center"/>
          </w:tcPr>
          <w:p>
            <w:r>
              <w:rPr>
                <w:b w:val="0"/>
                <w:sz w:val="18"/>
              </w:rPr>
              <w:t>Use reminder notifications and dashboard attention items to reduce the risk of late PO processing.</w:t>
            </w:r>
          </w:p>
        </w:tc>
      </w:tr>
      <w:tr>
        <w:tc>
          <w:tcPr>
            <w:tcW w:type="dxa" w:w="2800"/>
            <w:vAlign w:val="center"/>
          </w:tcPr>
          <w:p>
            <w:r>
              <w:rPr>
                <w:b w:val="0"/>
                <w:sz w:val="18"/>
              </w:rPr>
              <w:t>Internal pricing exposure</w:t>
            </w:r>
          </w:p>
        </w:tc>
        <w:tc>
          <w:tcPr>
            <w:tcW w:type="dxa" w:w="6560"/>
            <w:vAlign w:val="center"/>
          </w:tcPr>
          <w:p>
            <w:r>
              <w:rPr>
                <w:b w:val="0"/>
                <w:sz w:val="18"/>
              </w:rPr>
              <w:t>Validate printed Invoice and Surat Jalan templates so Markup and Discount remain internal-only fields.</w:t>
            </w:r>
          </w:p>
        </w:tc>
      </w:tr>
      <w:tr>
        <w:tc>
          <w:tcPr>
            <w:tcW w:type="dxa" w:w="2800"/>
            <w:vAlign w:val="center"/>
          </w:tcPr>
          <w:p>
            <w:r>
              <w:rPr>
                <w:b w:val="0"/>
                <w:sz w:val="18"/>
              </w:rPr>
              <w:t>Broken sort/filter expectations</w:t>
            </w:r>
          </w:p>
        </w:tc>
        <w:tc>
          <w:tcPr>
            <w:tcW w:type="dxa" w:w="6560"/>
            <w:vAlign w:val="center"/>
          </w:tcPr>
          <w:p>
            <w:r>
              <w:rPr>
                <w:b w:val="0"/>
                <w:sz w:val="18"/>
              </w:rPr>
              <w:t>Test each operational table after UI changes so displayed controls match actual behavior.</w:t>
            </w:r>
          </w:p>
        </w:tc>
      </w:tr>
    </w:tbl>
    <w:p>
      <w:pPr>
        <w:spacing w:after="120"/>
      </w:pPr>
    </w:p>
    <w:p>
      <w:pPr>
        <w:pStyle w:val="Heading1"/>
      </w:pPr>
      <w:r>
        <w:t>Conclusion</w:t>
      </w:r>
    </w:p>
    <w:p>
      <w:pPr>
        <w:spacing w:before="0" w:after="120" w:line="264" w:lineRule="auto"/>
      </w:pPr>
      <w:r>
        <w:t>This BRD translates the thesis business context and current local MVP implementation into a structured set of business requirements for the Revenue Cycle Information System for CV Tajuk, including the updated Product master data and Pre Order/PO transaction scope.</w:t>
      </w:r>
    </w:p>
    <w:p>
      <w:pPr>
        <w:spacing w:before="0" w:after="120" w:line="264" w:lineRule="auto"/>
      </w:pPr>
      <w:r>
        <w:t>The proposed system should be understood as an academic prototype/MVP that demonstrates how CV Tajuk's revenue-cycle information can be centralized and made more visible. The updated scope strengthens the prototype by adding Product master data, Pre Order/PO transaction separation, controlled pricing adjustments, PO reminders, and consistent list-table interaction. Further production implementation would still require additional security, deployment, backup, integration, and operational governance work.</w:t>
      </w:r>
    </w:p>
    <w:p/>
    <w:p/>
    <w:p/>
    <w:p/>
    <w:p/>
    <w:p/>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4748B"/>
        <w:sz w:val="17"/>
      </w:rPr>
      <w:t>CV Tajuk BRD - Academic Thesis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Revenue Cycle Information System for CV Tajuk</dc:title>
  <dc:subject>Academic thesis documentation</dc:subject>
  <dc:creator>Nicholas Yuwito</dc:creator>
  <cp:keywords/>
  <dc:description>Generated from thesis PDF reference and current MVP project documentation.</dc:description>
  <cp:lastModifiedBy/>
  <cp:revision>1</cp:revision>
  <dcterms:created xsi:type="dcterms:W3CDTF">2013-12-23T23:15:00Z</dcterms:created>
  <dcterms:modified xsi:type="dcterms:W3CDTF">2013-12-23T23:15:00Z</dcterms:modified>
  <cp:category/>
</cp:coreProperties>
</file>