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64" w:lineRule="auto"/>
        <w:jc w:val="center"/>
      </w:pPr>
      <w:r>
        <w:rPr>
          <w:rFonts w:ascii="Calibri" w:hAnsi="Calibri"/>
          <w:b/>
          <w:color w:val="64748B"/>
          <w:sz w:val="24"/>
        </w:rPr>
        <w:t>Academic Thesis Documentation</w:t>
      </w:r>
    </w:p>
    <w:p>
      <w:pPr>
        <w:spacing w:before="1760" w:after="160"/>
        <w:jc w:val="center"/>
      </w:pPr>
      <w:r>
        <w:rPr>
          <w:rFonts w:ascii="Calibri" w:hAnsi="Calibri"/>
          <w:b/>
          <w:color w:val="2E74B5"/>
          <w:sz w:val="52"/>
        </w:rPr>
        <w:t>Business Requirements Document</w:t>
      </w:r>
    </w:p>
    <w:p>
      <w:pPr>
        <w:spacing w:after="560"/>
        <w:jc w:val="center"/>
      </w:pPr>
      <w:r>
        <w:rPr>
          <w:rFonts w:ascii="Calibri" w:hAnsi="Calibri"/>
          <w:color w:val="1F2937"/>
          <w:sz w:val="30"/>
        </w:rPr>
        <w:t>Revenue Cycle Information System for CV Tajuk</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00"/>
        <w:gridCol w:w="7060"/>
      </w:tblGrid>
      <w:tr>
        <w:tc>
          <w:tcPr>
            <w:tcW w:type="dxa" w:w="2300"/>
            <w:vAlign w:val="center"/>
            <w:tcMar>
              <w:top w:w="80" w:type="dxa"/>
              <w:start w:w="120" w:type="dxa"/>
              <w:bottom w:w="80" w:type="dxa"/>
              <w:end w:w="120" w:type="dxa"/>
            </w:tcMar>
            <w:shd w:fill="E8EEF5"/>
          </w:tcPr>
          <w:p>
            <w:pPr>
              <w:spacing w:before="0" w:after="60" w:line="264" w:lineRule="auto"/>
            </w:pPr>
            <w:r>
              <w:rPr>
                <w:rFonts w:ascii="Calibri" w:hAnsi="Calibri"/>
                <w:b/>
                <w:color w:val="1F4D78"/>
                <w:sz w:val="20"/>
              </w:rPr>
              <w:t>Purpose</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20"/>
              </w:rPr>
              <w:t>Academic thesis documentation</w:t>
            </w:r>
          </w:p>
        </w:tc>
      </w:tr>
      <w:tr>
        <w:tc>
          <w:tcPr>
            <w:tcW w:type="dxa" w:w="2300"/>
            <w:vAlign w:val="center"/>
            <w:tcMar>
              <w:top w:w="80" w:type="dxa"/>
              <w:start w:w="120" w:type="dxa"/>
              <w:bottom w:w="80" w:type="dxa"/>
              <w:end w:w="120" w:type="dxa"/>
            </w:tcMar>
            <w:shd w:fill="E8EEF5"/>
          </w:tcPr>
          <w:p>
            <w:pPr>
              <w:spacing w:before="0" w:after="60" w:line="264" w:lineRule="auto"/>
            </w:pPr>
            <w:r>
              <w:rPr>
                <w:rFonts w:ascii="Calibri" w:hAnsi="Calibri"/>
                <w:b/>
                <w:color w:val="1F4D78"/>
                <w:sz w:val="20"/>
              </w:rPr>
              <w:t>Prepared by</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20"/>
              </w:rPr>
              <w:t>Nicholas Yuwito</w:t>
            </w:r>
          </w:p>
        </w:tc>
      </w:tr>
      <w:tr>
        <w:tc>
          <w:tcPr>
            <w:tcW w:type="dxa" w:w="2300"/>
            <w:vAlign w:val="center"/>
            <w:tcMar>
              <w:top w:w="80" w:type="dxa"/>
              <w:start w:w="120" w:type="dxa"/>
              <w:bottom w:w="80" w:type="dxa"/>
              <w:end w:w="120" w:type="dxa"/>
            </w:tcMar>
            <w:shd w:fill="E8EEF5"/>
          </w:tcPr>
          <w:p>
            <w:pPr>
              <w:spacing w:before="0" w:after="60" w:line="264" w:lineRule="auto"/>
            </w:pPr>
            <w:r>
              <w:rPr>
                <w:rFonts w:ascii="Calibri" w:hAnsi="Calibri"/>
                <w:b/>
                <w:color w:val="1F4D78"/>
                <w:sz w:val="20"/>
              </w:rPr>
              <w:t>Institution</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20"/>
              </w:rPr>
              <w:t>Bina Nusantara University</w:t>
            </w:r>
          </w:p>
        </w:tc>
      </w:tr>
      <w:tr>
        <w:tc>
          <w:tcPr>
            <w:tcW w:type="dxa" w:w="2300"/>
            <w:vAlign w:val="center"/>
            <w:tcMar>
              <w:top w:w="80" w:type="dxa"/>
              <w:start w:w="120" w:type="dxa"/>
              <w:bottom w:w="80" w:type="dxa"/>
              <w:end w:w="120" w:type="dxa"/>
            </w:tcMar>
            <w:shd w:fill="E8EEF5"/>
          </w:tcPr>
          <w:p>
            <w:pPr>
              <w:spacing w:before="0" w:after="60" w:line="264" w:lineRule="auto"/>
            </w:pPr>
            <w:r>
              <w:rPr>
                <w:rFonts w:ascii="Calibri" w:hAnsi="Calibri"/>
                <w:b/>
                <w:color w:val="1F4D78"/>
                <w:sz w:val="20"/>
              </w:rPr>
              <w:t>Date</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20"/>
              </w:rPr>
              <w:t>June 23, 2026</w:t>
            </w:r>
          </w:p>
        </w:tc>
      </w:tr>
      <w:tr>
        <w:tc>
          <w:tcPr>
            <w:tcW w:type="dxa" w:w="2300"/>
            <w:vAlign w:val="center"/>
            <w:tcMar>
              <w:top w:w="80" w:type="dxa"/>
              <w:start w:w="120" w:type="dxa"/>
              <w:bottom w:w="80" w:type="dxa"/>
              <w:end w:w="120" w:type="dxa"/>
            </w:tcMar>
            <w:shd w:fill="E8EEF5"/>
          </w:tcPr>
          <w:p>
            <w:pPr>
              <w:spacing w:before="0" w:after="60" w:line="264" w:lineRule="auto"/>
            </w:pPr>
            <w:r>
              <w:rPr>
                <w:rFonts w:ascii="Calibri" w:hAnsi="Calibri"/>
                <w:b/>
                <w:color w:val="1F4D78"/>
                <w:sz w:val="20"/>
              </w:rPr>
              <w:t>Document status</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20"/>
              </w:rPr>
              <w:t>Draft for thesis appendix / supervisor review</w:t>
            </w:r>
          </w:p>
        </w:tc>
      </w:tr>
    </w:tbl>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vAlign w:val="center"/>
            <w:tcMar>
              <w:top w:w="80" w:type="dxa"/>
              <w:start w:w="120" w:type="dxa"/>
              <w:bottom w:w="80" w:type="dxa"/>
              <w:end w:w="120" w:type="dxa"/>
            </w:tcMar>
            <w:shd w:fill="F8FAFC"/>
          </w:tcPr>
          <w:p>
            <w:pPr>
              <w:spacing w:before="0" w:after="40" w:line="264" w:lineRule="auto"/>
            </w:pPr>
            <w:r>
              <w:rPr>
                <w:rFonts w:ascii="Calibri" w:hAnsi="Calibri"/>
                <w:b/>
                <w:color w:val="1F4D78"/>
                <w:sz w:val="20"/>
              </w:rPr>
              <w:t xml:space="preserve">Source basis: </w:t>
            </w:r>
            <w:r>
              <w:rPr>
                <w:rFonts w:ascii="Calibri" w:hAnsi="Calibri"/>
                <w:color w:val="1F2937"/>
                <w:sz w:val="20"/>
              </w:rPr>
              <w:t>This BRD is based on the thesis PDF reference and the current local MVP project documentation, code structure, Prisma schema, and documented user flows. It does not claim production readiness or full company-wide implementation.</w:t>
            </w:r>
          </w:p>
        </w:tc>
      </w:tr>
    </w:tbl>
    <w:p>
      <w:pPr>
        <w:spacing w:after="80"/>
      </w:pPr>
    </w:p>
    <w:p>
      <w:r>
        <w:br w:type="page"/>
      </w:r>
    </w:p>
    <w:p>
      <w:pPr>
        <w:pStyle w:val="Heading1"/>
      </w:pPr>
      <w:r>
        <w:t>Document Control</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00"/>
        <w:gridCol w:w="1800"/>
        <w:gridCol w:w="2100"/>
        <w:gridCol w:w="4260"/>
      </w:tblGrid>
      <w:tr>
        <w:trPr>
          <w:tblHeader w:val="true"/>
        </w:trPr>
        <w:tc>
          <w:tcPr>
            <w:tcW w:type="dxa" w:w="12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Version</w:t>
            </w:r>
          </w:p>
        </w:tc>
        <w:tc>
          <w:tcPr>
            <w:tcW w:type="dxa" w:w="18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Date</w:t>
            </w:r>
          </w:p>
        </w:tc>
        <w:tc>
          <w:tcPr>
            <w:tcW w:type="dxa" w:w="21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Author</w:t>
            </w:r>
          </w:p>
        </w:tc>
        <w:tc>
          <w:tcPr>
            <w:tcW w:type="dxa" w:w="42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Description</w:t>
            </w:r>
          </w:p>
        </w:tc>
      </w:tr>
      <w:tr>
        <w:tc>
          <w:tcPr>
            <w:tcW w:type="dxa" w:w="1200"/>
            <w:vAlign w:val="center"/>
            <w:tcMar>
              <w:top w:w="80" w:type="dxa"/>
              <w:start w:w="120" w:type="dxa"/>
              <w:bottom w:w="80" w:type="dxa"/>
              <w:end w:w="120" w:type="dxa"/>
            </w:tcMar>
          </w:tcPr>
          <w:p>
            <w:pPr>
              <w:spacing w:before="0" w:after="60" w:line="264" w:lineRule="auto"/>
            </w:pPr>
            <w:r>
              <w:rPr>
                <w:rFonts w:ascii="Calibri" w:hAnsi="Calibri"/>
                <w:b w:val="0"/>
                <w:color w:val="1F2937"/>
                <w:sz w:val="18"/>
              </w:rPr>
              <w:t>1.0</w:t>
            </w:r>
          </w:p>
        </w:tc>
        <w:tc>
          <w:tcPr>
            <w:tcW w:type="dxa" w:w="1800"/>
            <w:vAlign w:val="center"/>
            <w:tcMar>
              <w:top w:w="80" w:type="dxa"/>
              <w:start w:w="120" w:type="dxa"/>
              <w:bottom w:w="80" w:type="dxa"/>
              <w:end w:w="120" w:type="dxa"/>
            </w:tcMar>
          </w:tcPr>
          <w:p>
            <w:pPr>
              <w:spacing w:before="0" w:after="60" w:line="264" w:lineRule="auto"/>
            </w:pPr>
            <w:r>
              <w:rPr>
                <w:rFonts w:ascii="Calibri" w:hAnsi="Calibri"/>
                <w:b w:val="0"/>
                <w:color w:val="1F2937"/>
                <w:sz w:val="18"/>
              </w:rPr>
              <w:t>June 23, 2026</w:t>
            </w:r>
          </w:p>
        </w:tc>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8"/>
              </w:rPr>
              <w:t>Nicholas Yuwito</w:t>
            </w:r>
          </w:p>
        </w:tc>
        <w:tc>
          <w:tcPr>
            <w:tcW w:type="dxa" w:w="4260"/>
            <w:vAlign w:val="center"/>
            <w:tcMar>
              <w:top w:w="80" w:type="dxa"/>
              <w:start w:w="120" w:type="dxa"/>
              <w:bottom w:w="80" w:type="dxa"/>
              <w:end w:w="120" w:type="dxa"/>
            </w:tcMar>
          </w:tcPr>
          <w:p>
            <w:pPr>
              <w:spacing w:before="0" w:after="60" w:line="264" w:lineRule="auto"/>
            </w:pPr>
            <w:r>
              <w:rPr>
                <w:rFonts w:ascii="Calibri" w:hAnsi="Calibri"/>
                <w:b w:val="0"/>
                <w:color w:val="1F2937"/>
                <w:sz w:val="18"/>
              </w:rPr>
              <w:t>Initial BRD prepared for academic thesis documentation based on thesis source material and current MVP scope.</w:t>
            </w:r>
          </w:p>
        </w:tc>
      </w:tr>
    </w:tbl>
    <w:p>
      <w:pPr>
        <w:spacing w:after="120"/>
      </w:pPr>
    </w:p>
    <w:p>
      <w:pPr>
        <w:pStyle w:val="Heading1"/>
      </w:pPr>
      <w:r>
        <w:t>Executive Summary</w:t>
      </w:r>
    </w:p>
    <w:p>
      <w:pPr>
        <w:spacing w:before="0" w:after="120" w:line="264" w:lineRule="auto"/>
      </w:pPr>
      <w:r>
        <w:rPr>
          <w:rFonts w:ascii="Calibri" w:hAnsi="Calibri"/>
          <w:color w:val="1F2937"/>
          <w:sz w:val="22"/>
        </w:rPr>
        <w:t>This Business Requirements Document defines the business needs and requirements for a Revenue Cycle Information System for CV Tajuk. The project is an academic thesis/MVP initiative for a B2B textile/manufacturing UMKM and is intended to support analysis, design, and prototype evaluation rather than production deployment.</w:t>
      </w:r>
    </w:p>
    <w:p>
      <w:pPr>
        <w:spacing w:before="0" w:after="120" w:line="264" w:lineRule="auto"/>
      </w:pPr>
      <w:r>
        <w:rPr>
          <w:rFonts w:ascii="Calibri" w:hAnsi="Calibri"/>
          <w:color w:val="1F2937"/>
          <w:sz w:val="22"/>
        </w:rPr>
        <w:t>The thesis source describes CV Tajuk as a company whose revenue cycle still relies on a combination of WhatsApp, Microsoft Excel, physical documents, and a separate warehouse stock management system. This creates scattered customer and transaction data, informal sales-order handling, limited payment and receivable visibility, and follow-up activities that are not consistently documented.</w:t>
      </w:r>
    </w:p>
    <w:p>
      <w:pPr>
        <w:spacing w:before="0" w:after="120" w:line="264" w:lineRule="auto"/>
      </w:pPr>
      <w:r>
        <w:rPr>
          <w:rFonts w:ascii="Calibri" w:hAnsi="Calibri"/>
          <w:color w:val="1F2937"/>
          <w:sz w:val="22"/>
        </w:rPr>
        <w:t>The proposed system supports a more centralized and structured revenue-cycle flow covering customer data, sales orders, invoices, payments, receivables, billing/follow-up activity, Surat Jalan delivery documentation, dashboard insight, and audit trail evidence. The requirements in this BRD are intentionally scoped to a local academic prototype and avoid enterprise-level assumptions.</w:t>
      </w:r>
    </w:p>
    <w:p>
      <w:pPr>
        <w:pStyle w:val="Heading1"/>
      </w:pPr>
      <w:r>
        <w:t>Company Profile</w:t>
      </w:r>
    </w:p>
    <w:p>
      <w:pPr>
        <w:spacing w:before="0" w:after="120" w:line="264" w:lineRule="auto"/>
      </w:pPr>
      <w:r>
        <w:rPr>
          <w:rFonts w:ascii="Calibri" w:hAnsi="Calibri"/>
          <w:color w:val="1F2937"/>
          <w:sz w:val="22"/>
        </w:rPr>
        <w:t>CV Tajuk is identified in the thesis as a B2B manufacturing company engaged in the production of mats, mattresses, floor coverings, and other textile products. The thesis states that CV Tajuk was established in 1999 by Muhammad Taufik and has developed its operational recording practices from manual books toward computer-based tools such as Microsoft Excel and a custom warehouse stock management system.</w:t>
      </w:r>
    </w:p>
    <w:p>
      <w:pPr>
        <w:spacing w:before="0" w:after="120" w:line="264" w:lineRule="auto"/>
      </w:pPr>
      <w:r>
        <w:rPr>
          <w:rFonts w:ascii="Calibri" w:hAnsi="Calibri"/>
          <w:color w:val="1F2937"/>
          <w:sz w:val="22"/>
        </w:rPr>
        <w:t>The thesis describes the company's revenue-cycle focus as sales, customer data recording, transaction recording, sales documents, payment monitoring, receivables management, and customer follow-up. The existing technology use is therefore not absent, but it remains limited because the stock system is not integrated with broader revenue-cycle activities such as sales orders, invoice handling, delivery documents, payment monitoring, and billing follow-up.</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00"/>
        <w:gridCol w:w="7260"/>
      </w:tblGrid>
      <w:tr>
        <w:trPr>
          <w:tblHeader w:val="true"/>
        </w:trPr>
        <w:tc>
          <w:tcPr>
            <w:tcW w:type="dxa" w:w="21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Company attribute</w:t>
            </w:r>
          </w:p>
        </w:tc>
        <w:tc>
          <w:tcPr>
            <w:tcW w:type="dxa" w:w="72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Information supported by thesis source</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8"/>
              </w:rPr>
              <w:t>Organization</w:t>
            </w:r>
          </w:p>
        </w:tc>
        <w:tc>
          <w:tcPr>
            <w:tcW w:type="dxa" w:w="7260"/>
            <w:vAlign w:val="center"/>
            <w:tcMar>
              <w:top w:w="80" w:type="dxa"/>
              <w:start w:w="120" w:type="dxa"/>
              <w:bottom w:w="80" w:type="dxa"/>
              <w:end w:w="120" w:type="dxa"/>
            </w:tcMar>
          </w:tcPr>
          <w:p>
            <w:pPr>
              <w:spacing w:before="0" w:after="60" w:line="264" w:lineRule="auto"/>
            </w:pPr>
            <w:r>
              <w:rPr>
                <w:rFonts w:ascii="Calibri" w:hAnsi="Calibri"/>
                <w:b w:val="0"/>
                <w:color w:val="1F2937"/>
                <w:sz w:val="18"/>
              </w:rPr>
              <w:t>CV Tajuk</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8"/>
              </w:rPr>
              <w:t>Business type</w:t>
            </w:r>
          </w:p>
        </w:tc>
        <w:tc>
          <w:tcPr>
            <w:tcW w:type="dxa" w:w="7260"/>
            <w:vAlign w:val="center"/>
            <w:tcMar>
              <w:top w:w="80" w:type="dxa"/>
              <w:start w:w="120" w:type="dxa"/>
              <w:bottom w:w="80" w:type="dxa"/>
              <w:end w:w="120" w:type="dxa"/>
            </w:tcMar>
          </w:tcPr>
          <w:p>
            <w:pPr>
              <w:spacing w:before="0" w:after="60" w:line="264" w:lineRule="auto"/>
            </w:pPr>
            <w:r>
              <w:rPr>
                <w:rFonts w:ascii="Calibri" w:hAnsi="Calibri"/>
                <w:b w:val="0"/>
                <w:color w:val="1F2937"/>
                <w:sz w:val="18"/>
              </w:rPr>
              <w:t>B2B textile/manufacturing UMKM</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8"/>
              </w:rPr>
              <w:t>Products mentioned</w:t>
            </w:r>
          </w:p>
        </w:tc>
        <w:tc>
          <w:tcPr>
            <w:tcW w:type="dxa" w:w="7260"/>
            <w:vAlign w:val="center"/>
            <w:tcMar>
              <w:top w:w="80" w:type="dxa"/>
              <w:start w:w="120" w:type="dxa"/>
              <w:bottom w:w="80" w:type="dxa"/>
              <w:end w:w="120" w:type="dxa"/>
            </w:tcMar>
          </w:tcPr>
          <w:p>
            <w:pPr>
              <w:spacing w:before="0" w:after="60" w:line="264" w:lineRule="auto"/>
            </w:pPr>
            <w:r>
              <w:rPr>
                <w:rFonts w:ascii="Calibri" w:hAnsi="Calibri"/>
                <w:b w:val="0"/>
                <w:color w:val="1F2937"/>
                <w:sz w:val="18"/>
              </w:rPr>
              <w:t>Mats, mattresses, floor coverings, and other textile products</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8"/>
              </w:rPr>
              <w:t>Established</w:t>
            </w:r>
          </w:p>
        </w:tc>
        <w:tc>
          <w:tcPr>
            <w:tcW w:type="dxa" w:w="7260"/>
            <w:vAlign w:val="center"/>
            <w:tcMar>
              <w:top w:w="80" w:type="dxa"/>
              <w:start w:w="120" w:type="dxa"/>
              <w:bottom w:w="80" w:type="dxa"/>
              <w:end w:w="120" w:type="dxa"/>
            </w:tcMar>
          </w:tcPr>
          <w:p>
            <w:pPr>
              <w:spacing w:before="0" w:after="60" w:line="264" w:lineRule="auto"/>
            </w:pPr>
            <w:r>
              <w:rPr>
                <w:rFonts w:ascii="Calibri" w:hAnsi="Calibri"/>
                <w:b w:val="0"/>
                <w:color w:val="1F2937"/>
                <w:sz w:val="18"/>
              </w:rPr>
              <w:t>1999</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8"/>
              </w:rPr>
              <w:t>Founder</w:t>
            </w:r>
          </w:p>
        </w:tc>
        <w:tc>
          <w:tcPr>
            <w:tcW w:type="dxa" w:w="7260"/>
            <w:vAlign w:val="center"/>
            <w:tcMar>
              <w:top w:w="80" w:type="dxa"/>
              <w:start w:w="120" w:type="dxa"/>
              <w:bottom w:w="80" w:type="dxa"/>
              <w:end w:w="120" w:type="dxa"/>
            </w:tcMar>
          </w:tcPr>
          <w:p>
            <w:pPr>
              <w:spacing w:before="0" w:after="60" w:line="264" w:lineRule="auto"/>
            </w:pPr>
            <w:r>
              <w:rPr>
                <w:rFonts w:ascii="Calibri" w:hAnsi="Calibri"/>
                <w:b w:val="0"/>
                <w:color w:val="1F2937"/>
                <w:sz w:val="18"/>
              </w:rPr>
              <w:t>Muhammad Taufik</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8"/>
              </w:rPr>
              <w:t>Location</w:t>
            </w:r>
          </w:p>
        </w:tc>
        <w:tc>
          <w:tcPr>
            <w:tcW w:type="dxa" w:w="7260"/>
            <w:vAlign w:val="center"/>
            <w:tcMar>
              <w:top w:w="80" w:type="dxa"/>
              <w:start w:w="120" w:type="dxa"/>
              <w:bottom w:w="80" w:type="dxa"/>
              <w:end w:w="120" w:type="dxa"/>
            </w:tcMar>
          </w:tcPr>
          <w:p>
            <w:pPr>
              <w:spacing w:before="0" w:after="60" w:line="264" w:lineRule="auto"/>
            </w:pPr>
            <w:r>
              <w:rPr>
                <w:rFonts w:ascii="Calibri" w:hAnsi="Calibri"/>
                <w:b w:val="0"/>
                <w:color w:val="1F2937"/>
                <w:sz w:val="18"/>
              </w:rPr>
              <w:t>Komplek Bangunan, Jalan Komplek Multi Guna, Jalan Raya Serpong KM 7 No. 2, Pakualam, Kecamatan Serpong Utara, Kota Tangerang Selatan, Banten 15320</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8"/>
              </w:rPr>
              <w:t>Operating hours</w:t>
            </w:r>
          </w:p>
        </w:tc>
        <w:tc>
          <w:tcPr>
            <w:tcW w:type="dxa" w:w="7260"/>
            <w:vAlign w:val="center"/>
            <w:tcMar>
              <w:top w:w="80" w:type="dxa"/>
              <w:start w:w="120" w:type="dxa"/>
              <w:bottom w:w="80" w:type="dxa"/>
              <w:end w:w="120" w:type="dxa"/>
            </w:tcMar>
          </w:tcPr>
          <w:p>
            <w:pPr>
              <w:spacing w:before="0" w:after="60" w:line="264" w:lineRule="auto"/>
            </w:pPr>
            <w:r>
              <w:rPr>
                <w:rFonts w:ascii="Calibri" w:hAnsi="Calibri"/>
                <w:b w:val="0"/>
                <w:color w:val="1F2937"/>
                <w:sz w:val="18"/>
              </w:rPr>
              <w:t>08.30 to 16.30 WIB</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8"/>
              </w:rPr>
              <w:t>Technology currently mentioned</w:t>
            </w:r>
          </w:p>
        </w:tc>
        <w:tc>
          <w:tcPr>
            <w:tcW w:type="dxa" w:w="7260"/>
            <w:vAlign w:val="center"/>
            <w:tcMar>
              <w:top w:w="80" w:type="dxa"/>
              <w:start w:w="120" w:type="dxa"/>
              <w:bottom w:w="80" w:type="dxa"/>
              <w:end w:w="120" w:type="dxa"/>
            </w:tcMar>
          </w:tcPr>
          <w:p>
            <w:pPr>
              <w:spacing w:before="0" w:after="60" w:line="264" w:lineRule="auto"/>
            </w:pPr>
            <w:r>
              <w:rPr>
                <w:rFonts w:ascii="Calibri" w:hAnsi="Calibri"/>
                <w:b w:val="0"/>
                <w:color w:val="1F2937"/>
                <w:sz w:val="18"/>
              </w:rPr>
              <w:t>Microsoft Excel and a warehouse stock management system; WhatsApp and physical documents are also used in revenue-cycle work</w:t>
            </w:r>
          </w:p>
        </w:tc>
      </w:tr>
    </w:tbl>
    <w:p>
      <w:pPr>
        <w:spacing w:after="120"/>
      </w:pPr>
    </w:p>
    <w:p>
      <w:pPr>
        <w:spacing w:before="0" w:after="120" w:line="264" w:lineRule="auto"/>
      </w:pPr>
      <w:r>
        <w:rPr>
          <w:rFonts w:ascii="Calibri" w:hAnsi="Calibri"/>
          <w:color w:val="1F2937"/>
          <w:sz w:val="22"/>
        </w:rPr>
        <w:t>The thesis records the company vision as becoming an adaptive and competitive textile manufacturing company through product quality development and the use of information technology. The mission is described as continuous operational development and innovation to improve efficiency, service quality, and business sustainability.</w:t>
      </w:r>
    </w:p>
    <w:p>
      <w:pPr>
        <w:pStyle w:val="Heading1"/>
      </w:pPr>
      <w:r>
        <w:t>Business Background</w:t>
      </w:r>
    </w:p>
    <w:p>
      <w:pPr>
        <w:spacing w:before="0" w:after="120" w:line="264" w:lineRule="auto"/>
      </w:pPr>
      <w:r>
        <w:rPr>
          <w:rFonts w:ascii="Calibri" w:hAnsi="Calibri"/>
          <w:color w:val="1F2937"/>
          <w:sz w:val="22"/>
        </w:rPr>
        <w:t>The revenue cycle is important to CV Tajuk because it is directly related to the process of receiving customer orders, delivering goods, issuing invoices, monitoring receivables, collecting payments, and following up with customers. The thesis describes the current condition as semi-manual and dispersed across multiple media.</w:t>
      </w:r>
    </w:p>
    <w:p>
      <w:pPr>
        <w:spacing w:before="0" w:after="120" w:line="264" w:lineRule="auto"/>
      </w:pPr>
      <w:r>
        <w:rPr>
          <w:rFonts w:ascii="Calibri" w:hAnsi="Calibri"/>
          <w:color w:val="1F2937"/>
          <w:sz w:val="22"/>
        </w:rPr>
        <w:t>The current MVP responds to this background by using Sales Order as the starting transaction record and reusing connected data through Invoice, Payment, Surat Jalan, Receivable, Billing, Follow Up, Dashboard, and Audit Trail modules. This reflects the thesis direction of reducing repeated manual input and improving visibility without assuming a full ERP implementation.</w:t>
      </w:r>
    </w:p>
    <w:p>
      <w:pPr>
        <w:pStyle w:val="Heading1"/>
      </w:pPr>
      <w:r>
        <w:t>Business Problem Statement</w:t>
      </w:r>
    </w:p>
    <w:p>
      <w:pPr>
        <w:spacing w:before="0" w:after="120" w:line="264" w:lineRule="auto"/>
      </w:pPr>
      <w:r>
        <w:rPr>
          <w:rFonts w:ascii="Calibri" w:hAnsi="Calibri"/>
          <w:color w:val="1F2937"/>
          <w:sz w:val="22"/>
        </w:rPr>
        <w:t>Based on the thesis and current project documentation, the main business problem is that CV Tajuk requires a more structured and centralized way to manage revenue-cycle information. Existing practices depend on semi-manual communication and recording channels, which can limit data consistency, process traceability, and managerial visibility.</w:t>
      </w:r>
    </w:p>
    <w:p>
      <w:pPr>
        <w:pStyle w:val="ListBullet"/>
        <w:spacing w:after="80" w:line="280" w:lineRule="auto"/>
        <w:ind w:left="720" w:hanging="360"/>
      </w:pPr>
      <w:r>
        <w:rPr>
          <w:rFonts w:ascii="Calibri" w:hAnsi="Calibri"/>
          <w:color w:val="1F2937"/>
          <w:sz w:val="21"/>
        </w:rPr>
        <w:t>Customer and transaction records are not fully centralized across the revenue-cycle process.</w:t>
      </w:r>
    </w:p>
    <w:p>
      <w:pPr>
        <w:pStyle w:val="ListBullet"/>
        <w:spacing w:after="80" w:line="280" w:lineRule="auto"/>
        <w:ind w:left="720" w:hanging="360"/>
      </w:pPr>
      <w:r>
        <w:rPr>
          <w:rFonts w:ascii="Calibri" w:hAnsi="Calibri"/>
          <w:color w:val="1F2937"/>
          <w:sz w:val="21"/>
        </w:rPr>
        <w:t>Sales order processing is not yet standardized through a formal written SOP in the thesis context.</w:t>
      </w:r>
    </w:p>
    <w:p>
      <w:pPr>
        <w:pStyle w:val="ListBullet"/>
        <w:spacing w:after="80" w:line="280" w:lineRule="auto"/>
        <w:ind w:left="720" w:hanging="360"/>
      </w:pPr>
      <w:r>
        <w:rPr>
          <w:rFonts w:ascii="Calibri" w:hAnsi="Calibri"/>
          <w:color w:val="1F2937"/>
          <w:sz w:val="21"/>
        </w:rPr>
        <w:t>Payment and receivable status are not easy to monitor systematically when records are scattered.</w:t>
      </w:r>
    </w:p>
    <w:p>
      <w:pPr>
        <w:pStyle w:val="ListBullet"/>
        <w:spacing w:after="80" w:line="280" w:lineRule="auto"/>
        <w:ind w:left="720" w:hanging="360"/>
      </w:pPr>
      <w:r>
        <w:rPr>
          <w:rFonts w:ascii="Calibri" w:hAnsi="Calibri"/>
          <w:color w:val="1F2937"/>
          <w:sz w:val="21"/>
        </w:rPr>
        <w:t>Follow-up and billing activities may depend on manual communication and memory rather than a structured log.</w:t>
      </w:r>
    </w:p>
    <w:p>
      <w:pPr>
        <w:pStyle w:val="ListBullet"/>
        <w:spacing w:after="80" w:line="280" w:lineRule="auto"/>
        <w:ind w:left="720" w:hanging="360"/>
      </w:pPr>
      <w:r>
        <w:rPr>
          <w:rFonts w:ascii="Calibri" w:hAnsi="Calibri"/>
          <w:color w:val="1F2937"/>
          <w:sz w:val="21"/>
        </w:rPr>
        <w:t>Management visibility over sales performance, product trends, receivables, and customer behavior is limited without a centralized dashboard.</w:t>
      </w:r>
    </w:p>
    <w:p>
      <w:pPr>
        <w:pStyle w:val="Heading1"/>
      </w:pPr>
      <w:r>
        <w:t>Project Objectives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00"/>
        <w:gridCol w:w="7860"/>
      </w:tblGrid>
      <w:tr>
        <w:trPr>
          <w:tblHeader w:val="true"/>
        </w:trPr>
        <w:tc>
          <w:tcPr>
            <w:tcW w:type="dxa" w:w="15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Objective ID</w:t>
            </w:r>
          </w:p>
        </w:tc>
        <w:tc>
          <w:tcPr>
            <w:tcW w:type="dxa" w:w="78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Objective</w:t>
            </w:r>
          </w:p>
        </w:tc>
      </w:tr>
      <w:tr>
        <w:tc>
          <w:tcPr>
            <w:tcW w:type="dxa" w:w="1500"/>
            <w:vAlign w:val="center"/>
            <w:tcMar>
              <w:top w:w="80" w:type="dxa"/>
              <w:start w:w="120" w:type="dxa"/>
              <w:bottom w:w="80" w:type="dxa"/>
              <w:end w:w="120" w:type="dxa"/>
            </w:tcMar>
          </w:tcPr>
          <w:p>
            <w:pPr>
              <w:spacing w:before="0" w:after="60" w:line="264" w:lineRule="auto"/>
            </w:pPr>
            <w:r>
              <w:rPr>
                <w:rFonts w:ascii="Calibri" w:hAnsi="Calibri"/>
                <w:b w:val="0"/>
                <w:color w:val="1F2937"/>
                <w:sz w:val="18"/>
              </w:rPr>
              <w:t>OBJ-001</w:t>
            </w:r>
          </w:p>
        </w:tc>
        <w:tc>
          <w:tcPr>
            <w:tcW w:type="dxa" w:w="7860"/>
            <w:vAlign w:val="center"/>
            <w:tcMar>
              <w:top w:w="80" w:type="dxa"/>
              <w:start w:w="120" w:type="dxa"/>
              <w:bottom w:w="80" w:type="dxa"/>
              <w:end w:w="120" w:type="dxa"/>
            </w:tcMar>
          </w:tcPr>
          <w:p>
            <w:pPr>
              <w:spacing w:before="0" w:after="60" w:line="264" w:lineRule="auto"/>
            </w:pPr>
            <w:r>
              <w:rPr>
                <w:rFonts w:ascii="Calibri" w:hAnsi="Calibri"/>
                <w:b w:val="0"/>
                <w:color w:val="1F2937"/>
                <w:sz w:val="18"/>
              </w:rPr>
              <w:t>Centralize customer, sales order, invoice, payment, receivable, delivery, and follow-up information within the academic MVP scope.</w:t>
            </w:r>
          </w:p>
        </w:tc>
      </w:tr>
      <w:tr>
        <w:tc>
          <w:tcPr>
            <w:tcW w:type="dxa" w:w="1500"/>
            <w:vAlign w:val="center"/>
            <w:tcMar>
              <w:top w:w="80" w:type="dxa"/>
              <w:start w:w="120" w:type="dxa"/>
              <w:bottom w:w="80" w:type="dxa"/>
              <w:end w:w="120" w:type="dxa"/>
            </w:tcMar>
          </w:tcPr>
          <w:p>
            <w:pPr>
              <w:spacing w:before="0" w:after="60" w:line="264" w:lineRule="auto"/>
            </w:pPr>
            <w:r>
              <w:rPr>
                <w:rFonts w:ascii="Calibri" w:hAnsi="Calibri"/>
                <w:b w:val="0"/>
                <w:color w:val="1F2937"/>
                <w:sz w:val="18"/>
              </w:rPr>
              <w:t>OBJ-002</w:t>
            </w:r>
          </w:p>
        </w:tc>
        <w:tc>
          <w:tcPr>
            <w:tcW w:type="dxa" w:w="7860"/>
            <w:vAlign w:val="center"/>
            <w:tcMar>
              <w:top w:w="80" w:type="dxa"/>
              <w:start w:w="120" w:type="dxa"/>
              <w:bottom w:w="80" w:type="dxa"/>
              <w:end w:w="120" w:type="dxa"/>
            </w:tcMar>
          </w:tcPr>
          <w:p>
            <w:pPr>
              <w:spacing w:before="0" w:after="60" w:line="264" w:lineRule="auto"/>
            </w:pPr>
            <w:r>
              <w:rPr>
                <w:rFonts w:ascii="Calibri" w:hAnsi="Calibri"/>
                <w:b w:val="0"/>
                <w:color w:val="1F2937"/>
                <w:sz w:val="18"/>
              </w:rPr>
              <w:t>Standardize the sales-order-to-invoice process so transaction records can be traced more consistently.</w:t>
            </w:r>
          </w:p>
        </w:tc>
      </w:tr>
      <w:tr>
        <w:tc>
          <w:tcPr>
            <w:tcW w:type="dxa" w:w="1500"/>
            <w:vAlign w:val="center"/>
            <w:tcMar>
              <w:top w:w="80" w:type="dxa"/>
              <w:start w:w="120" w:type="dxa"/>
              <w:bottom w:w="80" w:type="dxa"/>
              <w:end w:w="120" w:type="dxa"/>
            </w:tcMar>
          </w:tcPr>
          <w:p>
            <w:pPr>
              <w:spacing w:before="0" w:after="60" w:line="264" w:lineRule="auto"/>
            </w:pPr>
            <w:r>
              <w:rPr>
                <w:rFonts w:ascii="Calibri" w:hAnsi="Calibri"/>
                <w:b w:val="0"/>
                <w:color w:val="1F2937"/>
                <w:sz w:val="18"/>
              </w:rPr>
              <w:t>OBJ-003</w:t>
            </w:r>
          </w:p>
        </w:tc>
        <w:tc>
          <w:tcPr>
            <w:tcW w:type="dxa" w:w="7860"/>
            <w:vAlign w:val="center"/>
            <w:tcMar>
              <w:top w:w="80" w:type="dxa"/>
              <w:start w:w="120" w:type="dxa"/>
              <w:bottom w:w="80" w:type="dxa"/>
              <w:end w:w="120" w:type="dxa"/>
            </w:tcMar>
          </w:tcPr>
          <w:p>
            <w:pPr>
              <w:spacing w:before="0" w:after="60" w:line="264" w:lineRule="auto"/>
            </w:pPr>
            <w:r>
              <w:rPr>
                <w:rFonts w:ascii="Calibri" w:hAnsi="Calibri"/>
                <w:b w:val="0"/>
                <w:color w:val="1F2937"/>
                <w:sz w:val="18"/>
              </w:rPr>
              <w:t>Improve monitoring of invoice status, payment status, outstanding receivables, billing tasks, and customer follow-up.</w:t>
            </w:r>
          </w:p>
        </w:tc>
      </w:tr>
      <w:tr>
        <w:tc>
          <w:tcPr>
            <w:tcW w:type="dxa" w:w="1500"/>
            <w:vAlign w:val="center"/>
            <w:tcMar>
              <w:top w:w="80" w:type="dxa"/>
              <w:start w:w="120" w:type="dxa"/>
              <w:bottom w:w="80" w:type="dxa"/>
              <w:end w:w="120" w:type="dxa"/>
            </w:tcMar>
          </w:tcPr>
          <w:p>
            <w:pPr>
              <w:spacing w:before="0" w:after="60" w:line="264" w:lineRule="auto"/>
            </w:pPr>
            <w:r>
              <w:rPr>
                <w:rFonts w:ascii="Calibri" w:hAnsi="Calibri"/>
                <w:b w:val="0"/>
                <w:color w:val="1F2937"/>
                <w:sz w:val="18"/>
              </w:rPr>
              <w:t>OBJ-004</w:t>
            </w:r>
          </w:p>
        </w:tc>
        <w:tc>
          <w:tcPr>
            <w:tcW w:type="dxa" w:w="7860"/>
            <w:vAlign w:val="center"/>
            <w:tcMar>
              <w:top w:w="80" w:type="dxa"/>
              <w:start w:w="120" w:type="dxa"/>
              <w:bottom w:w="80" w:type="dxa"/>
              <w:end w:w="120" w:type="dxa"/>
            </w:tcMar>
          </w:tcPr>
          <w:p>
            <w:pPr>
              <w:spacing w:before="0" w:after="60" w:line="264" w:lineRule="auto"/>
            </w:pPr>
            <w:r>
              <w:rPr>
                <w:rFonts w:ascii="Calibri" w:hAnsi="Calibri"/>
                <w:b w:val="0"/>
                <w:color w:val="1F2937"/>
                <w:sz w:val="18"/>
              </w:rPr>
              <w:t>Support role-appropriate workflows for Manager, Admin, and Sales users in the local prototype.</w:t>
            </w:r>
          </w:p>
        </w:tc>
      </w:tr>
      <w:tr>
        <w:tc>
          <w:tcPr>
            <w:tcW w:type="dxa" w:w="1500"/>
            <w:vAlign w:val="center"/>
            <w:tcMar>
              <w:top w:w="80" w:type="dxa"/>
              <w:start w:w="120" w:type="dxa"/>
              <w:bottom w:w="80" w:type="dxa"/>
              <w:end w:w="120" w:type="dxa"/>
            </w:tcMar>
          </w:tcPr>
          <w:p>
            <w:pPr>
              <w:spacing w:before="0" w:after="60" w:line="264" w:lineRule="auto"/>
            </w:pPr>
            <w:r>
              <w:rPr>
                <w:rFonts w:ascii="Calibri" w:hAnsi="Calibri"/>
                <w:b w:val="0"/>
                <w:color w:val="1F2937"/>
                <w:sz w:val="18"/>
              </w:rPr>
              <w:t>OBJ-005</w:t>
            </w:r>
          </w:p>
        </w:tc>
        <w:tc>
          <w:tcPr>
            <w:tcW w:type="dxa" w:w="7860"/>
            <w:vAlign w:val="center"/>
            <w:tcMar>
              <w:top w:w="80" w:type="dxa"/>
              <w:start w:w="120" w:type="dxa"/>
              <w:bottom w:w="80" w:type="dxa"/>
              <w:end w:w="120" w:type="dxa"/>
            </w:tcMar>
          </w:tcPr>
          <w:p>
            <w:pPr>
              <w:spacing w:before="0" w:after="60" w:line="264" w:lineRule="auto"/>
            </w:pPr>
            <w:r>
              <w:rPr>
                <w:rFonts w:ascii="Calibri" w:hAnsi="Calibri"/>
                <w:b w:val="0"/>
                <w:color w:val="1F2937"/>
                <w:sz w:val="18"/>
              </w:rPr>
              <w:t>Provide dashboard and customer insight features that help support academic evaluation of revenue-cycle visibility.</w:t>
            </w:r>
          </w:p>
        </w:tc>
      </w:tr>
      <w:tr>
        <w:tc>
          <w:tcPr>
            <w:tcW w:type="dxa" w:w="1500"/>
            <w:vAlign w:val="center"/>
            <w:tcMar>
              <w:top w:w="80" w:type="dxa"/>
              <w:start w:w="120" w:type="dxa"/>
              <w:bottom w:w="80" w:type="dxa"/>
              <w:end w:w="120" w:type="dxa"/>
            </w:tcMar>
          </w:tcPr>
          <w:p>
            <w:pPr>
              <w:spacing w:before="0" w:after="60" w:line="264" w:lineRule="auto"/>
            </w:pPr>
            <w:r>
              <w:rPr>
                <w:rFonts w:ascii="Calibri" w:hAnsi="Calibri"/>
                <w:b w:val="0"/>
                <w:color w:val="1F2937"/>
                <w:sz w:val="18"/>
              </w:rPr>
              <w:t>OBJ-006</w:t>
            </w:r>
          </w:p>
        </w:tc>
        <w:tc>
          <w:tcPr>
            <w:tcW w:type="dxa" w:w="7860"/>
            <w:vAlign w:val="center"/>
            <w:tcMar>
              <w:top w:w="80" w:type="dxa"/>
              <w:start w:w="120" w:type="dxa"/>
              <w:bottom w:w="80" w:type="dxa"/>
              <w:end w:w="120" w:type="dxa"/>
            </w:tcMar>
          </w:tcPr>
          <w:p>
            <w:pPr>
              <w:spacing w:before="0" w:after="60" w:line="264" w:lineRule="auto"/>
            </w:pPr>
            <w:r>
              <w:rPr>
                <w:rFonts w:ascii="Calibri" w:hAnsi="Calibri"/>
                <w:b w:val="0"/>
                <w:color w:val="1F2937"/>
                <w:sz w:val="18"/>
              </w:rPr>
              <w:t>Preserve audit evidence for important business actions performed in the system.</w:t>
            </w:r>
          </w:p>
        </w:tc>
      </w:tr>
    </w:tbl>
    <w:p>
      <w:pPr>
        <w:spacing w:after="120"/>
      </w:pPr>
    </w:p>
    <w:p>
      <w:pPr>
        <w:pStyle w:val="Heading1"/>
      </w:pPr>
      <w:r>
        <w:t>Project Scope</w:t>
      </w:r>
    </w:p>
    <w:p>
      <w:pPr>
        <w:pStyle w:val="Heading2"/>
      </w:pPr>
      <w:r>
        <w:t>In Scope</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600"/>
        <w:gridCol w:w="6760"/>
      </w:tblGrid>
      <w:tr>
        <w:trPr>
          <w:tblHeader w:val="true"/>
        </w:trPr>
        <w:tc>
          <w:tcPr>
            <w:tcW w:type="dxa" w:w="26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Scope item</w:t>
            </w:r>
          </w:p>
        </w:tc>
        <w:tc>
          <w:tcPr>
            <w:tcW w:type="dxa" w:w="67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Description</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Customer data management</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Create, view, search, categorize, and review customer transaction history.</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Sales order management</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Create and manage sales orders, order items, payment terms, approval status, and transaction progress.</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Invoice management</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Generate and review invoices from eligible sales orders, including invoice status and due date handling.</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Payment recording</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Record payments against invoices and update paid and remaining amounts.</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Receivable monitoring</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Display unpaid, partial, overdue, and paid receivable conditions derived from invoice/payment data.</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Billing and follow-up</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Record collection-related billing tasks and product/customer follow-up activity.</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Surat Jalan</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Create, manage, and print delivery note documents where allowed by transaction rules.</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Dashboard and insights</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Show role-specific dashboard summaries, customer categories, payment risk, popular products, and attention items.</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Audit trail</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Record important changes and actions for academic traceability.</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Local account roles</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Support local Manager, Admin, and Sales demo accounts with basic role restrictions.</w:t>
            </w:r>
          </w:p>
        </w:tc>
      </w:tr>
    </w:tbl>
    <w:p>
      <w:pPr>
        <w:spacing w:after="120"/>
      </w:pPr>
    </w:p>
    <w:p>
      <w:pPr>
        <w:pStyle w:val="Heading2"/>
      </w:pPr>
      <w:r>
        <w:t>Out of Scope</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600"/>
        <w:gridCol w:w="6760"/>
      </w:tblGrid>
      <w:tr>
        <w:trPr>
          <w:tblHeader w:val="true"/>
        </w:trPr>
        <w:tc>
          <w:tcPr>
            <w:tcW w:type="dxa" w:w="26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Out-of-scope item</w:t>
            </w:r>
          </w:p>
        </w:tc>
        <w:tc>
          <w:tcPr>
            <w:tcW w:type="dxa" w:w="67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Reason</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Production deployment</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project is a local thesis/MVP implementation and is not claimed as production-ready.</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External system integration</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current scope does not include bank, logistics, ERP, e-commerce, or accounting-system integration.</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Online payment gateway</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Payments are recorded manually in the prototype.</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Full accounting system</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General ledger, journal entries, tax accounting, and complete financial statements are outside scope.</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Inventory and warehouse operations</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Surat Jalan module supports delivery documentation only and does not move stock.</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Mobile application</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is responsive web-based but does not include a native mobile app.</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Advanced role administration</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Basic local roles are supported; complex enterprise permission administration is outside scope.</w:t>
            </w:r>
          </w:p>
        </w:tc>
      </w:tr>
    </w:tbl>
    <w:p>
      <w:pPr>
        <w:spacing w:after="120"/>
      </w:pPr>
    </w:p>
    <w:p>
      <w:pPr>
        <w:pStyle w:val="Heading1"/>
      </w:pPr>
      <w:r>
        <w:t>Stakeholders and User Roles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00"/>
        <w:gridCol w:w="3650"/>
        <w:gridCol w:w="3610"/>
      </w:tblGrid>
      <w:tr>
        <w:trPr>
          <w:tblHeader w:val="true"/>
        </w:trPr>
        <w:tc>
          <w:tcPr>
            <w:tcW w:type="dxa" w:w="21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Role / stakeholder</w:t>
            </w:r>
          </w:p>
        </w:tc>
        <w:tc>
          <w:tcPr>
            <w:tcW w:type="dxa" w:w="365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Responsibility in business process</w:t>
            </w:r>
          </w:p>
        </w:tc>
        <w:tc>
          <w:tcPr>
            <w:tcW w:type="dxa" w:w="361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System responsibility in MVP</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7"/>
              </w:rPr>
              <w:t>General Manager / Manager</w:t>
            </w:r>
          </w:p>
        </w:tc>
        <w:tc>
          <w:tcPr>
            <w:tcW w:type="dxa" w:w="3650"/>
            <w:vAlign w:val="center"/>
            <w:tcMar>
              <w:top w:w="80" w:type="dxa"/>
              <w:start w:w="120" w:type="dxa"/>
              <w:bottom w:w="80" w:type="dxa"/>
              <w:end w:w="120" w:type="dxa"/>
            </w:tcMar>
          </w:tcPr>
          <w:p>
            <w:pPr>
              <w:spacing w:before="0" w:after="60" w:line="264" w:lineRule="auto"/>
            </w:pPr>
            <w:r>
              <w:rPr>
                <w:rFonts w:ascii="Calibri" w:hAnsi="Calibri"/>
                <w:b w:val="0"/>
                <w:color w:val="1F2937"/>
                <w:sz w:val="17"/>
              </w:rPr>
              <w:t>Reviews end-to-end revenue-cycle condition and makes higher-level business decisions.</w:t>
            </w:r>
          </w:p>
        </w:tc>
        <w:tc>
          <w:tcPr>
            <w:tcW w:type="dxa" w:w="3610"/>
            <w:vAlign w:val="center"/>
            <w:tcMar>
              <w:top w:w="80" w:type="dxa"/>
              <w:start w:w="120" w:type="dxa"/>
              <w:bottom w:w="80" w:type="dxa"/>
              <w:end w:w="120" w:type="dxa"/>
            </w:tcMar>
          </w:tcPr>
          <w:p>
            <w:pPr>
              <w:spacing w:before="0" w:after="60" w:line="264" w:lineRule="auto"/>
            </w:pPr>
            <w:r>
              <w:rPr>
                <w:rFonts w:ascii="Calibri" w:hAnsi="Calibri"/>
                <w:b w:val="0"/>
                <w:color w:val="1F2937"/>
                <w:sz w:val="17"/>
              </w:rPr>
              <w:t>Can use all current features, review dashboard insight, approve/reject risky sales orders, and review audit evidence.</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7"/>
              </w:rPr>
              <w:t>Admin</w:t>
            </w:r>
          </w:p>
        </w:tc>
        <w:tc>
          <w:tcPr>
            <w:tcW w:type="dxa" w:w="3650"/>
            <w:vAlign w:val="center"/>
            <w:tcMar>
              <w:top w:w="80" w:type="dxa"/>
              <w:start w:w="120" w:type="dxa"/>
              <w:bottom w:w="80" w:type="dxa"/>
              <w:end w:w="120" w:type="dxa"/>
            </w:tcMar>
          </w:tcPr>
          <w:p>
            <w:pPr>
              <w:spacing w:before="0" w:after="60" w:line="264" w:lineRule="auto"/>
            </w:pPr>
            <w:r>
              <w:rPr>
                <w:rFonts w:ascii="Calibri" w:hAnsi="Calibri"/>
                <w:b w:val="0"/>
                <w:color w:val="1F2937"/>
                <w:sz w:val="17"/>
              </w:rPr>
              <w:t>Handles operational administration such as invoicing, payment recording, billing, delivery documents, and account records.</w:t>
            </w:r>
          </w:p>
        </w:tc>
        <w:tc>
          <w:tcPr>
            <w:tcW w:type="dxa" w:w="3610"/>
            <w:vAlign w:val="center"/>
            <w:tcMar>
              <w:top w:w="80" w:type="dxa"/>
              <w:start w:w="120" w:type="dxa"/>
              <w:bottom w:w="80" w:type="dxa"/>
              <w:end w:w="120" w:type="dxa"/>
            </w:tcMar>
          </w:tcPr>
          <w:p>
            <w:pPr>
              <w:spacing w:before="0" w:after="60" w:line="264" w:lineRule="auto"/>
            </w:pPr>
            <w:r>
              <w:rPr>
                <w:rFonts w:ascii="Calibri" w:hAnsi="Calibri"/>
                <w:b w:val="0"/>
                <w:color w:val="1F2937"/>
                <w:sz w:val="17"/>
              </w:rPr>
              <w:t>Can generate invoices, record payments, create Surat Jalan, manage billing/follow-up records, and create local accounts; cannot create Sales Orders.</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7"/>
              </w:rPr>
              <w:t>Sales</w:t>
            </w:r>
          </w:p>
        </w:tc>
        <w:tc>
          <w:tcPr>
            <w:tcW w:type="dxa" w:w="3650"/>
            <w:vAlign w:val="center"/>
            <w:tcMar>
              <w:top w:w="80" w:type="dxa"/>
              <w:start w:w="120" w:type="dxa"/>
              <w:bottom w:w="80" w:type="dxa"/>
              <w:end w:w="120" w:type="dxa"/>
            </w:tcMar>
          </w:tcPr>
          <w:p>
            <w:pPr>
              <w:spacing w:before="0" w:after="60" w:line="264" w:lineRule="auto"/>
            </w:pPr>
            <w:r>
              <w:rPr>
                <w:rFonts w:ascii="Calibri" w:hAnsi="Calibri"/>
                <w:b w:val="0"/>
                <w:color w:val="1F2937"/>
                <w:sz w:val="17"/>
              </w:rPr>
              <w:t>Maintains customer relationships, receives orders, and supports customer follow-up.</w:t>
            </w:r>
          </w:p>
        </w:tc>
        <w:tc>
          <w:tcPr>
            <w:tcW w:type="dxa" w:w="3610"/>
            <w:vAlign w:val="center"/>
            <w:tcMar>
              <w:top w:w="80" w:type="dxa"/>
              <w:start w:w="120" w:type="dxa"/>
              <w:bottom w:w="80" w:type="dxa"/>
              <w:end w:w="120" w:type="dxa"/>
            </w:tcMar>
          </w:tcPr>
          <w:p>
            <w:pPr>
              <w:spacing w:before="0" w:after="60" w:line="264" w:lineRule="auto"/>
            </w:pPr>
            <w:r>
              <w:rPr>
                <w:rFonts w:ascii="Calibri" w:hAnsi="Calibri"/>
                <w:b w:val="0"/>
                <w:color w:val="1F2937"/>
                <w:sz w:val="17"/>
              </w:rPr>
              <w:t>Can manage customers and create Sales Orders; restricted from invoice, payment, Surat Jalan, and account creation actions.</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7"/>
              </w:rPr>
              <w:t>Customer</w:t>
            </w:r>
          </w:p>
        </w:tc>
        <w:tc>
          <w:tcPr>
            <w:tcW w:type="dxa" w:w="3650"/>
            <w:vAlign w:val="center"/>
            <w:tcMar>
              <w:top w:w="80" w:type="dxa"/>
              <w:start w:w="120" w:type="dxa"/>
              <w:bottom w:w="80" w:type="dxa"/>
              <w:end w:w="120" w:type="dxa"/>
            </w:tcMar>
          </w:tcPr>
          <w:p>
            <w:pPr>
              <w:spacing w:before="0" w:after="60" w:line="264" w:lineRule="auto"/>
            </w:pPr>
            <w:r>
              <w:rPr>
                <w:rFonts w:ascii="Calibri" w:hAnsi="Calibri"/>
                <w:b w:val="0"/>
                <w:color w:val="1F2937"/>
                <w:sz w:val="17"/>
              </w:rPr>
              <w:t>Places orders and makes payments to CV Tajuk.</w:t>
            </w:r>
          </w:p>
        </w:tc>
        <w:tc>
          <w:tcPr>
            <w:tcW w:type="dxa" w:w="3610"/>
            <w:vAlign w:val="center"/>
            <w:tcMar>
              <w:top w:w="80" w:type="dxa"/>
              <w:start w:w="120" w:type="dxa"/>
              <w:bottom w:w="80" w:type="dxa"/>
              <w:end w:w="120" w:type="dxa"/>
            </w:tcMar>
          </w:tcPr>
          <w:p>
            <w:pPr>
              <w:spacing w:before="0" w:after="60" w:line="264" w:lineRule="auto"/>
            </w:pPr>
            <w:r>
              <w:rPr>
                <w:rFonts w:ascii="Calibri" w:hAnsi="Calibri"/>
                <w:b w:val="0"/>
                <w:color w:val="1F2937"/>
                <w:sz w:val="17"/>
              </w:rPr>
              <w:t>External party; not a system user in the current MVP.</w:t>
            </w:r>
          </w:p>
        </w:tc>
      </w:tr>
      <w:tr>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7"/>
              </w:rPr>
              <w:t>Thesis supervisor / academic reviewer</w:t>
            </w:r>
          </w:p>
        </w:tc>
        <w:tc>
          <w:tcPr>
            <w:tcW w:type="dxa" w:w="3650"/>
            <w:vAlign w:val="center"/>
            <w:tcMar>
              <w:top w:w="80" w:type="dxa"/>
              <w:start w:w="120" w:type="dxa"/>
              <w:bottom w:w="80" w:type="dxa"/>
              <w:end w:w="120" w:type="dxa"/>
            </w:tcMar>
          </w:tcPr>
          <w:p>
            <w:pPr>
              <w:spacing w:before="0" w:after="60" w:line="264" w:lineRule="auto"/>
            </w:pPr>
            <w:r>
              <w:rPr>
                <w:rFonts w:ascii="Calibri" w:hAnsi="Calibri"/>
                <w:b w:val="0"/>
                <w:color w:val="1F2937"/>
                <w:sz w:val="17"/>
              </w:rPr>
              <w:t>Reviews whether the documented solution aligns with thesis scope and business problems.</w:t>
            </w:r>
          </w:p>
        </w:tc>
        <w:tc>
          <w:tcPr>
            <w:tcW w:type="dxa" w:w="3610"/>
            <w:vAlign w:val="center"/>
            <w:tcMar>
              <w:top w:w="80" w:type="dxa"/>
              <w:start w:w="120" w:type="dxa"/>
              <w:bottom w:w="80" w:type="dxa"/>
              <w:end w:w="120" w:type="dxa"/>
            </w:tcMar>
          </w:tcPr>
          <w:p>
            <w:pPr>
              <w:spacing w:before="0" w:after="60" w:line="264" w:lineRule="auto"/>
            </w:pPr>
            <w:r>
              <w:rPr>
                <w:rFonts w:ascii="Calibri" w:hAnsi="Calibri"/>
                <w:b w:val="0"/>
                <w:color w:val="1F2937"/>
                <w:sz w:val="17"/>
              </w:rPr>
              <w:t>Not an operational system role; uses documentation and prototype evidence for evaluation.</w:t>
            </w:r>
          </w:p>
        </w:tc>
      </w:tr>
    </w:tbl>
    <w:p>
      <w:pPr>
        <w:spacing w:after="120"/>
      </w:pPr>
    </w:p>
    <w:p>
      <w:pPr>
        <w:pStyle w:val="Heading1"/>
      </w:pPr>
      <w:r>
        <w:t>Current Business Process Overview</w:t>
      </w:r>
    </w:p>
    <w:p>
      <w:pPr>
        <w:spacing w:before="0" w:after="120" w:line="264" w:lineRule="auto"/>
      </w:pPr>
      <w:r>
        <w:rPr>
          <w:rFonts w:ascii="Calibri" w:hAnsi="Calibri"/>
          <w:color w:val="1F2937"/>
          <w:sz w:val="22"/>
        </w:rPr>
        <w:t>The thesis describes the current/as-is revenue-cycle process as beginning from customer orders received through channels such as telephone or WhatsApp. The sales team checks stock manually using the existing system, negotiates price and payment terms, records transaction information, prepares internal documents, and proceeds to production and delivery. Delivery documents such as Surat Jalan support distribution, while payment and receivable information is monitored separately through semi-manual records.</w:t>
      </w:r>
    </w:p>
    <w:p>
      <w:pPr>
        <w:spacing w:before="0" w:after="120" w:line="264" w:lineRule="auto"/>
      </w:pPr>
      <w:r>
        <w:rPr>
          <w:rFonts w:ascii="Calibri" w:hAnsi="Calibri"/>
          <w:color w:val="1F2937"/>
          <w:sz w:val="22"/>
        </w:rPr>
        <w:t>Because sales, delivery, invoice, receivable, payment, and follow-up records are not fully integrated, the current process can require repeated data entry and manual checking. The thesis also notes the absence of a formal written SOP for several sales, recording, billing, and delivery processes.</w:t>
      </w:r>
    </w:p>
    <w:p>
      <w:pPr>
        <w:pStyle w:val="Heading1"/>
      </w:pPr>
      <w:r>
        <w:t>Proposed Business Process Overview</w:t>
      </w:r>
    </w:p>
    <w:p>
      <w:pPr>
        <w:spacing w:before="0" w:after="120" w:line="264" w:lineRule="auto"/>
      </w:pPr>
      <w:r>
        <w:rPr>
          <w:rFonts w:ascii="Calibri" w:hAnsi="Calibri"/>
          <w:color w:val="1F2937"/>
          <w:sz w:val="22"/>
        </w:rPr>
        <w:t>The proposed/to-be process uses the system as a centralized local record for key revenue-cycle activities. A customer record becomes the basis for a Sales Order. The Sales Order stores order items, payment term, approval condition, and transaction total. Eligible orders generate an Invoice; payments are recorded against the Invoice; receivables are derived from invoice balances; Surat Jalan supports delivery documentation; Billing and Follow Up modules support collection and relationship activities; Dashboard and Audit Trail modules provide visibility and traceability.</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00"/>
        <w:gridCol w:w="7060"/>
      </w:tblGrid>
      <w:tr>
        <w:trPr>
          <w:tblHeader w:val="true"/>
        </w:trPr>
        <w:tc>
          <w:tcPr>
            <w:tcW w:type="dxa" w:w="23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Process step</w:t>
            </w:r>
          </w:p>
        </w:tc>
        <w:tc>
          <w:tcPr>
            <w:tcW w:type="dxa" w:w="70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Supported system behavior</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Customer setup</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Customer profile, category, status, payment risk, and transaction history are maintained centrally.</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Sales order</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Order data, items, totals, payment term, and approval status are recorded in a structured flow.</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Invoice</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Invoice data is generated from Sales Order and Customer information where business rules allow.</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Payment</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Payments reduce invoice remaining balance and update status.</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Delivery / Surat Jalan</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Delivery note can be created from eligible invoice or sales order data and printed for documentation.</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Receivable</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Outstanding receivable status is derived from invoice and payment records rather than manually created.</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Billing and follow-up</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Collection reminders and customer/product follow-up activity are documented.</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Dashboard and audit</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Management summary and audit evidence are generated from system activity.</w:t>
            </w:r>
          </w:p>
        </w:tc>
      </w:tr>
    </w:tbl>
    <w:p>
      <w:pPr>
        <w:spacing w:after="120"/>
      </w:pPr>
    </w:p>
    <w:p>
      <w:pPr>
        <w:pStyle w:val="Heading1"/>
      </w:pPr>
      <w:r>
        <w:t>Business Requirements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
        <w:gridCol w:w="2850"/>
        <w:gridCol w:w="3500"/>
        <w:gridCol w:w="850"/>
        <w:gridCol w:w="1260"/>
      </w:tblGrid>
      <w:tr>
        <w:trPr>
          <w:tblHeader w:val="true"/>
        </w:trPr>
        <w:tc>
          <w:tcPr>
            <w:tcW w:type="dxa" w:w="9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ID</w:t>
            </w:r>
          </w:p>
        </w:tc>
        <w:tc>
          <w:tcPr>
            <w:tcW w:type="dxa" w:w="285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Requirement description</w:t>
            </w:r>
          </w:p>
        </w:tc>
        <w:tc>
          <w:tcPr>
            <w:tcW w:type="dxa" w:w="35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Business rationale</w:t>
            </w:r>
          </w:p>
        </w:tc>
        <w:tc>
          <w:tcPr>
            <w:tcW w:type="dxa" w:w="85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Priority</w:t>
            </w:r>
          </w:p>
        </w:tc>
        <w:tc>
          <w:tcPr>
            <w:tcW w:type="dxa" w:w="126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Related module</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BR-001</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maintain centralized customer records.</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Centralized customer data reduces scattered references across WhatsApp, Excel, and physical documents.</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High</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Customers</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BR-002</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support Sales Order creation with customer, item, quantity, price, total, and payment-term data.</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A standardized Sales Order is needed as the starting point for traceable revenue-cycle transactions.</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High</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Sales Orders</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BR-003</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support Manager approval for Sales-created orders involving customers with late or historical payment risk.</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Approval control supports risk management for customers with payment concerns.</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High</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Sales Orders / Approval</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BR-004</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generate or create invoices from eligible sales orders.</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Invoice information should reuse order and customer data to reduce repeated manual entry.</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High</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Invoices</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BR-005</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record customer payments against invoices.</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Payment recording is required to update paid amount, remaining amount, and invoice status.</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High</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Payments</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BR-006</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show receivable status and outstanding balances derived from invoices and payments.</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Receivable monitoring addresses the thesis gap related to limited payment and receivable visibility.</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High</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Receivables</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BR-007</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support Billing tasks for collection-related follow-up.</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Billing reminders help document and monitor collection work.</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Medium</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Billing</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BR-008</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support customer/product follow-up records.</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Follow-up documentation reduces reliance on memory and informal communication.</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Medium</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Follow Up</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BR-009</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support Surat Jalan creation and printing for eligible transactions.</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Delivery documents are part of the revenue cycle and support transaction documentation.</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Medium</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Surat Jalan</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BR-010</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provide role-specific dashboards and operational summaries.</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Dashboard insight improves management visibility into sales, receivables, attention items, and customer behavior.</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Medium</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Dashboard</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BR-011</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provide basic role-based restrictions for Manager, Admin, and Sales users.</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Basic role control supports separation of duties within the academic MVP.</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High</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User / Access</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BR-012</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record important business actions in an audit trail.</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Audit evidence supports traceability and academic evaluation of process controls.</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Medium</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Audit Trail</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BR-013</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support search, filter, sort, and export where available for operational review.</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Users need practical ways to review transaction data without complex reporting tools.</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Low</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Tables / Export</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BR-014</w:t>
            </w:r>
          </w:p>
        </w:tc>
        <w:tc>
          <w:tcPr>
            <w:tcW w:type="dxa" w:w="285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system shall remain feasible for local UMKM prototype use.</w:t>
            </w:r>
          </w:p>
        </w:tc>
        <w:tc>
          <w:tcPr>
            <w:tcW w:type="dxa" w:w="3500"/>
            <w:vAlign w:val="center"/>
            <w:tcMar>
              <w:top w:w="80" w:type="dxa"/>
              <w:start w:w="120" w:type="dxa"/>
              <w:bottom w:w="80" w:type="dxa"/>
              <w:end w:w="120" w:type="dxa"/>
            </w:tcMar>
          </w:tcPr>
          <w:p>
            <w:pPr>
              <w:spacing w:before="0" w:after="60" w:line="264" w:lineRule="auto"/>
            </w:pPr>
            <w:r>
              <w:rPr>
                <w:rFonts w:ascii="Calibri" w:hAnsi="Calibri"/>
                <w:b w:val="0"/>
                <w:color w:val="1F2937"/>
                <w:sz w:val="17"/>
              </w:rPr>
              <w:t>The thesis emphasizes limited infrastructure, limited IT support, and gradual change.</w:t>
            </w:r>
          </w:p>
        </w:tc>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7"/>
              </w:rPr>
              <w:t>High</w:t>
            </w:r>
          </w:p>
        </w:tc>
        <w:tc>
          <w:tcPr>
            <w:tcW w:type="dxa" w:w="1260"/>
            <w:vAlign w:val="center"/>
            <w:tcMar>
              <w:top w:w="80" w:type="dxa"/>
              <w:start w:w="120" w:type="dxa"/>
              <w:bottom w:w="80" w:type="dxa"/>
              <w:end w:w="120" w:type="dxa"/>
            </w:tcMar>
          </w:tcPr>
          <w:p>
            <w:pPr>
              <w:spacing w:before="0" w:after="60" w:line="264" w:lineRule="auto"/>
            </w:pPr>
            <w:r>
              <w:rPr>
                <w:rFonts w:ascii="Calibri" w:hAnsi="Calibri"/>
                <w:b w:val="0"/>
                <w:color w:val="1F2937"/>
                <w:sz w:val="17"/>
              </w:rPr>
              <w:t>Overall MVP</w:t>
            </w:r>
          </w:p>
        </w:tc>
      </w:tr>
    </w:tbl>
    <w:p>
      <w:pPr>
        <w:spacing w:after="120"/>
      </w:pPr>
    </w:p>
    <w:p>
      <w:pPr>
        <w:pStyle w:val="Heading1"/>
      </w:pPr>
      <w:r>
        <w:t>Functional Requirement Summary</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0"/>
        <w:gridCol w:w="6960"/>
      </w:tblGrid>
      <w:tr>
        <w:trPr>
          <w:tblHeader w:val="true"/>
        </w:trPr>
        <w:tc>
          <w:tcPr>
            <w:tcW w:type="dxa" w:w="24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Function group</w:t>
            </w:r>
          </w:p>
        </w:tc>
        <w:tc>
          <w:tcPr>
            <w:tcW w:type="dxa" w:w="69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Business-focused summary</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Customer management</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Maintain customer profile, contact information, status, category, payment risk, and transaction history.</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Sales order management</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Record order request, items, payment term, totals, approval condition, status, and connected transaction chain.</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Invoice and payment</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Create invoice from eligible order, monitor due date, record payment, and update status.</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Receivable and billing</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Show active receivables, identify overdue balances, and support planned billing tasks.</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Surat Jalan</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Create and print delivery documentation using invoice, sales order, or customer data.</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Follow-up</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Record customer/product contact activity and support reminders for inactive customers.</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Dashboard and insight</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Provide role-specific summary cards, trends, status counts, payment risk, customer category, and product popularity where implemented.</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Audit and confirmation</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Prompt confirmation before meaningful actions and store audit information including actor, role, module, summary, and optional note.</w:t>
            </w:r>
          </w:p>
        </w:tc>
      </w:tr>
    </w:tbl>
    <w:p>
      <w:pPr>
        <w:spacing w:after="120"/>
      </w:pPr>
    </w:p>
    <w:p>
      <w:pPr>
        <w:pStyle w:val="Heading1"/>
      </w:pPr>
      <w:r>
        <w:t>Non-Functional Business Requirements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00"/>
        <w:gridCol w:w="7360"/>
      </w:tblGrid>
      <w:tr>
        <w:trPr>
          <w:tblHeader w:val="true"/>
        </w:trPr>
        <w:tc>
          <w:tcPr>
            <w:tcW w:type="dxa" w:w="20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Category</w:t>
            </w:r>
          </w:p>
        </w:tc>
        <w:tc>
          <w:tcPr>
            <w:tcW w:type="dxa" w:w="73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Requirement</w:t>
            </w:r>
          </w:p>
        </w:tc>
      </w:tr>
      <w:tr>
        <w:tc>
          <w:tcPr>
            <w:tcW w:type="dxa" w:w="2000"/>
            <w:vAlign w:val="center"/>
            <w:tcMar>
              <w:top w:w="80" w:type="dxa"/>
              <w:start w:w="120" w:type="dxa"/>
              <w:bottom w:w="80" w:type="dxa"/>
              <w:end w:w="120" w:type="dxa"/>
            </w:tcMar>
          </w:tcPr>
          <w:p>
            <w:pPr>
              <w:spacing w:before="0" w:after="60" w:line="264" w:lineRule="auto"/>
            </w:pPr>
            <w:r>
              <w:rPr>
                <w:rFonts w:ascii="Calibri" w:hAnsi="Calibri"/>
                <w:b w:val="0"/>
                <w:color w:val="1F2937"/>
                <w:sz w:val="18"/>
              </w:rPr>
              <w:t>Usability</w:t>
            </w:r>
          </w:p>
        </w:tc>
        <w:tc>
          <w:tcPr>
            <w:tcW w:type="dxa" w:w="73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should be simple, readable, and easy to learn for internal users with varied technology familiarity.</w:t>
            </w:r>
          </w:p>
        </w:tc>
      </w:tr>
      <w:tr>
        <w:tc>
          <w:tcPr>
            <w:tcW w:type="dxa" w:w="2000"/>
            <w:vAlign w:val="center"/>
            <w:tcMar>
              <w:top w:w="80" w:type="dxa"/>
              <w:start w:w="120" w:type="dxa"/>
              <w:bottom w:w="80" w:type="dxa"/>
              <w:end w:w="120" w:type="dxa"/>
            </w:tcMar>
          </w:tcPr>
          <w:p>
            <w:pPr>
              <w:spacing w:before="0" w:after="60" w:line="264" w:lineRule="auto"/>
            </w:pPr>
            <w:r>
              <w:rPr>
                <w:rFonts w:ascii="Calibri" w:hAnsi="Calibri"/>
                <w:b w:val="0"/>
                <w:color w:val="1F2937"/>
                <w:sz w:val="18"/>
              </w:rPr>
              <w:t>Data accuracy</w:t>
            </w:r>
          </w:p>
        </w:tc>
        <w:tc>
          <w:tcPr>
            <w:tcW w:type="dxa" w:w="73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should reduce repeated manual input by reusing customer, sales order, and invoice data across connected modules.</w:t>
            </w:r>
          </w:p>
        </w:tc>
      </w:tr>
      <w:tr>
        <w:tc>
          <w:tcPr>
            <w:tcW w:type="dxa" w:w="2000"/>
            <w:vAlign w:val="center"/>
            <w:tcMar>
              <w:top w:w="80" w:type="dxa"/>
              <w:start w:w="120" w:type="dxa"/>
              <w:bottom w:w="80" w:type="dxa"/>
              <w:end w:w="120" w:type="dxa"/>
            </w:tcMar>
          </w:tcPr>
          <w:p>
            <w:pPr>
              <w:spacing w:before="0" w:after="60" w:line="264" w:lineRule="auto"/>
            </w:pPr>
            <w:r>
              <w:rPr>
                <w:rFonts w:ascii="Calibri" w:hAnsi="Calibri"/>
                <w:b w:val="0"/>
                <w:color w:val="1F2937"/>
                <w:sz w:val="18"/>
              </w:rPr>
              <w:t>Local accessibility</w:t>
            </w:r>
          </w:p>
        </w:tc>
        <w:tc>
          <w:tcPr>
            <w:tcW w:type="dxa" w:w="73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should run in a local web environment suitable for thesis demonstration and internal prototype use.</w:t>
            </w:r>
          </w:p>
        </w:tc>
      </w:tr>
      <w:tr>
        <w:tc>
          <w:tcPr>
            <w:tcW w:type="dxa" w:w="2000"/>
            <w:vAlign w:val="center"/>
            <w:tcMar>
              <w:top w:w="80" w:type="dxa"/>
              <w:start w:w="120" w:type="dxa"/>
              <w:bottom w:w="80" w:type="dxa"/>
              <w:end w:w="120" w:type="dxa"/>
            </w:tcMar>
          </w:tcPr>
          <w:p>
            <w:pPr>
              <w:spacing w:before="0" w:after="60" w:line="264" w:lineRule="auto"/>
            </w:pPr>
            <w:r>
              <w:rPr>
                <w:rFonts w:ascii="Calibri" w:hAnsi="Calibri"/>
                <w:b w:val="0"/>
                <w:color w:val="1F2937"/>
                <w:sz w:val="18"/>
              </w:rPr>
              <w:t>Maintainability</w:t>
            </w:r>
          </w:p>
        </w:tc>
        <w:tc>
          <w:tcPr>
            <w:tcW w:type="dxa" w:w="73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MVP should remain understandable and maintainable within academic project constraints.</w:t>
            </w:r>
          </w:p>
        </w:tc>
      </w:tr>
      <w:tr>
        <w:tc>
          <w:tcPr>
            <w:tcW w:type="dxa" w:w="2000"/>
            <w:vAlign w:val="center"/>
            <w:tcMar>
              <w:top w:w="80" w:type="dxa"/>
              <w:start w:w="120" w:type="dxa"/>
              <w:bottom w:w="80" w:type="dxa"/>
              <w:end w:w="120" w:type="dxa"/>
            </w:tcMar>
          </w:tcPr>
          <w:p>
            <w:pPr>
              <w:spacing w:before="0" w:after="60" w:line="264" w:lineRule="auto"/>
            </w:pPr>
            <w:r>
              <w:rPr>
                <w:rFonts w:ascii="Calibri" w:hAnsi="Calibri"/>
                <w:b w:val="0"/>
                <w:color w:val="1F2937"/>
                <w:sz w:val="18"/>
              </w:rPr>
              <w:t>Security</w:t>
            </w:r>
          </w:p>
        </w:tc>
        <w:tc>
          <w:tcPr>
            <w:tcW w:type="dxa" w:w="73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should provide basic local login, role identity, and role-based action restrictions; it does not claim production-grade security.</w:t>
            </w:r>
          </w:p>
        </w:tc>
      </w:tr>
      <w:tr>
        <w:tc>
          <w:tcPr>
            <w:tcW w:type="dxa" w:w="2000"/>
            <w:vAlign w:val="center"/>
            <w:tcMar>
              <w:top w:w="80" w:type="dxa"/>
              <w:start w:w="120" w:type="dxa"/>
              <w:bottom w:w="80" w:type="dxa"/>
              <w:end w:w="120" w:type="dxa"/>
            </w:tcMar>
          </w:tcPr>
          <w:p>
            <w:pPr>
              <w:spacing w:before="0" w:after="60" w:line="264" w:lineRule="auto"/>
            </w:pPr>
            <w:r>
              <w:rPr>
                <w:rFonts w:ascii="Calibri" w:hAnsi="Calibri"/>
                <w:b w:val="0"/>
                <w:color w:val="1F2937"/>
                <w:sz w:val="18"/>
              </w:rPr>
              <w:t>Performance</w:t>
            </w:r>
          </w:p>
        </w:tc>
        <w:tc>
          <w:tcPr>
            <w:tcW w:type="dxa" w:w="73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should respond adequately for local demo and realistic UMKM-scale transaction data, not enterprise-scale workloads.</w:t>
            </w:r>
          </w:p>
        </w:tc>
      </w:tr>
      <w:tr>
        <w:tc>
          <w:tcPr>
            <w:tcW w:type="dxa" w:w="2000"/>
            <w:vAlign w:val="center"/>
            <w:tcMar>
              <w:top w:w="80" w:type="dxa"/>
              <w:start w:w="120" w:type="dxa"/>
              <w:bottom w:w="80" w:type="dxa"/>
              <w:end w:w="120" w:type="dxa"/>
            </w:tcMar>
          </w:tcPr>
          <w:p>
            <w:pPr>
              <w:spacing w:before="0" w:after="60" w:line="264" w:lineRule="auto"/>
            </w:pPr>
            <w:r>
              <w:rPr>
                <w:rFonts w:ascii="Calibri" w:hAnsi="Calibri"/>
                <w:b w:val="0"/>
                <w:color w:val="1F2937"/>
                <w:sz w:val="18"/>
              </w:rPr>
              <w:t>Traceability</w:t>
            </w:r>
          </w:p>
        </w:tc>
        <w:tc>
          <w:tcPr>
            <w:tcW w:type="dxa" w:w="7360"/>
            <w:vAlign w:val="center"/>
            <w:tcMar>
              <w:top w:w="80" w:type="dxa"/>
              <w:start w:w="120" w:type="dxa"/>
              <w:bottom w:w="80" w:type="dxa"/>
              <w:end w:w="120" w:type="dxa"/>
            </w:tcMar>
          </w:tcPr>
          <w:p>
            <w:pPr>
              <w:spacing w:before="0" w:after="60" w:line="264" w:lineRule="auto"/>
            </w:pPr>
            <w:r>
              <w:rPr>
                <w:rFonts w:ascii="Calibri" w:hAnsi="Calibri"/>
                <w:b w:val="0"/>
                <w:color w:val="1F2937"/>
                <w:sz w:val="18"/>
              </w:rPr>
              <w:t>Important actions should be recorded in Audit Trail to support review and accountability within the MVP.</w:t>
            </w:r>
          </w:p>
        </w:tc>
      </w:tr>
    </w:tbl>
    <w:p>
      <w:pPr>
        <w:spacing w:after="120"/>
      </w:pPr>
    </w:p>
    <w:p>
      <w:pPr>
        <w:pStyle w:val="Heading1"/>
      </w:pPr>
      <w:r>
        <w:t>Business Rules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00"/>
        <w:gridCol w:w="6200"/>
        <w:gridCol w:w="2060"/>
      </w:tblGrid>
      <w:tr>
        <w:trPr>
          <w:tblHeader w:val="true"/>
        </w:trPr>
        <w:tc>
          <w:tcPr>
            <w:tcW w:type="dxa" w:w="11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Rule ID</w:t>
            </w:r>
          </w:p>
        </w:tc>
        <w:tc>
          <w:tcPr>
            <w:tcW w:type="dxa" w:w="62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Business rule</w:t>
            </w:r>
          </w:p>
        </w:tc>
        <w:tc>
          <w:tcPr>
            <w:tcW w:type="dxa" w:w="206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Related area</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RULE-001</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A Sales Order must be associated with a customer.</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Sales Orders</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RULE-002</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One Sales Order can generate at most one Invoice.</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Sales Orders / Invoices</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RULE-003</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Debit payment terms require immediate due date handling.</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Invoices</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RULE-004</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Credit payment terms use a selected credit term from 1 to 12 months where supported.</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Invoices</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RULE-005</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Payments must not exceed the invoice remaining amount.</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Payments</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RULE-006</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Invoice status changes according to paid and remaining amount: Unpaid, Partial, Paid, Overdue, or Cancelled.</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Invoices / Receivables</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RULE-007</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Debit Surat Jalan creation is allowed only after the related invoice is Paid.</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Surat Jalan</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RULE-008</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Credit Surat Jalan creation is allowed after invoice generation, even before full payment.</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Surat Jalan</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RULE-009</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Receivables are derived from invoices and payments, not manually created by users.</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Receivables</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RULE-010</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Sales-created orders for customers with Late Payment or Historically Late risk require Manager approval before invoicing.</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Sales Orders / Approval</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RULE-011</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Sales users can create Sales Orders but cannot create Invoices, Payments, Surat Jalan, or local accounts.</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Access</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RULE-012</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Admin users can manage invoice, payment, Surat Jalan, billing, and account actions but cannot create Sales Orders.</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Access</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RULE-013</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Manager users can use all current features and approve or reject risky Sales Orders.</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Access</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7"/>
              </w:rPr>
              <w:t>RULE-014</w:t>
            </w:r>
          </w:p>
        </w:tc>
        <w:tc>
          <w:tcPr>
            <w:tcW w:type="dxa" w:w="6200"/>
            <w:vAlign w:val="center"/>
            <w:tcMar>
              <w:top w:w="80" w:type="dxa"/>
              <w:start w:w="120" w:type="dxa"/>
              <w:bottom w:w="80" w:type="dxa"/>
              <w:end w:w="120" w:type="dxa"/>
            </w:tcMar>
          </w:tcPr>
          <w:p>
            <w:pPr>
              <w:spacing w:before="0" w:after="60" w:line="264" w:lineRule="auto"/>
            </w:pPr>
            <w:r>
              <w:rPr>
                <w:rFonts w:ascii="Calibri" w:hAnsi="Calibri"/>
                <w:b w:val="0"/>
                <w:color w:val="1F2937"/>
                <w:sz w:val="17"/>
              </w:rPr>
              <w:t>Eligible ongoing Sales Orders may be deleted by Admin or Manager only when not paid, delivered, or cancelled, with a mandatory deletion note.</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7"/>
              </w:rPr>
              <w:t>Sales Orders / Audit</w:t>
            </w:r>
          </w:p>
        </w:tc>
      </w:tr>
    </w:tbl>
    <w:p>
      <w:pPr>
        <w:spacing w:after="120"/>
      </w:pPr>
    </w:p>
    <w:p>
      <w:pPr>
        <w:pStyle w:val="Heading1"/>
      </w:pPr>
      <w:r>
        <w:t>Data Requirements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00"/>
        <w:gridCol w:w="7060"/>
      </w:tblGrid>
      <w:tr>
        <w:trPr>
          <w:tblHeader w:val="true"/>
        </w:trPr>
        <w:tc>
          <w:tcPr>
            <w:tcW w:type="dxa" w:w="23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Data object</w:t>
            </w:r>
          </w:p>
        </w:tc>
        <w:tc>
          <w:tcPr>
            <w:tcW w:type="dxa" w:w="706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Business meaning / required information</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7"/>
              </w:rPr>
              <w:t>Customer</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7"/>
              </w:rPr>
              <w:t>Company/contact identity, phone, email, address, customer type, status, notes, category, payment risk, and linked transactions.</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7"/>
              </w:rPr>
              <w:t>SalesOrder</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7"/>
              </w:rPr>
              <w:t>Order number, customer, order date, status, subtotal, total, payment term, approval status/risk, notes, creator, and timestamps.</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7"/>
              </w:rPr>
              <w:t>SalesOrderItem</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7"/>
              </w:rPr>
              <w:t>Item name, quantity, unit price, and subtotal.</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7"/>
              </w:rPr>
              <w:t>Invoice</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7"/>
              </w:rPr>
              <w:t>Invoice number, linked sales order/customer, issue date, due date, total, paid amount, remaining amount, payment term, status, and notes.</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7"/>
              </w:rPr>
              <w:t>Payment</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7"/>
              </w:rPr>
              <w:t>Linked invoice, payment date, amount, payment method, notes, and timestamps.</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7"/>
              </w:rPr>
              <w:t>Receivable</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7"/>
              </w:rPr>
              <w:t>Derived view of invoice total, paid amount, remaining amount, due date, and status; not a separate physical table in the current schema.</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7"/>
              </w:rPr>
              <w:t>FollowUp / Billing</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7"/>
              </w:rPr>
              <w:t>Customer, optional invoice, follow-up date, status, notes, and timestamps for collection-related activity.</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7"/>
              </w:rPr>
              <w:t>CustomerProductFollowUp</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7"/>
              </w:rPr>
              <w:t>Customer, contact date, notes, and timestamps for sales relationship/product follow-up.</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7"/>
              </w:rPr>
              <w:t>DeliveryNote / Surat Jalan</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7"/>
              </w:rPr>
              <w:t>Delivery note number, linked invoice/sales order/customer, recipient, phone, address, delivery date, status, sender, receiver, authorized person, notes, and items.</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7"/>
              </w:rPr>
              <w:t>User</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7"/>
              </w:rPr>
              <w:t>Local username, password hash, display name, role, status, and timestamps.</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7"/>
              </w:rPr>
              <w:t>AuditTrail</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7"/>
              </w:rPr>
              <w:t>Actor, role, module, entity, transaction code, action, confirmation note, change summary, old/new values, and timestamp.</w:t>
            </w:r>
          </w:p>
        </w:tc>
      </w:tr>
    </w:tbl>
    <w:p>
      <w:pPr>
        <w:spacing w:after="120"/>
      </w:pPr>
    </w:p>
    <w:p>
      <w:pPr>
        <w:pStyle w:val="Heading1"/>
      </w:pPr>
      <w:r>
        <w:t>Assumptions and Constraints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7660"/>
      </w:tblGrid>
      <w:tr>
        <w:trPr>
          <w:tblHeader w:val="true"/>
        </w:trPr>
        <w:tc>
          <w:tcPr>
            <w:tcW w:type="dxa" w:w="17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Type</w:t>
            </w:r>
          </w:p>
        </w:tc>
        <w:tc>
          <w:tcPr>
            <w:tcW w:type="dxa" w:w="76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Statement</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Assumption</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BRD is based on available thesis content, project documentation, visible schema, and implemented MVP behavior.</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Assumption</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Internal users can adapt to a simple local web-based prototype with appropriate guidance and training.</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Assumption</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is used to demonstrate revenue-cycle information flow and usability for academic evaluation.</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Constraint</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project is local-only and not intended as production deployment.</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Constraint</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MVP does not integrate with bank systems, logistics systems, warehouse stock systems, ERP, e-commerce, or payment gateways.</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Constraint</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There is no claim of full accounting coverage, general ledger, journal automation, or tax compliance.</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Constraint</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Security is limited to basic local account and role restrictions suitable for thesis demonstration.</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Constraint</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thesis scope emphasizes analysis, design, prototype, and usability testing; implementation claims must be worded carefully.</w:t>
            </w:r>
          </w:p>
        </w:tc>
      </w:tr>
    </w:tbl>
    <w:p>
      <w:pPr>
        <w:spacing w:after="120"/>
      </w:pPr>
    </w:p>
    <w:p>
      <w:pPr>
        <w:pStyle w:val="Heading1"/>
      </w:pPr>
      <w:r>
        <w:t>Success Criteria / Acceptance Criteria</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
        <w:gridCol w:w="4300"/>
        <w:gridCol w:w="4160"/>
      </w:tblGrid>
      <w:tr>
        <w:trPr>
          <w:tblHeader w:val="true"/>
        </w:trPr>
        <w:tc>
          <w:tcPr>
            <w:tcW w:type="dxa" w:w="9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ID</w:t>
            </w:r>
          </w:p>
        </w:tc>
        <w:tc>
          <w:tcPr>
            <w:tcW w:type="dxa" w:w="43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Acceptance criterion</w:t>
            </w:r>
          </w:p>
        </w:tc>
        <w:tc>
          <w:tcPr>
            <w:tcW w:type="dxa" w:w="416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Evidence / expected result</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AC-001</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7"/>
              </w:rPr>
              <w:t>Users can log in with a local role account and view the appropriate dashboard.</w:t>
            </w:r>
          </w:p>
        </w:tc>
        <w:tc>
          <w:tcPr>
            <w:tcW w:type="dxa" w:w="4160"/>
            <w:vAlign w:val="center"/>
            <w:tcMar>
              <w:top w:w="80" w:type="dxa"/>
              <w:start w:w="120" w:type="dxa"/>
              <w:bottom w:w="80" w:type="dxa"/>
              <w:end w:w="120" w:type="dxa"/>
            </w:tcMar>
          </w:tcPr>
          <w:p>
            <w:pPr>
              <w:spacing w:before="0" w:after="60" w:line="264" w:lineRule="auto"/>
            </w:pPr>
            <w:r>
              <w:rPr>
                <w:rFonts w:ascii="Calibri" w:hAnsi="Calibri"/>
                <w:b w:val="0"/>
                <w:color w:val="1F2937"/>
                <w:sz w:val="17"/>
              </w:rPr>
              <w:t>Role dashboard is shown and role badge is visible.</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AC-002</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7"/>
              </w:rPr>
              <w:t>Users can create and review customer records.</w:t>
            </w:r>
          </w:p>
        </w:tc>
        <w:tc>
          <w:tcPr>
            <w:tcW w:type="dxa" w:w="4160"/>
            <w:vAlign w:val="center"/>
            <w:tcMar>
              <w:top w:w="80" w:type="dxa"/>
              <w:start w:w="120" w:type="dxa"/>
              <w:bottom w:w="80" w:type="dxa"/>
              <w:end w:w="120" w:type="dxa"/>
            </w:tcMar>
          </w:tcPr>
          <w:p>
            <w:pPr>
              <w:spacing w:before="0" w:after="60" w:line="264" w:lineRule="auto"/>
            </w:pPr>
            <w:r>
              <w:rPr>
                <w:rFonts w:ascii="Calibri" w:hAnsi="Calibri"/>
                <w:b w:val="0"/>
                <w:color w:val="1F2937"/>
                <w:sz w:val="17"/>
              </w:rPr>
              <w:t>Customer appears in customer list and can be used in related transactions.</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AC-003</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7"/>
              </w:rPr>
              <w:t>Authorized users can create a Sales Order with item and payment-term data.</w:t>
            </w:r>
          </w:p>
        </w:tc>
        <w:tc>
          <w:tcPr>
            <w:tcW w:type="dxa" w:w="4160"/>
            <w:vAlign w:val="center"/>
            <w:tcMar>
              <w:top w:w="80" w:type="dxa"/>
              <w:start w:w="120" w:type="dxa"/>
              <w:bottom w:w="80" w:type="dxa"/>
              <w:end w:w="120" w:type="dxa"/>
            </w:tcMar>
          </w:tcPr>
          <w:p>
            <w:pPr>
              <w:spacing w:before="0" w:after="60" w:line="264" w:lineRule="auto"/>
            </w:pPr>
            <w:r>
              <w:rPr>
                <w:rFonts w:ascii="Calibri" w:hAnsi="Calibri"/>
                <w:b w:val="0"/>
                <w:color w:val="1F2937"/>
                <w:sz w:val="17"/>
              </w:rPr>
              <w:t>Sales Order total and status are recorded correctly.</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AC-004</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7"/>
              </w:rPr>
              <w:t>Eligible transactions can generate an Invoice.</w:t>
            </w:r>
          </w:p>
        </w:tc>
        <w:tc>
          <w:tcPr>
            <w:tcW w:type="dxa" w:w="4160"/>
            <w:vAlign w:val="center"/>
            <w:tcMar>
              <w:top w:w="80" w:type="dxa"/>
              <w:start w:w="120" w:type="dxa"/>
              <w:bottom w:w="80" w:type="dxa"/>
              <w:end w:w="120" w:type="dxa"/>
            </w:tcMar>
          </w:tcPr>
          <w:p>
            <w:pPr>
              <w:spacing w:before="0" w:after="60" w:line="264" w:lineRule="auto"/>
            </w:pPr>
            <w:r>
              <w:rPr>
                <w:rFonts w:ascii="Calibri" w:hAnsi="Calibri"/>
                <w:b w:val="0"/>
                <w:color w:val="1F2937"/>
                <w:sz w:val="17"/>
              </w:rPr>
              <w:t>Invoice uses customer and sales-order data without unnecessary retyping.</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AC-005</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7"/>
              </w:rPr>
              <w:t>Authorized users can record payments without exceeding remaining balance.</w:t>
            </w:r>
          </w:p>
        </w:tc>
        <w:tc>
          <w:tcPr>
            <w:tcW w:type="dxa" w:w="4160"/>
            <w:vAlign w:val="center"/>
            <w:tcMar>
              <w:top w:w="80" w:type="dxa"/>
              <w:start w:w="120" w:type="dxa"/>
              <w:bottom w:w="80" w:type="dxa"/>
              <w:end w:w="120" w:type="dxa"/>
            </w:tcMar>
          </w:tcPr>
          <w:p>
            <w:pPr>
              <w:spacing w:before="0" w:after="60" w:line="264" w:lineRule="auto"/>
            </w:pPr>
            <w:r>
              <w:rPr>
                <w:rFonts w:ascii="Calibri" w:hAnsi="Calibri"/>
                <w:b w:val="0"/>
                <w:color w:val="1F2937"/>
                <w:sz w:val="17"/>
              </w:rPr>
              <w:t>Paid amount, remaining amount, and invoice status update correctly.</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AC-006</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7"/>
              </w:rPr>
              <w:t>Receivable monitoring reflects invoice and payment data.</w:t>
            </w:r>
          </w:p>
        </w:tc>
        <w:tc>
          <w:tcPr>
            <w:tcW w:type="dxa" w:w="4160"/>
            <w:vAlign w:val="center"/>
            <w:tcMar>
              <w:top w:w="80" w:type="dxa"/>
              <w:start w:w="120" w:type="dxa"/>
              <w:bottom w:w="80" w:type="dxa"/>
              <w:end w:w="120" w:type="dxa"/>
            </w:tcMar>
          </w:tcPr>
          <w:p>
            <w:pPr>
              <w:spacing w:before="0" w:after="60" w:line="264" w:lineRule="auto"/>
            </w:pPr>
            <w:r>
              <w:rPr>
                <w:rFonts w:ascii="Calibri" w:hAnsi="Calibri"/>
                <w:b w:val="0"/>
                <w:color w:val="1F2937"/>
                <w:sz w:val="17"/>
              </w:rPr>
              <w:t>Unpaid, partial, overdue, and paid conditions are shown consistently.</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AC-007</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7"/>
              </w:rPr>
              <w:t>Surat Jalan follows debit/credit eligibility rules.</w:t>
            </w:r>
          </w:p>
        </w:tc>
        <w:tc>
          <w:tcPr>
            <w:tcW w:type="dxa" w:w="4160"/>
            <w:vAlign w:val="center"/>
            <w:tcMar>
              <w:top w:w="80" w:type="dxa"/>
              <w:start w:w="120" w:type="dxa"/>
              <w:bottom w:w="80" w:type="dxa"/>
              <w:end w:w="120" w:type="dxa"/>
            </w:tcMar>
          </w:tcPr>
          <w:p>
            <w:pPr>
              <w:spacing w:before="0" w:after="60" w:line="264" w:lineRule="auto"/>
            </w:pPr>
            <w:r>
              <w:rPr>
                <w:rFonts w:ascii="Calibri" w:hAnsi="Calibri"/>
                <w:b w:val="0"/>
                <w:color w:val="1F2937"/>
                <w:sz w:val="17"/>
              </w:rPr>
              <w:t>Debit requires paid invoice; credit can create after invoice generation.</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AC-008</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7"/>
              </w:rPr>
              <w:t>Billing and follow-up records can be reviewed and updated.</w:t>
            </w:r>
          </w:p>
        </w:tc>
        <w:tc>
          <w:tcPr>
            <w:tcW w:type="dxa" w:w="4160"/>
            <w:vAlign w:val="center"/>
            <w:tcMar>
              <w:top w:w="80" w:type="dxa"/>
              <w:start w:w="120" w:type="dxa"/>
              <w:bottom w:w="80" w:type="dxa"/>
              <w:end w:w="120" w:type="dxa"/>
            </w:tcMar>
          </w:tcPr>
          <w:p>
            <w:pPr>
              <w:spacing w:before="0" w:after="60" w:line="264" w:lineRule="auto"/>
            </w:pPr>
            <w:r>
              <w:rPr>
                <w:rFonts w:ascii="Calibri" w:hAnsi="Calibri"/>
                <w:b w:val="0"/>
                <w:color w:val="1F2937"/>
                <w:sz w:val="17"/>
              </w:rPr>
              <w:t>Records appear in the relevant module and dashboard/notification areas where applicable.</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AC-009</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7"/>
              </w:rPr>
              <w:t>Restricted actions are disabled for roles that should not perform them.</w:t>
            </w:r>
          </w:p>
        </w:tc>
        <w:tc>
          <w:tcPr>
            <w:tcW w:type="dxa" w:w="4160"/>
            <w:vAlign w:val="center"/>
            <w:tcMar>
              <w:top w:w="80" w:type="dxa"/>
              <w:start w:w="120" w:type="dxa"/>
              <w:bottom w:w="80" w:type="dxa"/>
              <w:end w:w="120" w:type="dxa"/>
            </w:tcMar>
          </w:tcPr>
          <w:p>
            <w:pPr>
              <w:spacing w:before="0" w:after="60" w:line="264" w:lineRule="auto"/>
            </w:pPr>
            <w:r>
              <w:rPr>
                <w:rFonts w:ascii="Calibri" w:hAnsi="Calibri"/>
                <w:b w:val="0"/>
                <w:color w:val="1F2937"/>
                <w:sz w:val="17"/>
              </w:rPr>
              <w:t>Sales/Admin/Manager restrictions match documented role matrix.</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AC-010</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7"/>
              </w:rPr>
              <w:t>Important actions are visible in Audit Trail.</w:t>
            </w:r>
          </w:p>
        </w:tc>
        <w:tc>
          <w:tcPr>
            <w:tcW w:type="dxa" w:w="4160"/>
            <w:vAlign w:val="center"/>
            <w:tcMar>
              <w:top w:w="80" w:type="dxa"/>
              <w:start w:w="120" w:type="dxa"/>
              <w:bottom w:w="80" w:type="dxa"/>
              <w:end w:w="120" w:type="dxa"/>
            </w:tcMar>
          </w:tcPr>
          <w:p>
            <w:pPr>
              <w:spacing w:before="0" w:after="60" w:line="264" w:lineRule="auto"/>
            </w:pPr>
            <w:r>
              <w:rPr>
                <w:rFonts w:ascii="Calibri" w:hAnsi="Calibri"/>
                <w:b w:val="0"/>
                <w:color w:val="1F2937"/>
                <w:sz w:val="17"/>
              </w:rPr>
              <w:t>Audit Trail shows actor, role, module, action, summary, and note where available.</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7"/>
              </w:rPr>
              <w:t>AC-011</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7"/>
              </w:rPr>
              <w:t>Supervisor review can trace BRD sections to thesis scope and current MVP features.</w:t>
            </w:r>
          </w:p>
        </w:tc>
        <w:tc>
          <w:tcPr>
            <w:tcW w:type="dxa" w:w="4160"/>
            <w:vAlign w:val="center"/>
            <w:tcMar>
              <w:top w:w="80" w:type="dxa"/>
              <w:start w:w="120" w:type="dxa"/>
              <w:bottom w:w="80" w:type="dxa"/>
              <w:end w:w="120" w:type="dxa"/>
            </w:tcMar>
          </w:tcPr>
          <w:p>
            <w:pPr>
              <w:spacing w:before="0" w:after="60" w:line="264" w:lineRule="auto"/>
            </w:pPr>
            <w:r>
              <w:rPr>
                <w:rFonts w:ascii="Calibri" w:hAnsi="Calibri"/>
                <w:b w:val="0"/>
                <w:color w:val="1F2937"/>
                <w:sz w:val="17"/>
              </w:rPr>
              <w:t>Document avoids production-ready or unsupported enterprise claims.</w:t>
            </w:r>
          </w:p>
        </w:tc>
      </w:tr>
    </w:tbl>
    <w:p>
      <w:pPr>
        <w:spacing w:after="120"/>
      </w:pPr>
    </w:p>
    <w:p>
      <w:pPr>
        <w:pStyle w:val="Heading1"/>
      </w:pPr>
      <w:r>
        <w:t>Risks and Considerations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00"/>
        <w:gridCol w:w="6560"/>
      </w:tblGrid>
      <w:tr>
        <w:trPr>
          <w:tblHeader w:val="true"/>
        </w:trPr>
        <w:tc>
          <w:tcPr>
            <w:tcW w:type="dxa" w:w="28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Risk</w:t>
            </w:r>
          </w:p>
        </w:tc>
        <w:tc>
          <w:tcPr>
            <w:tcW w:type="dxa" w:w="65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Consideration / mitigation</w:t>
            </w:r>
          </w:p>
        </w:tc>
      </w:tr>
      <w:tr>
        <w:tc>
          <w:tcPr>
            <w:tcW w:type="dxa" w:w="2800"/>
            <w:vAlign w:val="center"/>
            <w:tcMar>
              <w:top w:w="80" w:type="dxa"/>
              <w:start w:w="120" w:type="dxa"/>
              <w:bottom w:w="80" w:type="dxa"/>
              <w:end w:w="120" w:type="dxa"/>
            </w:tcMar>
          </w:tcPr>
          <w:p>
            <w:pPr>
              <w:spacing w:before="0" w:after="60" w:line="264" w:lineRule="auto"/>
            </w:pPr>
            <w:r>
              <w:rPr>
                <w:rFonts w:ascii="Calibri" w:hAnsi="Calibri"/>
                <w:b w:val="0"/>
                <w:color w:val="1F2937"/>
                <w:sz w:val="18"/>
              </w:rPr>
              <w:t>Incomplete or inconsistent data migration</w:t>
            </w:r>
          </w:p>
        </w:tc>
        <w:tc>
          <w:tcPr>
            <w:tcW w:type="dxa" w:w="6560"/>
            <w:vAlign w:val="center"/>
            <w:tcMar>
              <w:top w:w="80" w:type="dxa"/>
              <w:start w:w="120" w:type="dxa"/>
              <w:bottom w:w="80" w:type="dxa"/>
              <w:end w:w="120" w:type="dxa"/>
            </w:tcMar>
          </w:tcPr>
          <w:p>
            <w:pPr>
              <w:spacing w:before="0" w:after="60" w:line="264" w:lineRule="auto"/>
            </w:pPr>
            <w:r>
              <w:rPr>
                <w:rFonts w:ascii="Calibri" w:hAnsi="Calibri"/>
                <w:b w:val="0"/>
                <w:color w:val="1F2937"/>
                <w:sz w:val="18"/>
              </w:rPr>
              <w:t>Standardize initial customer and transaction data before relying on dashboard or receivable insight.</w:t>
            </w:r>
          </w:p>
        </w:tc>
      </w:tr>
      <w:tr>
        <w:tc>
          <w:tcPr>
            <w:tcW w:type="dxa" w:w="2800"/>
            <w:vAlign w:val="center"/>
            <w:tcMar>
              <w:top w:w="80" w:type="dxa"/>
              <w:start w:w="120" w:type="dxa"/>
              <w:bottom w:w="80" w:type="dxa"/>
              <w:end w:w="120" w:type="dxa"/>
            </w:tcMar>
          </w:tcPr>
          <w:p>
            <w:pPr>
              <w:spacing w:before="0" w:after="60" w:line="264" w:lineRule="auto"/>
            </w:pPr>
            <w:r>
              <w:rPr>
                <w:rFonts w:ascii="Calibri" w:hAnsi="Calibri"/>
                <w:b w:val="0"/>
                <w:color w:val="1F2937"/>
                <w:sz w:val="18"/>
              </w:rPr>
              <w:t>User adaptation risk</w:t>
            </w:r>
          </w:p>
        </w:tc>
        <w:tc>
          <w:tcPr>
            <w:tcW w:type="dxa" w:w="6560"/>
            <w:vAlign w:val="center"/>
            <w:tcMar>
              <w:top w:w="80" w:type="dxa"/>
              <w:start w:w="120" w:type="dxa"/>
              <w:bottom w:w="80" w:type="dxa"/>
              <w:end w:w="120" w:type="dxa"/>
            </w:tcMar>
          </w:tcPr>
          <w:p>
            <w:pPr>
              <w:spacing w:before="0" w:after="60" w:line="264" w:lineRule="auto"/>
            </w:pPr>
            <w:r>
              <w:rPr>
                <w:rFonts w:ascii="Calibri" w:hAnsi="Calibri"/>
                <w:b w:val="0"/>
                <w:color w:val="1F2937"/>
                <w:sz w:val="18"/>
              </w:rPr>
              <w:t>Keep workflows simple, provide training, and use usability feedback to refine navigation and labels.</w:t>
            </w:r>
          </w:p>
        </w:tc>
      </w:tr>
      <w:tr>
        <w:tc>
          <w:tcPr>
            <w:tcW w:type="dxa" w:w="2800"/>
            <w:vAlign w:val="center"/>
            <w:tcMar>
              <w:top w:w="80" w:type="dxa"/>
              <w:start w:w="120" w:type="dxa"/>
              <w:bottom w:w="80" w:type="dxa"/>
              <w:end w:w="120" w:type="dxa"/>
            </w:tcMar>
          </w:tcPr>
          <w:p>
            <w:pPr>
              <w:spacing w:before="0" w:after="60" w:line="264" w:lineRule="auto"/>
            </w:pPr>
            <w:r>
              <w:rPr>
                <w:rFonts w:ascii="Calibri" w:hAnsi="Calibri"/>
                <w:b w:val="0"/>
                <w:color w:val="1F2937"/>
                <w:sz w:val="18"/>
              </w:rPr>
              <w:t>Manual process dependency</w:t>
            </w:r>
          </w:p>
        </w:tc>
        <w:tc>
          <w:tcPr>
            <w:tcW w:type="dxa" w:w="6560"/>
            <w:vAlign w:val="center"/>
            <w:tcMar>
              <w:top w:w="80" w:type="dxa"/>
              <w:start w:w="120" w:type="dxa"/>
              <w:bottom w:w="80" w:type="dxa"/>
              <w:end w:w="120" w:type="dxa"/>
            </w:tcMar>
          </w:tcPr>
          <w:p>
            <w:pPr>
              <w:spacing w:before="0" w:after="60" w:line="264" w:lineRule="auto"/>
            </w:pPr>
            <w:r>
              <w:rPr>
                <w:rFonts w:ascii="Calibri" w:hAnsi="Calibri"/>
                <w:b w:val="0"/>
                <w:color w:val="1F2937"/>
                <w:sz w:val="18"/>
              </w:rPr>
              <w:t>Treat the MVP as a transition aid and avoid assuming all manual communication will disappear immediately.</w:t>
            </w:r>
          </w:p>
        </w:tc>
      </w:tr>
      <w:tr>
        <w:tc>
          <w:tcPr>
            <w:tcW w:type="dxa" w:w="2800"/>
            <w:vAlign w:val="center"/>
            <w:tcMar>
              <w:top w:w="80" w:type="dxa"/>
              <w:start w:w="120" w:type="dxa"/>
              <w:bottom w:w="80" w:type="dxa"/>
              <w:end w:w="120" w:type="dxa"/>
            </w:tcMar>
          </w:tcPr>
          <w:p>
            <w:pPr>
              <w:spacing w:before="0" w:after="60" w:line="264" w:lineRule="auto"/>
            </w:pPr>
            <w:r>
              <w:rPr>
                <w:rFonts w:ascii="Calibri" w:hAnsi="Calibri"/>
                <w:b w:val="0"/>
                <w:color w:val="1F2937"/>
                <w:sz w:val="18"/>
              </w:rPr>
              <w:t>Local-only limitation</w:t>
            </w:r>
          </w:p>
        </w:tc>
        <w:tc>
          <w:tcPr>
            <w:tcW w:type="dxa" w:w="6560"/>
            <w:vAlign w:val="center"/>
            <w:tcMar>
              <w:top w:w="80" w:type="dxa"/>
              <w:start w:w="120" w:type="dxa"/>
              <w:bottom w:w="80" w:type="dxa"/>
              <w:end w:w="120" w:type="dxa"/>
            </w:tcMar>
          </w:tcPr>
          <w:p>
            <w:pPr>
              <w:spacing w:before="0" w:after="60" w:line="264" w:lineRule="auto"/>
            </w:pPr>
            <w:r>
              <w:rPr>
                <w:rFonts w:ascii="Calibri" w:hAnsi="Calibri"/>
                <w:b w:val="0"/>
                <w:color w:val="1F2937"/>
                <w:sz w:val="18"/>
              </w:rPr>
              <w:t>Use the application for academic demonstration; production hosting, backup, and security planning would require a separate phase.</w:t>
            </w:r>
          </w:p>
        </w:tc>
      </w:tr>
      <w:tr>
        <w:tc>
          <w:tcPr>
            <w:tcW w:type="dxa" w:w="2800"/>
            <w:vAlign w:val="center"/>
            <w:tcMar>
              <w:top w:w="80" w:type="dxa"/>
              <w:start w:w="120" w:type="dxa"/>
              <w:bottom w:w="80" w:type="dxa"/>
              <w:end w:w="120" w:type="dxa"/>
            </w:tcMar>
          </w:tcPr>
          <w:p>
            <w:pPr>
              <w:spacing w:before="0" w:after="60" w:line="264" w:lineRule="auto"/>
            </w:pPr>
            <w:r>
              <w:rPr>
                <w:rFonts w:ascii="Calibri" w:hAnsi="Calibri"/>
                <w:b w:val="0"/>
                <w:color w:val="1F2937"/>
                <w:sz w:val="18"/>
              </w:rPr>
              <w:t>No internal IT team</w:t>
            </w:r>
          </w:p>
        </w:tc>
        <w:tc>
          <w:tcPr>
            <w:tcW w:type="dxa" w:w="6560"/>
            <w:vAlign w:val="center"/>
            <w:tcMar>
              <w:top w:w="80" w:type="dxa"/>
              <w:start w:w="120" w:type="dxa"/>
              <w:bottom w:w="80" w:type="dxa"/>
              <w:end w:w="120" w:type="dxa"/>
            </w:tcMar>
          </w:tcPr>
          <w:p>
            <w:pPr>
              <w:spacing w:before="0" w:after="60" w:line="264" w:lineRule="auto"/>
            </w:pPr>
            <w:r>
              <w:rPr>
                <w:rFonts w:ascii="Calibri" w:hAnsi="Calibri"/>
                <w:b w:val="0"/>
                <w:color w:val="1F2937"/>
                <w:sz w:val="18"/>
              </w:rPr>
              <w:t>Keep the system simple and document setup/maintenance steps clearly.</w:t>
            </w:r>
          </w:p>
        </w:tc>
      </w:tr>
      <w:tr>
        <w:tc>
          <w:tcPr>
            <w:tcW w:type="dxa" w:w="2800"/>
            <w:vAlign w:val="center"/>
            <w:tcMar>
              <w:top w:w="80" w:type="dxa"/>
              <w:start w:w="120" w:type="dxa"/>
              <w:bottom w:w="80" w:type="dxa"/>
              <w:end w:w="120" w:type="dxa"/>
            </w:tcMar>
          </w:tcPr>
          <w:p>
            <w:pPr>
              <w:spacing w:before="0" w:after="60" w:line="264" w:lineRule="auto"/>
            </w:pPr>
            <w:r>
              <w:rPr>
                <w:rFonts w:ascii="Calibri" w:hAnsi="Calibri"/>
                <w:b w:val="0"/>
                <w:color w:val="1F2937"/>
                <w:sz w:val="18"/>
              </w:rPr>
              <w:t>Scope drift</w:t>
            </w:r>
          </w:p>
        </w:tc>
        <w:tc>
          <w:tcPr>
            <w:tcW w:type="dxa" w:w="6560"/>
            <w:vAlign w:val="center"/>
            <w:tcMar>
              <w:top w:w="80" w:type="dxa"/>
              <w:start w:w="120" w:type="dxa"/>
              <w:bottom w:w="80" w:type="dxa"/>
              <w:end w:w="120" w:type="dxa"/>
            </w:tcMar>
          </w:tcPr>
          <w:p>
            <w:pPr>
              <w:spacing w:before="0" w:after="60" w:line="264" w:lineRule="auto"/>
            </w:pPr>
            <w:r>
              <w:rPr>
                <w:rFonts w:ascii="Calibri" w:hAnsi="Calibri"/>
                <w:b w:val="0"/>
                <w:color w:val="1F2937"/>
                <w:sz w:val="18"/>
              </w:rPr>
              <w:t>Avoid adding ERP, inventory, bank integration, or mobile-app assumptions unless a future project explicitly approves them.</w:t>
            </w:r>
          </w:p>
        </w:tc>
      </w:tr>
      <w:tr>
        <w:tc>
          <w:tcPr>
            <w:tcW w:type="dxa" w:w="2800"/>
            <w:vAlign w:val="center"/>
            <w:tcMar>
              <w:top w:w="80" w:type="dxa"/>
              <w:start w:w="120" w:type="dxa"/>
              <w:bottom w:w="80" w:type="dxa"/>
              <w:end w:w="120" w:type="dxa"/>
            </w:tcMar>
          </w:tcPr>
          <w:p>
            <w:pPr>
              <w:spacing w:before="0" w:after="60" w:line="264" w:lineRule="auto"/>
            </w:pPr>
            <w:r>
              <w:rPr>
                <w:rFonts w:ascii="Calibri" w:hAnsi="Calibri"/>
                <w:b w:val="0"/>
                <w:color w:val="1F2937"/>
                <w:sz w:val="18"/>
              </w:rPr>
              <w:t>Prototype limitations</w:t>
            </w:r>
          </w:p>
        </w:tc>
        <w:tc>
          <w:tcPr>
            <w:tcW w:type="dxa" w:w="6560"/>
            <w:vAlign w:val="center"/>
            <w:tcMar>
              <w:top w:w="80" w:type="dxa"/>
              <w:start w:w="120" w:type="dxa"/>
              <w:bottom w:w="80" w:type="dxa"/>
              <w:end w:w="120" w:type="dxa"/>
            </w:tcMar>
          </w:tcPr>
          <w:p>
            <w:pPr>
              <w:spacing w:before="0" w:after="60" w:line="264" w:lineRule="auto"/>
            </w:pPr>
            <w:r>
              <w:rPr>
                <w:rFonts w:ascii="Calibri" w:hAnsi="Calibri"/>
                <w:b w:val="0"/>
                <w:color w:val="1F2937"/>
                <w:sz w:val="18"/>
              </w:rPr>
              <w:t>Recognize that usability testing and MVP validation do not equal full production system testing.</w:t>
            </w:r>
          </w:p>
        </w:tc>
      </w:tr>
    </w:tbl>
    <w:p>
      <w:pPr>
        <w:spacing w:after="120"/>
      </w:pPr>
    </w:p>
    <w:p>
      <w:pPr>
        <w:pStyle w:val="Heading1"/>
      </w:pPr>
      <w:r>
        <w:t>Conclusion</w:t>
      </w:r>
    </w:p>
    <w:p>
      <w:pPr>
        <w:spacing w:before="0" w:after="120" w:line="264" w:lineRule="auto"/>
      </w:pPr>
      <w:r>
        <w:rPr>
          <w:rFonts w:ascii="Calibri" w:hAnsi="Calibri"/>
          <w:color w:val="1F2937"/>
          <w:sz w:val="22"/>
        </w:rPr>
        <w:t>This BRD translates the thesis business context and current local MVP implementation into a structured set of business requirements for the Revenue Cycle Information System for CV Tajuk. The document supports academic review by connecting the stated pain points - scattered records, semi-manual sales-order handling, limited receivable visibility, manual follow-up, and limited dashboard insight - with realistic requirements and scope boundaries.</w:t>
      </w:r>
    </w:p>
    <w:p>
      <w:pPr>
        <w:spacing w:before="0" w:after="120" w:line="264" w:lineRule="auto"/>
      </w:pPr>
      <w:r>
        <w:rPr>
          <w:rFonts w:ascii="Calibri" w:hAnsi="Calibri"/>
          <w:color w:val="1F2937"/>
          <w:sz w:val="22"/>
        </w:rPr>
        <w:t>The proposed system should be understood as an academic prototype/MVP that demonstrates how CV Tajuk's revenue-cycle information can be centralized and made more visible. Further production implementation would require additional planning for deployment, security, infrastructure, maintenance, formal SOPs, migration, and integration beyond the current thesis scope.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4748B"/>
        <w:sz w:val="17"/>
      </w:rPr>
      <w:t>CV Tajuk BRD - Academic Thesis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Revenue Cycle Information System for CV Tajuk</dc:title>
  <dc:subject>Academic thesis documentation</dc:subject>
  <dc:creator>Nicholas Yuwito</dc:creator>
  <cp:keywords/>
  <dc:description>Generated from thesis PDF reference and current MVP project documentation.</dc:description>
  <cp:lastModifiedBy/>
  <cp:revision>1</cp:revision>
  <dcterms:created xsi:type="dcterms:W3CDTF">2013-12-23T23:15:00Z</dcterms:created>
  <dcterms:modified xsi:type="dcterms:W3CDTF">2013-12-23T23:15:00Z</dcterms:modified>
  <cp:category/>
</cp:coreProperties>
</file>