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Analysing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influential cultural explanations for rising disorder focused on cinema and mass media, which were widely accused of corrupting youth and encouraging violence.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
          <w:rFonts w:eastAsia="Times New Roman" w:cs="Times New Roman" w:ascii="Times New Roman" w:hAnsi="Times New Roman"/>
          <w:b w:val="false"/>
          <w:bCs w:val="false"/>
          <w:position w:val="0"/>
          <w:sz w:val="24"/>
          <w:szCs w:val="24"/>
          <w:u w:val="none"/>
          <w:vertAlign w:val="baseline"/>
          <w:lang w:val="en-GB"/>
        </w:rPr>
        <w:t>.Examining the UK experience more closely, reveals that British society is constantly inventing new ‘devils’ to represent social decline, with society witnessing a “rapid oscillation from one such devil to another […] the soccer hooligan, the hippy, the skinhead”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
          <w:rFonts w:eastAsia="Times New Roman" w:cs="Times New Roman" w:ascii="Times New Roman" w:hAnsi="Times New Roman"/>
          <w:b w:val="false"/>
          <w:bCs w:val="false"/>
          <w:position w:val="0"/>
          <w:sz w:val="24"/>
          <w:szCs w:val="24"/>
          <w:u w:val="none"/>
          <w:vertAlign w:val="baseline"/>
          <w:lang w:val="en-GB"/>
        </w:rPr>
        <w:t>. The state focuses on these groups on purpose, to find a “convenient metaphor for wider social tensions”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ind w:firstLine="708"/>
        <w:jc w:val="both"/>
        <w:rPr/>
      </w:pPr>
      <w:r>
        <w:rPr>
          <w:rStyle w:val="FootnoteCharacters"/>
          <w:rFonts w:eastAsia="Times New Roman" w:cs="Times New Roman" w:ascii="Times New Roman" w:hAnsi="Times New Roman"/>
          <w:b w:val="false"/>
          <w:bCs w:val="false"/>
          <w:position w:val="0"/>
          <w:sz w:val="24"/>
          <w:szCs w:val="24"/>
          <w:u w:val="none"/>
          <w:vertAlign w:val="baseline"/>
          <w:lang w:val="en-GB"/>
        </w:rPr>
        <w:t>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symbols through which social anxieties are expressed rather than independent drivers of crime. In each case examined in this case reveal how cultural blame obscured deeper structural realities including economic exclusion, labour market collapse and the retreat of state support. 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p>
      <w:pPr>
        <w:pStyle w:val="Normal"/>
        <w:spacing w:lineRule="auto" w:line="480"/>
        <w:ind w:firstLine="708"/>
        <w:jc w:val="both"/>
        <w:rPr>
          <w:rStyle w:val="FootnoteCharacters"/>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Normal"/>
        <w:spacing w:lineRule="auto" w:line="480"/>
        <w:ind w:firstLine="708"/>
        <w:jc w:val="center"/>
        <w:rPr/>
      </w:pPr>
      <w:r>
        <w:rPr>
          <w:rStyle w:val="FootnoteCharacters"/>
          <w:rFonts w:eastAsia="Times New Roman" w:cs="Times New Roman" w:ascii="Times New Roman" w:hAnsi="Times New Roman"/>
          <w:b/>
          <w:bCs/>
          <w:position w:val="0"/>
          <w:sz w:val="28"/>
          <w:szCs w:val="28"/>
          <w:u w:val="single"/>
          <w:vertAlign w:val="baseline"/>
          <w:lang w:val="en-GB"/>
        </w:rPr>
        <w:t>Bibliography</w:t>
      </w:r>
    </w:p>
    <w:p>
      <w:pPr>
        <w:pStyle w:val="BodyText"/>
        <w:spacing w:lineRule="auto" w:line="480" w:before="0" w:after="200"/>
        <w:ind w:hanging="0" w:start="0"/>
        <w:jc w:val="both"/>
        <w:rPr/>
      </w:pP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Aspholm, Roberto R., </w:t>
      </w:r>
      <w:r>
        <w:rPr>
          <w:rStyle w:val="FootnoteCharacters"/>
          <w:rFonts w:eastAsia="Times New Roman" w:cs="Times New Roman" w:ascii="Times New Roman" w:hAnsi="Times New Roman"/>
          <w:b w:val="false"/>
          <w:bCs w:val="false"/>
          <w:i/>
          <w:iCs/>
          <w:position w:val="0"/>
          <w:sz w:val="24"/>
          <w:szCs w:val="24"/>
          <w:u w:val="none"/>
          <w:vertAlign w:val="baseline"/>
          <w:lang w:val="en-GB"/>
        </w:rPr>
        <w:t>V</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w</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f</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m </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h</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e </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h</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e </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f</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r</w:t>
      </w:r>
      <w:r>
        <w:rPr>
          <w:rStyle w:val="FootnoteCharacters"/>
          <w:rFonts w:eastAsia="Times New Roman" w:cs="Times New Roman" w:ascii="Times New Roman" w:hAnsi="Times New Roman"/>
          <w:b w:val="false"/>
          <w:bCs w:val="false"/>
          <w:i/>
          <w:iCs/>
          <w:position w:val="0"/>
          <w:sz w:val="24"/>
          <w:szCs w:val="24"/>
          <w:u w:val="none"/>
          <w:vertAlign w:val="baseline"/>
          <w:lang w:val="en-GB"/>
        </w:rPr>
        <w:t>m</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n </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f </w:t>
      </w:r>
      <w:r>
        <w:rPr>
          <w:rStyle w:val="FootnoteCharacters"/>
          <w:rFonts w:eastAsia="Times New Roman" w:cs="Times New Roman" w:ascii="Times New Roman" w:hAnsi="Times New Roman"/>
          <w:b w:val="false"/>
          <w:bCs w:val="false"/>
          <w:i/>
          <w:iCs/>
          <w:position w:val="0"/>
          <w:sz w:val="24"/>
          <w:szCs w:val="24"/>
          <w:u w:val="none"/>
          <w:vertAlign w:val="baseline"/>
          <w:lang w:val="en-GB"/>
        </w:rPr>
        <w:t>G</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g</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d </w:t>
      </w:r>
      <w:r>
        <w:rPr>
          <w:rStyle w:val="FootnoteCharacters"/>
          <w:rFonts w:eastAsia="Times New Roman" w:cs="Times New Roman" w:ascii="Times New Roman" w:hAnsi="Times New Roman"/>
          <w:b w:val="false"/>
          <w:bCs w:val="false"/>
          <w:i/>
          <w:iCs/>
          <w:position w:val="0"/>
          <w:sz w:val="24"/>
          <w:szCs w:val="24"/>
          <w:u w:val="none"/>
          <w:vertAlign w:val="baseline"/>
          <w:lang w:val="en-GB"/>
        </w:rPr>
        <w:t>V</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l</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i/>
          <w:iCs/>
          <w:position w:val="0"/>
          <w:sz w:val="24"/>
          <w:szCs w:val="24"/>
          <w:u w:val="none"/>
          <w:vertAlign w:val="baseline"/>
          <w:lang w:val="en-GB"/>
        </w:rPr>
        <w:t>n</w:t>
      </w:r>
      <w:r>
        <w:rPr>
          <w:rStyle w:val="FootnoteCharacters"/>
          <w:rFonts w:eastAsia="Times New Roman" w:cs="Times New Roman" w:ascii="Times New Roman" w:hAnsi="Times New Roman"/>
          <w:b w:val="false"/>
          <w:bCs w:val="false"/>
          <w:i/>
          <w:iCs/>
          <w:position w:val="0"/>
          <w:sz w:val="24"/>
          <w:szCs w:val="24"/>
          <w:u w:val="none"/>
          <w:vertAlign w:val="baseline"/>
          <w:lang w:val="en-GB"/>
        </w:rPr>
        <w:t>c</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e </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n </w:t>
      </w:r>
      <w:r>
        <w:rPr>
          <w:rStyle w:val="FootnoteCharacters"/>
          <w:rFonts w:eastAsia="Times New Roman" w:cs="Times New Roman" w:ascii="Times New Roman" w:hAnsi="Times New Roman"/>
          <w:b w:val="false"/>
          <w:bCs w:val="false"/>
          <w:i/>
          <w:iCs/>
          <w:position w:val="0"/>
          <w:sz w:val="24"/>
          <w:szCs w:val="24"/>
          <w:u w:val="none"/>
          <w:vertAlign w:val="baseline"/>
          <w:lang w:val="en-GB"/>
        </w:rPr>
        <w:t>C</w:t>
      </w:r>
      <w:r>
        <w:rPr>
          <w:rStyle w:val="FootnoteCharacters"/>
          <w:rFonts w:eastAsia="Times New Roman" w:cs="Times New Roman" w:ascii="Times New Roman" w:hAnsi="Times New Roman"/>
          <w:b w:val="false"/>
          <w:bCs w:val="false"/>
          <w:i/>
          <w:iCs/>
          <w:position w:val="0"/>
          <w:sz w:val="24"/>
          <w:szCs w:val="24"/>
          <w:u w:val="none"/>
          <w:vertAlign w:val="baseline"/>
          <w:lang w:val="en-GB"/>
        </w:rPr>
        <w:t>h</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c</w:t>
      </w:r>
      <w:r>
        <w:rPr>
          <w:rStyle w:val="FootnoteCharacters"/>
          <w:rFonts w:eastAsia="Times New Roman" w:cs="Times New Roman" w:ascii="Times New Roman" w:hAnsi="Times New Roman"/>
          <w:b w:val="false"/>
          <w:bCs w:val="false"/>
          <w:i/>
          <w:iCs/>
          <w:position w:val="0"/>
          <w:sz w:val="24"/>
          <w:szCs w:val="24"/>
          <w:u w:val="none"/>
          <w:vertAlign w:val="baseline"/>
          <w:lang w:val="en-GB"/>
        </w:rPr>
        <w:t>a</w:t>
      </w:r>
      <w:r>
        <w:rPr>
          <w:rStyle w:val="FootnoteCharacters"/>
          <w:rFonts w:eastAsia="Times New Roman" w:cs="Times New Roman" w:ascii="Times New Roman" w:hAnsi="Times New Roman"/>
          <w:b w:val="false"/>
          <w:bCs w:val="false"/>
          <w:i/>
          <w:iCs/>
          <w:position w:val="0"/>
          <w:sz w:val="24"/>
          <w:szCs w:val="24"/>
          <w:u w:val="none"/>
          <w:vertAlign w:val="baseline"/>
          <w:lang w:val="en-GB"/>
        </w:rPr>
        <w:t>g</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s </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o</w:t>
      </w:r>
      <w:r>
        <w:rPr>
          <w:rStyle w:val="FootnoteCharacters"/>
          <w:rFonts w:eastAsia="Times New Roman" w:cs="Times New Roman" w:ascii="Times New Roman" w:hAnsi="Times New Roman"/>
          <w:b w:val="false"/>
          <w:bCs w:val="false"/>
          <w:i/>
          <w:iCs/>
          <w:position w:val="0"/>
          <w:sz w:val="24"/>
          <w:szCs w:val="24"/>
          <w:u w:val="none"/>
          <w:vertAlign w:val="baseline"/>
          <w:lang w:val="en-GB"/>
        </w:rPr>
        <w:t>u</w:t>
      </w:r>
      <w:r>
        <w:rPr>
          <w:rStyle w:val="FootnoteCharacters"/>
          <w:rFonts w:eastAsia="Times New Roman" w:cs="Times New Roman" w:ascii="Times New Roman" w:hAnsi="Times New Roman"/>
          <w:b w:val="false"/>
          <w:bCs w:val="false"/>
          <w:i/>
          <w:iCs/>
          <w:position w:val="0"/>
          <w:sz w:val="24"/>
          <w:szCs w:val="24"/>
          <w:u w:val="none"/>
          <w:vertAlign w:val="baseline"/>
          <w:lang w:val="en-GB"/>
        </w:rPr>
        <w:t>t</w:t>
      </w:r>
      <w:r>
        <w:rPr>
          <w:rStyle w:val="FootnoteCharacters"/>
          <w:rFonts w:eastAsia="Times New Roman" w:cs="Times New Roman" w:ascii="Times New Roman" w:hAnsi="Times New Roman"/>
          <w:b w:val="false"/>
          <w:bCs w:val="false"/>
          <w:i/>
          <w:iCs/>
          <w:position w:val="0"/>
          <w:sz w:val="24"/>
          <w:szCs w:val="24"/>
          <w:u w:val="none"/>
          <w:vertAlign w:val="baseline"/>
          <w:lang w:val="en-GB"/>
        </w:rPr>
        <w:t xml:space="preserve">h </w:t>
      </w:r>
      <w:r>
        <w:rPr>
          <w:rStyle w:val="FootnoteCharacters"/>
          <w:rFonts w:eastAsia="Times New Roman" w:cs="Times New Roman" w:ascii="Times New Roman" w:hAnsi="Times New Roman"/>
          <w:b w:val="false"/>
          <w:bCs w:val="false"/>
          <w:i/>
          <w:iCs/>
          <w:position w:val="0"/>
          <w:sz w:val="24"/>
          <w:szCs w:val="24"/>
          <w:u w:val="none"/>
          <w:vertAlign w:val="baseline"/>
          <w:lang w:val="en-GB"/>
        </w:rPr>
        <w:t>S</w:t>
      </w:r>
      <w:r>
        <w:rPr>
          <w:rStyle w:val="FootnoteCharacters"/>
          <w:rFonts w:eastAsia="Times New Roman" w:cs="Times New Roman" w:ascii="Times New Roman" w:hAnsi="Times New Roman"/>
          <w:b w:val="false"/>
          <w:bCs w:val="false"/>
          <w:i/>
          <w:iCs/>
          <w:position w:val="0"/>
          <w:sz w:val="24"/>
          <w:szCs w:val="24"/>
          <w:u w:val="none"/>
          <w:vertAlign w:val="baseline"/>
          <w:lang w:val="en-GB"/>
        </w:rPr>
        <w:t>i</w:t>
      </w:r>
      <w:r>
        <w:rPr>
          <w:rStyle w:val="FootnoteCharacters"/>
          <w:rFonts w:eastAsia="Times New Roman" w:cs="Times New Roman" w:ascii="Times New Roman" w:hAnsi="Times New Roman"/>
          <w:b w:val="false"/>
          <w:bCs w:val="false"/>
          <w:i/>
          <w:iCs/>
          <w:position w:val="0"/>
          <w:sz w:val="24"/>
          <w:szCs w:val="24"/>
          <w:u w:val="none"/>
          <w:vertAlign w:val="baseline"/>
          <w:lang w:val="en-GB"/>
        </w:rPr>
        <w:t>d</w:t>
      </w:r>
      <w:r>
        <w:rPr>
          <w:rStyle w:val="FootnoteCharacters"/>
          <w:rFonts w:eastAsia="Times New Roman" w:cs="Times New Roman" w:ascii="Times New Roman" w:hAnsi="Times New Roman"/>
          <w:b w:val="false"/>
          <w:bCs w:val="false"/>
          <w:i/>
          <w:iCs/>
          <w:position w:val="0"/>
          <w:sz w:val="24"/>
          <w:szCs w:val="24"/>
          <w:u w:val="none"/>
          <w:vertAlign w:val="baseline"/>
          <w:lang w:val="en-GB"/>
        </w:rPr>
        <w:t>e</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(New York: Columbia University Press, 2020)</w:t>
      </w:r>
    </w:p>
    <w:p>
      <w:pPr>
        <w:pStyle w:val="BodyText"/>
        <w:spacing w:lineRule="auto" w:line="480" w:before="0" w:after="200"/>
        <w:ind w:hanging="0" w:start="0"/>
        <w:jc w:val="both"/>
        <w:rPr>
          <w:rStyle w:val="FootnoteCharacters"/>
          <w:rFonts w:ascii="Times New Roman" w:hAnsi="Times New Roman" w:eastAsia="Times New Roman" w:cs="Times New Roman"/>
          <w:b w:val="false"/>
          <w:bCs w:val="false"/>
          <w:position w:val="0"/>
          <w:sz w:val="24"/>
          <w:szCs w:val="24"/>
          <w:u w:val="none"/>
          <w:vertAlign w:val="baseline"/>
          <w:lang w:val="en-GB"/>
        </w:rPr>
      </w:pPr>
      <w:r>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‘The Newson Report: A Case Study in Common Sense’, in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ed. by Martin Barker and Julian Petley (London: Routledge, 2001), pp. 25–41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and Julian Petley, eds,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(London: Routledge,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Cohen, Stanley, </w:t>
      </w:r>
      <w:r>
        <w:rPr>
          <w:rStyle w:val="Emphasis"/>
          <w:rFonts w:eastAsia="Times New Roman" w:cs="Times New Roman" w:ascii="Times New Roman" w:hAnsi="Times New Roman"/>
          <w:sz w:val="24"/>
          <w:szCs w:val="24"/>
        </w:rPr>
        <w:t>Folk Devils and Moral Panics: The Creation of the Mods and Rockers</w:t>
      </w:r>
      <w:r>
        <w:rPr>
          <w:rFonts w:eastAsia="Times New Roman" w:cs="Times New Roman" w:ascii="Times New Roman" w:hAnsi="Times New Roman"/>
          <w:sz w:val="24"/>
          <w:szCs w:val="24"/>
        </w:rPr>
        <w:t>, 3rd edn (London: Routledge, 2011)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Garland, David, </w:t>
      </w:r>
      <w:r>
        <w:rPr>
          <w:rStyle w:val="Emphasis"/>
          <w:rFonts w:eastAsia="Times New Roman" w:cs="Times New Roman" w:ascii="Times New Roman" w:hAnsi="Times New Roman"/>
          <w:sz w:val="24"/>
          <w:szCs w:val="24"/>
        </w:rPr>
        <w:t>The Culture of Control: Crime and Social Order in Contemporary Society</w:t>
      </w:r>
      <w:r>
        <w:rPr>
          <w:rFonts w:eastAsia="Times New Roman" w:cs="Times New Roman" w:ascii="Times New Roman" w:hAnsi="Times New Roman"/>
          <w:sz w:val="24"/>
          <w:szCs w:val="24"/>
        </w:rPr>
        <w:t xml:space="preserve"> (Oxford: Oxford University Press,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Hayward, Keith, and Oliver Smith, ‘Crime and Consumer Culture’, in </w:t>
      </w:r>
      <w:r>
        <w:rPr>
          <w:rStyle w:val="Emphasis"/>
          <w:rFonts w:eastAsia="Times New Roman" w:cs="Times New Roman" w:ascii="Times New Roman" w:hAnsi="Times New Roman"/>
          <w:sz w:val="24"/>
          <w:szCs w:val="24"/>
        </w:rPr>
        <w:t>The Oxford Handbook of Criminology</w:t>
      </w:r>
      <w:r>
        <w:rPr>
          <w:rFonts w:eastAsia="Times New Roman" w:cs="Times New Roman" w:ascii="Times New Roman" w:hAnsi="Times New Roman"/>
          <w:sz w:val="24"/>
          <w:szCs w:val="24"/>
        </w:rPr>
        <w:t>, ed. by Alison Liebling, Shadd Maruna and Lesley McAra, 7th edn (Oxford: Oxford University Press, 2023), pp. 542–64</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Osgerby, Bill,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(Oxford: Blackwell, 1998)</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Pearson, Geoffrey,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(London: Macmillan, 1983)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Rowbotham, Judith, Kim Stevenson and Samantha Pegg, </w:t>
      </w:r>
      <w:r>
        <w:rPr>
          <w:rStyle w:val="Emphasis"/>
          <w:rFonts w:eastAsia="Times New Roman" w:cs="Times New Roman" w:ascii="Times New Roman" w:hAnsi="Times New Roman"/>
          <w:sz w:val="24"/>
          <w:szCs w:val="24"/>
        </w:rPr>
        <w:t>Crime News in Modern Britain: Press Reporting and Responsibility, 1820–2010</w:t>
      </w:r>
      <w:r>
        <w:rPr>
          <w:rFonts w:eastAsia="Times New Roman" w:cs="Times New Roman" w:ascii="Times New Roman" w:hAnsi="Times New Roman"/>
          <w:sz w:val="24"/>
          <w:szCs w:val="24"/>
        </w:rPr>
        <w:t xml:space="preserve"> (Basingstoke: Palgrave Macmillan, 2013)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Spergel, Irving A., ‘Youth Gangs: Continuity and Change’, </w:t>
      </w:r>
      <w:r>
        <w:rPr>
          <w:rStyle w:val="Emphasis"/>
          <w:rFonts w:eastAsia="Times New Roman" w:cs="Times New Roman" w:ascii="Times New Roman" w:hAnsi="Times New Roman"/>
          <w:sz w:val="24"/>
          <w:szCs w:val="24"/>
        </w:rPr>
        <w:t>Crime and Justice</w:t>
      </w:r>
      <w:r>
        <w:rPr>
          <w:rFonts w:eastAsia="Times New Roman" w:cs="Times New Roman" w:ascii="Times New Roman" w:hAnsi="Times New Roman"/>
          <w:sz w:val="24"/>
          <w:szCs w:val="24"/>
        </w:rPr>
        <w:t>, 12 (1990), 171–275</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Welshman, John, </w:t>
      </w:r>
      <w:r>
        <w:rPr>
          <w:rStyle w:val="Emphasis"/>
          <w:rFonts w:eastAsia="Times New Roman" w:cs="Times New Roman" w:ascii="Times New Roman" w:hAnsi="Times New Roman"/>
          <w:sz w:val="24"/>
          <w:szCs w:val="24"/>
        </w:rPr>
        <w:t>Underclass: A History of the Excluded, 1880–2000</w:t>
      </w:r>
      <w:r>
        <w:rPr>
          <w:rFonts w:eastAsia="Times New Roman" w:cs="Times New Roman" w:ascii="Times New Roman" w:hAnsi="Times New Roman"/>
          <w:sz w:val="24"/>
          <w:szCs w:val="24"/>
        </w:rPr>
        <w:t xml:space="preserve"> (London: Hambledon Continuum, 2006)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Williamson, Howard, review of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by Geoffrey Pearson, </w:t>
      </w:r>
      <w:r>
        <w:rPr>
          <w:rStyle w:val="Emphasis"/>
          <w:rFonts w:eastAsia="Times New Roman" w:cs="Times New Roman" w:ascii="Times New Roman" w:hAnsi="Times New Roman"/>
          <w:sz w:val="24"/>
          <w:szCs w:val="24"/>
        </w:rPr>
        <w:t>Sociology</w:t>
      </w:r>
      <w:r>
        <w:rPr>
          <w:rFonts w:eastAsia="Times New Roman" w:cs="Times New Roman" w:ascii="Times New Roman" w:hAnsi="Times New Roman"/>
          <w:sz w:val="24"/>
          <w:szCs w:val="24"/>
        </w:rPr>
        <w:t>, 17.4 (1983), 615–16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Van Elteren, Mel, review of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by Bill Osgerby, </w:t>
      </w:r>
      <w:r>
        <w:rPr>
          <w:rStyle w:val="Emphasis"/>
          <w:rFonts w:eastAsia="Times New Roman" w:cs="Times New Roman" w:ascii="Times New Roman" w:hAnsi="Times New Roman"/>
          <w:sz w:val="24"/>
          <w:szCs w:val="24"/>
        </w:rPr>
        <w:t>International Review of Social History</w:t>
      </w:r>
      <w:r>
        <w:rPr>
          <w:rFonts w:eastAsia="Times New Roman" w:cs="Times New Roman" w:ascii="Times New Roman" w:hAnsi="Times New Roman"/>
          <w:sz w:val="24"/>
          <w:szCs w:val="24"/>
        </w:rPr>
        <w:t>, 44.2 (1999), 318–19</w:t>
      </w:r>
    </w:p>
    <w:p>
      <w:pPr>
        <w:pStyle w:val="Normal"/>
        <w:spacing w:lineRule="auto" w:line="480" w:before="0" w:after="200"/>
        <w:ind w:firstLine="708"/>
        <w:jc w:val="both"/>
        <w:rPr>
          <w:rFonts w:ascii="Times New Roman" w:hAnsi="Times New Roman" w:eastAsia="Times New Roman" w:cs="Times New Roman"/>
          <w:b w:val="false"/>
          <w:bCs w:val="false"/>
          <w:sz w:val="24"/>
          <w:szCs w:val="24"/>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sz w:val="20"/>
          <w:szCs w:val="20"/>
        </w:rPr>
        <w:t xml:space="preserve"> </w:t>
      </w:r>
      <w:r>
        <w:rPr>
          <w:rFonts w:eastAsia="Times New Roman" w:cs="Times New Roman"/>
          <w:sz w:val="20"/>
          <w:szCs w:val="20"/>
        </w:rPr>
        <w:t>Barker, M., and J. Petley, eds,</w:t>
      </w:r>
      <w:r>
        <w:rPr>
          <w:rFonts w:eastAsia="Times New Roman" w:cs="Times New Roman"/>
          <w:i/>
          <w:iCs/>
          <w:sz w:val="20"/>
          <w:szCs w:val="20"/>
        </w:rPr>
        <w:t xml:space="preserve"> Ill Effects: The Media/Violence Debate</w:t>
      </w:r>
      <w:r>
        <w:rPr>
          <w:rFonts w:eastAsia="Times New Roman" w:cs="Times New Roman"/>
          <w:sz w:val="20"/>
          <w:szCs w:val="20"/>
        </w:rPr>
        <w:t>, 2nd edn (London: Routledge, 2001)</w:t>
      </w:r>
      <w:r>
        <w:rPr>
          <w:rFonts w:eastAsia="Times New Roman" w:cs="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sz w:val="20"/>
          <w:szCs w:val="20"/>
        </w:rPr>
        <w:t xml:space="preserve"> </w:t>
      </w:r>
      <w:r>
        <w:rPr>
          <w:rFonts w:eastAsia="Times New Roman" w:cs="Times New Roman"/>
          <w:color w:themeColor="text1" w:val="000000"/>
          <w:sz w:val="20"/>
          <w:szCs w:val="20"/>
          <w:lang w:val="en-GB"/>
        </w:rPr>
        <w:t xml:space="preserve">S. Cohen, </w:t>
      </w:r>
      <w:r>
        <w:rPr>
          <w:rFonts w:eastAsia="Times New Roman" w:cs="Times New Roman"/>
          <w:i/>
          <w:iCs/>
          <w:color w:themeColor="text1" w:val="000000"/>
          <w:sz w:val="20"/>
          <w:szCs w:val="20"/>
          <w:lang w:val="en-GB"/>
        </w:rPr>
        <w:t>Folk Devils and Moral Panics: The Creation of the Mods and Rockers</w:t>
      </w:r>
      <w:r>
        <w:rPr>
          <w:rFonts w:eastAsia="Times New Roman" w:cs="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lang w:val="en-US"/>
        </w:rPr>
        <w:t xml:space="preserve"> </w:t>
      </w:r>
      <w:r>
        <w:rPr>
          <w:rFonts w:eastAsia="Times New Roman" w:cs="Times New Roman"/>
          <w:lang w:val="en-US"/>
        </w:rPr>
        <w:t xml:space="preserve">Martin Barker, ‘The Newson Report: A Case Study in Common Sense’, in </w:t>
      </w:r>
      <w:r>
        <w:rPr>
          <w:rFonts w:eastAsia="Times New Roman" w:cs="Times New Roman"/>
          <w:i/>
          <w:iCs/>
          <w:lang w:val="en-US"/>
        </w:rPr>
        <w:t>Ill Effects</w:t>
      </w:r>
      <w:r>
        <w:rPr>
          <w:rFonts w:eastAsia="Times New Roman" w:cs="Times New Roman"/>
          <w:i/>
          <w:iCs/>
          <w:sz w:val="20"/>
          <w:szCs w:val="20"/>
        </w:rPr>
        <w:t>: The Media/Violence Debate</w:t>
      </w:r>
      <w:r>
        <w:rPr>
          <w:rFonts w:eastAsia="Times New Roman" w:cs="Times New Roman"/>
          <w:sz w:val="20"/>
          <w:szCs w:val="20"/>
        </w:rPr>
        <w:t>, 2nd edn (London: Routledge, 2001)</w:t>
      </w:r>
      <w:r>
        <w:rPr>
          <w:rFonts w:eastAsia="Times New Roman" w:cs="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lang w:val="en-US"/>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xml:space="preserve">, p. 3. </w:t>
      </w:r>
    </w:p>
  </w:footnote>
  <w:footnote w:id="15">
    <w:p>
      <w:pPr>
        <w:pStyle w:val="FootnoteText"/>
        <w:rPr/>
      </w:pPr>
      <w:r>
        <w:rPr>
          <w:rStyle w:val="FootnoteCharacters"/>
        </w:rPr>
        <w:footnoteRef/>
      </w:r>
      <w:r>
        <w:rPr/>
        <w:t xml:space="preserve"> </w:t>
      </w:r>
      <w:r>
        <w:rPr/>
        <w:t xml:space="preserve">Howard Williamson, review of </w:t>
      </w:r>
      <w:r>
        <w:rPr>
          <w:i/>
          <w:iCs/>
        </w:rPr>
        <w:t xml:space="preserve">Hooligan: A History of Respectable Fears, </w:t>
      </w:r>
      <w:r>
        <w:rPr>
          <w:i w:val="false"/>
          <w:iCs w:val="false"/>
        </w:rPr>
        <w:t xml:space="preserve">by Geoffrey Pearson, </w:t>
      </w:r>
      <w:r>
        <w:rPr>
          <w:i/>
          <w:iCs/>
        </w:rPr>
        <w:t xml:space="preserve">Sociology, </w:t>
      </w:r>
      <w:r>
        <w:rPr>
          <w:i w:val="false"/>
          <w:iCs w:val="false"/>
        </w:rPr>
        <w:t>17.4 (1983), p. 615.</w:t>
      </w:r>
    </w:p>
  </w:footnote>
  <w:footnote w:id="16">
    <w:p>
      <w:pPr>
        <w:pStyle w:val="FootnoteText"/>
        <w:rPr>
          <w:rFonts w:ascii="Times New Roman" w:hAnsi="Times New Roman"/>
        </w:rPr>
      </w:pPr>
      <w:r>
        <w:rPr>
          <w:rStyle w:val="FootnoteCharacters"/>
        </w:rPr>
        <w:footnoteRef/>
      </w:r>
      <w:r>
        <w:rPr/>
        <w:t xml:space="preserve"> </w:t>
      </w:r>
      <w:r>
        <w:rPr/>
        <w:t xml:space="preserve">Williamson, </w:t>
      </w:r>
      <w:r>
        <w:rPr>
          <w:i/>
          <w:iCs/>
        </w:rPr>
        <w:t>Hooligan,</w:t>
      </w:r>
      <w:r>
        <w:rPr>
          <w:i w:val="false"/>
          <w:iCs w:val="false"/>
        </w:rPr>
        <w:t xml:space="preserve"> p. 615. </w:t>
      </w:r>
    </w:p>
  </w:footnote>
  <w:footnote w:id="17">
    <w:p>
      <w:pPr>
        <w:pStyle w:val="FootnoteText"/>
        <w:rPr/>
      </w:pPr>
      <w:r>
        <w:rPr>
          <w:rStyle w:val="FootnoteCharacters"/>
        </w:rPr>
        <w:footnoteRef/>
      </w:r>
      <w:r>
        <w:rPr/>
        <w:t xml:space="preserve"> </w:t>
      </w:r>
      <w:r>
        <w:rPr/>
        <w:t xml:space="preserve">Williamson, </w:t>
      </w:r>
      <w:r>
        <w:rPr>
          <w:i/>
          <w:iCs/>
        </w:rPr>
        <w:t>Hooligan,</w:t>
      </w:r>
      <w:r>
        <w:rPr>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65"/>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577</TotalTime>
  <Application>LibreOffice/25.8.4.2$Linux_X86_64 LibreOffice_project/580$Build-2</Application>
  <AppVersion>15.0000</AppVersion>
  <Pages>9</Pages>
  <Words>2723</Words>
  <Characters>14698</Characters>
  <CharactersWithSpaces>17399</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2026-01-21T21:19:03Z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