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The state focuses on these groups on purpose, to find a “convenient metaphor for wider social tensions”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6"/>
      </w:r>
      <w:r>
        <w:rPr>
          <w:rStyle w:val="FootnoteCharactersuser"/>
          <w:rFonts w:eastAsia="Times New Roman" w:cs="Times New Roman" w:ascii="Times New Roman" w:hAnsi="Times New Roman"/>
          <w:b w:val="false"/>
          <w:bCs w:val="false"/>
          <w:position w:val="0"/>
          <w:sz w:val="24"/>
          <w:szCs w:val="24"/>
          <w:u w:val="none"/>
          <w:vertAlign w:val="baseline"/>
          <w:lang w:val="en-GB"/>
        </w:rPr>
        <w:t>, giving the government a scapegoat to ignore the underlying issues of “unemployment, shabby entertainment and poor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7"/>
      </w:r>
      <w:r>
        <w:rPr>
          <w:rStyle w:val="FootnoteCharactersuser"/>
          <w:rFonts w:eastAsia="Times New Roman" w:cs="Times New Roman" w:ascii="Times New Roman" w:hAnsi="Times New Roman"/>
          <w:b w:val="false"/>
          <w:bCs w:val="false"/>
          <w:position w:val="0"/>
          <w:sz w:val="24"/>
          <w:szCs w:val="24"/>
          <w:u w:val="none"/>
          <w:vertAlign w:val="baseline"/>
          <w:lang w:val="en-GB"/>
        </w:rPr>
        <w:t>. The behaviour of the hooligan was driven by the poor economic conditions, which were the true power behind the rise in disorder. However, because the average person felt that the country was failing, they needed a tangible reason for their hardship. To solve this society effectively invented a ‘devil’ allowing them to direct their anger towards a specific group rather than the inhumane economic forces that were actually to blame. The desire to punish the ‘devil’ rather than fix the economy resulted in “one of the most repressive pieces of legislation to be introduced by a modern British government”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8"/>
      </w:r>
      <w:r>
        <w:rPr>
          <w:rStyle w:val="FootnoteCharactersuser"/>
          <w:rFonts w:eastAsia="Times New Roman" w:cs="Times New Roman" w:ascii="Times New Roman" w:hAnsi="Times New Roman"/>
          <w:b w:val="false"/>
          <w:bCs w:val="false"/>
          <w:position w:val="0"/>
          <w:sz w:val="24"/>
          <w:szCs w:val="24"/>
          <w:u w:val="none"/>
          <w:vertAlign w:val="baseline"/>
          <w:lang w:val="en-GB"/>
        </w:rPr>
        <w:t>, referring to the Criminal Justice and Public Order Act 1994 which infamously criminalised gatherings featuring music associated with the ‘devil’. By targeting these lifestyles, the Act essentially criminalised youth subcultures confirming that in Britain the rise of anti-social behaviour is often less about its ‘danger’ and more related to the governments refusal to accept youth subculture as anything other than a problem. In contrast, the US experience of youth subcultures was vastly different. Instead of the violence being a ‘style’ and a ‘rebellion’, in the US it was a logical reaction to a destroyed environment. Violence is a “functional adaptation to an uncompromising social environment”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9"/>
      </w:r>
      <w:r>
        <w:rPr>
          <w:rStyle w:val="FootnoteCharactersuser"/>
          <w:rFonts w:eastAsia="Times New Roman" w:cs="Times New Roman" w:ascii="Times New Roman" w:hAnsi="Times New Roman"/>
          <w:b w:val="false"/>
          <w:bCs w:val="false"/>
          <w:position w:val="0"/>
          <w:sz w:val="24"/>
          <w:szCs w:val="24"/>
          <w:u w:val="none"/>
          <w:vertAlign w:val="baseline"/>
          <w:lang w:val="en-GB"/>
        </w:rPr>
        <w:t>, a stark contrast where for the American youth violence is not influenced by movies, fashion or other media, they are violent because it is the only tool that works to keep them safe in what can be seen as a broken and unsafe world. When the support systems were removed such as schools, gangs took over, occurring in spaces where the gang performs cultural and economic functions "no longer adequately performed by the family, the school, and the labor market"</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0"/>
      </w:r>
      <w:r>
        <w:rPr>
          <w:rStyle w:val="FootnoteCharactersuser"/>
          <w:rFonts w:eastAsia="Times New Roman" w:cs="Times New Roman" w:ascii="Times New Roman" w:hAnsi="Times New Roman"/>
          <w:b w:val="false"/>
          <w:bCs w:val="false"/>
          <w:position w:val="0"/>
          <w:sz w:val="24"/>
          <w:szCs w:val="24"/>
          <w:u w:val="none"/>
          <w:vertAlign w:val="baseline"/>
          <w:lang w:val="en-GB"/>
        </w:rPr>
        <w:t>. The failing of these systems was not accidental, but frequently magnified by states policy and the “demolition of nearly all Chicago’s public housing”</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1"/>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This effectively broke the existing social order forcing these youth subcultures into conflict over the depleting resources, which in essence removed the structures of community authority. This is the exact opposite of the British focus on policing the youth subcultures, the American experience is a demonstration of what was covered up in the British system, the direct result of a structural failure rather than cultural imitation. </w:t>
      </w:r>
    </w:p>
    <w:p>
      <w:pPr>
        <w:pStyle w:val="Normal"/>
        <w:spacing w:lineRule="auto" w:line="480" w:before="0" w:after="200"/>
        <w:ind w:firstLine="708"/>
        <w:jc w:val="both"/>
        <w:rPr/>
      </w:pPr>
      <w:r>
        <w:rPr>
          <w:rStyle w:val="FootnoteCharactersuser"/>
          <w:rFonts w:eastAsia="Times New Roman" w:cs="Times New Roman" w:ascii="Times New Roman" w:hAnsi="Times New Roman"/>
          <w:b w:val="false"/>
          <w:bCs w:val="false"/>
          <w:position w:val="0"/>
          <w:sz w:val="24"/>
          <w:szCs w:val="24"/>
          <w:u w:val="none"/>
          <w:vertAlign w:val="baseline"/>
          <w:lang w:val="en-GB"/>
        </w:rPr>
        <w:t>Beyond the panics surrounding hooligans and gangs, towards the late twentieth century the idea emerged that a specific 'culture of poverty' was responsible for the rise in anti-social behaviour. In the British context, this cultural blame is most evident in the adoption of the term “underclass”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2"/>
      </w:r>
      <w:r>
        <w:rPr>
          <w:rStyle w:val="FootnoteCharactersuser"/>
          <w:rFonts w:eastAsia="Times New Roman" w:cs="Times New Roman" w:ascii="Times New Roman" w:hAnsi="Times New Roman"/>
          <w:b w:val="false"/>
          <w:bCs w:val="false"/>
          <w:position w:val="0"/>
          <w:sz w:val="24"/>
          <w:szCs w:val="24"/>
          <w:u w:val="none"/>
          <w:vertAlign w:val="baseline"/>
          <w:lang w:val="en-GB"/>
        </w:rPr>
        <w:t>, used to suggest that poverty is the result of “serious character flaws”</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2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rather than economic necessity. However, when examined deeper it reveals that the driver of a lot of the later anti-social behaviour in the twentieth century was not a rejection of society’s values, but rather an over adherence to consumerist ideals. </w:t>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2</w:t>
    </w:r>
    <w:r>
      <w:rPr/>
      <w:fldChar w:fldCharType="end"/>
    </w:r>
    <w:r>
      <w:rPr/>
      <w:t xml:space="preserve"> </w:t>
    </w:r>
    <w:r>
      <w:rPr/>
      <w:t xml:space="preserve">/ </w:t>
    </w:r>
    <w:r>
      <w:rPr/>
      <w:fldChar w:fldCharType="begin"/>
    </w:r>
    <w:r>
      <w:rPr/>
      <w:instrText xml:space="preserve"> NUMPAGES </w:instrText>
    </w:r>
    <w:r>
      <w:rPr/>
      <w:fldChar w:fldCharType="separate"/>
    </w:r>
    <w:r>
      <w:rPr/>
      <w:t>5</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 w:id="16">
    <w:p>
      <w:pPr>
        <w:pStyle w:val="FootnoteText"/>
        <w:rPr>
          <w:rFonts w:ascii="Times New Roman" w:hAnsi="Times New Roman"/>
        </w:rPr>
      </w:pPr>
      <w:r>
        <w:rPr>
          <w:rStyle w:val="FootnoteCharacters"/>
        </w:rPr>
        <w:footnoteRef/>
      </w:r>
      <w:r>
        <w:rPr>
          <w:rFonts w:ascii="Times New Roman" w:hAnsi="Times New Roman"/>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615. </w:t>
      </w:r>
    </w:p>
  </w:footnote>
  <w:footnote w:id="17">
    <w:p>
      <w:pPr>
        <w:pStyle w:val="FootnoteText"/>
        <w:rPr/>
      </w:pPr>
      <w:r>
        <w:rPr>
          <w:rStyle w:val="FootnoteCharacters"/>
        </w:rPr>
        <w:footnoteRef/>
      </w:r>
      <w:r>
        <w:rPr/>
        <w:t xml:space="preserve"> </w:t>
      </w:r>
      <w:r>
        <w:rPr>
          <w:rFonts w:ascii="Times New Roman" w:hAnsi="Times New Roman"/>
        </w:rPr>
        <w:t xml:space="preserve">Williamson, </w:t>
      </w:r>
      <w:r>
        <w:rPr>
          <w:rFonts w:ascii="Times New Roman" w:hAnsi="Times New Roman"/>
          <w:i/>
          <w:iCs/>
        </w:rPr>
        <w:t>Hooligan,</w:t>
      </w:r>
      <w:r>
        <w:rPr>
          <w:rFonts w:ascii="Times New Roman" w:hAnsi="Times New Roman"/>
          <w:i w:val="false"/>
          <w:iCs w:val="false"/>
        </w:rPr>
        <w:t xml:space="preserve"> p. 616. </w:t>
      </w:r>
    </w:p>
  </w:footnote>
  <w:footnote w:id="18">
    <w:p>
      <w:pPr>
        <w:pStyle w:val="FootnoteText"/>
        <w:rPr/>
      </w:pPr>
      <w:r>
        <w:rPr>
          <w:rStyle w:val="FootnoteCharacters"/>
        </w:rPr>
        <w:footnoteRef/>
      </w:r>
      <w:r>
        <w:rPr/>
        <w:t xml:space="preserve"> </w:t>
      </w:r>
      <w:r>
        <w:rPr/>
        <w:t xml:space="preserve">Mel Van Elteren, review of </w:t>
      </w:r>
      <w:r>
        <w:rPr>
          <w:i/>
          <w:iCs/>
        </w:rPr>
        <w:t>Youth in Britain since 1945</w:t>
      </w:r>
      <w:r>
        <w:rPr>
          <w:i w:val="false"/>
          <w:iCs w:val="false"/>
        </w:rPr>
        <w:t>, by Bill Osgerby,</w:t>
      </w:r>
      <w:r>
        <w:rPr>
          <w:i/>
          <w:iCs/>
        </w:rPr>
        <w:t xml:space="preserve"> International Review of Social History</w:t>
      </w:r>
      <w:r>
        <w:rPr>
          <w:i w:val="false"/>
          <w:iCs w:val="false"/>
        </w:rPr>
        <w:t>, 44.2 (1999), p. 318.</w:t>
      </w:r>
    </w:p>
  </w:footnote>
  <w:footnote w:id="19">
    <w:p>
      <w:pPr>
        <w:pStyle w:val="FootnoteText"/>
        <w:rPr/>
      </w:pPr>
      <w:r>
        <w:rPr>
          <w:rStyle w:val="FootnoteCharacters"/>
        </w:rPr>
        <w:footnoteRef/>
      </w:r>
      <w:r>
        <w:rPr/>
        <w:t xml:space="preserve"> </w:t>
      </w:r>
      <w:r>
        <w:rPr/>
        <w:t xml:space="preserve">Irving Spergel, ‘Youth Gangs: Continuity and Change’, </w:t>
      </w:r>
      <w:r>
        <w:rPr>
          <w:i/>
          <w:iCs/>
        </w:rPr>
        <w:t>Crime and Justice</w:t>
      </w:r>
      <w:r>
        <w:rPr>
          <w:i w:val="false"/>
          <w:iCs w:val="false"/>
        </w:rPr>
        <w:t>, 12 (1990), p. 231.</w:t>
      </w:r>
    </w:p>
  </w:footnote>
  <w:footnote w:id="20">
    <w:p>
      <w:pPr>
        <w:pStyle w:val="FootnoteText"/>
        <w:rPr/>
      </w:pPr>
      <w:r>
        <w:rPr>
          <w:rStyle w:val="FootnoteCharacters"/>
        </w:rPr>
        <w:footnoteRef/>
      </w:r>
      <w:r>
        <w:rPr/>
        <w:t xml:space="preserve"> </w:t>
      </w:r>
      <w:r>
        <w:rPr/>
        <w:t>Spergel, ‘Youth Gangs’, p. 171.</w:t>
      </w:r>
    </w:p>
  </w:footnote>
  <w:footnote w:id="21">
    <w:p>
      <w:pPr>
        <w:pStyle w:val="FootnoteText"/>
        <w:rPr/>
      </w:pPr>
      <w:r>
        <w:rPr>
          <w:rStyle w:val="FootnoteCharacters"/>
        </w:rPr>
        <w:footnoteRef/>
      </w:r>
      <w:r>
        <w:rPr/>
        <w:t xml:space="preserve"> </w:t>
      </w:r>
      <w:r>
        <w:rPr/>
        <w:t xml:space="preserve">Roberto Aspholm, </w:t>
      </w:r>
      <w:r>
        <w:rPr>
          <w:i/>
          <w:iCs/>
        </w:rPr>
        <w:t>Views from the streets: The Transformation of Gangs and Violence on Chicago’s South Side</w:t>
      </w:r>
      <w:r>
        <w:rPr>
          <w:i w:val="false"/>
          <w:iCs w:val="false"/>
        </w:rPr>
        <w:t xml:space="preserve"> (New York: Columbia University Press, 2020), p. 28.</w:t>
      </w:r>
    </w:p>
  </w:footnote>
  <w:footnote w:id="22">
    <w:p>
      <w:pPr>
        <w:pStyle w:val="FootnoteText"/>
        <w:rPr/>
      </w:pPr>
      <w:r>
        <w:rPr>
          <w:rStyle w:val="FootnoteCharacters"/>
        </w:rPr>
        <w:footnoteRef/>
      </w:r>
      <w:r>
        <w:rPr/>
        <w:t xml:space="preserve"> </w:t>
      </w:r>
      <w:r>
        <w:rPr/>
        <w:t xml:space="preserve">John Welshman, </w:t>
      </w:r>
      <w:r>
        <w:rPr>
          <w:i/>
          <w:iCs/>
        </w:rPr>
        <w:t xml:space="preserve">Underclass: A History of the Excluded, 1880-2000 </w:t>
      </w:r>
      <w:r>
        <w:rPr>
          <w:i w:val="false"/>
          <w:iCs w:val="false"/>
        </w:rPr>
        <w:t>(London: Hambledon Continuum, 2006), p. 141.</w:t>
      </w:r>
    </w:p>
  </w:footnote>
  <w:footnote w:id="23">
    <w:p>
      <w:pPr>
        <w:pStyle w:val="FootnoteText"/>
        <w:rPr/>
      </w:pPr>
      <w:r>
        <w:rPr>
          <w:rStyle w:val="FootnoteCharacters"/>
        </w:rPr>
        <w:footnoteRef/>
      </w:r>
      <w:r>
        <w:rPr/>
        <w:t xml:space="preserve">Welshman, </w:t>
      </w:r>
      <w:r>
        <w:rPr>
          <w:i/>
          <w:iCs/>
        </w:rPr>
        <w:t>Underclass</w:t>
      </w:r>
      <w:r>
        <w:rPr>
          <w:i w:val="false"/>
          <w:iCs w:val="false"/>
        </w:rPr>
        <w:t>, p. 141.</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rFonts w:ascii="Times New Roman" w:hAnsi="Times New Roman"/>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304</TotalTime>
  <Application>LibreOffice/25.8.4.2$Linux_X86_64 LibreOffice_project/580$Build-2</Application>
  <AppVersion>15.0000</AppVersion>
  <Pages>5</Pages>
  <Words>1709</Words>
  <Characters>9059</Characters>
  <CharactersWithSpaces>10769</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2026-01-21T16:42:55Z</dcterms:modified>
  <cp:revision>33</cp:revision>
  <dc:subject/>
  <dc:title/>
</cp:coreProperties>
</file>

<file path=docProps/custom.xml><?xml version="1.0" encoding="utf-8"?>
<Properties xmlns="http://schemas.openxmlformats.org/officeDocument/2006/custom-properties" xmlns:vt="http://schemas.openxmlformats.org/officeDocument/2006/docPropsVTypes"/>
</file>