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rFonts w:ascii="Times New Roman" w:hAnsi="Times New Roman"/>
          <w:lang w:val="en-GB"/>
        </w:rPr>
      </w:pPr>
      <w:r>
        <w:rPr>
          <w:rFonts w:eastAsia="Times New Roman" w:cs="Times New Roman" w:ascii="Times New Roman" w:hAnsi="Times New Roman"/>
          <w:b/>
          <w:bCs/>
          <w:sz w:val="32"/>
          <w:szCs w:val="32"/>
          <w:u w:val="single"/>
          <w:lang w:val="en-GB"/>
        </w:rPr>
        <w:t>To what extent can cultural phenomena be blamed for the rise in anti-social and criminal behaviour in modern Britain and America? (post 1950)</w:t>
      </w:r>
    </w:p>
    <w:p>
      <w:pPr>
        <w:pStyle w:val="Normal"/>
        <w:spacing w:lineRule="auto" w:line="480"/>
        <w:ind w:firstLine="708"/>
        <w:jc w:val="both"/>
        <w:rPr>
          <w:rFonts w:ascii="Times New Roman" w:hAnsi="Times New Roman"/>
          <w:lang w:val="en-GB"/>
        </w:rPr>
      </w:pPr>
      <w:r>
        <w:rPr>
          <w:rFonts w:eastAsia="Times New Roman" w:cs="Times New Roman" w:ascii="Times New Roman" w:hAnsi="Times New Roman"/>
          <w:b w:val="false"/>
          <w:bCs w:val="false"/>
          <w:sz w:val="24"/>
          <w:szCs w:val="24"/>
          <w:u w:val="none"/>
          <w:lang w:val="en-GB"/>
        </w:rPr>
        <w:t xml:space="preserve">In both contemporary Britain and America there is a belief that cultural phenomena, from the violent cinema of the 80s to the urban street styles of the 00s, are the sole reasons for a perceived rise in anti-social and criminal behaviour. These cultural phenomena are </w:t>
      </w:r>
      <w:bookmarkStart w:id="0" w:name="_Int_z921ouYl"/>
      <w:r>
        <w:rPr>
          <w:rFonts w:eastAsia="Times New Roman" w:cs="Times New Roman" w:ascii="Times New Roman" w:hAnsi="Times New Roman"/>
          <w:b w:val="false"/>
          <w:bCs w:val="false"/>
          <w:sz w:val="24"/>
          <w:szCs w:val="24"/>
          <w:u w:val="none"/>
          <w:lang w:val="en-GB"/>
        </w:rPr>
        <w:t>frequently</w:t>
      </w:r>
      <w:bookmarkEnd w:id="0"/>
      <w:r>
        <w:rPr>
          <w:rFonts w:eastAsia="Times New Roman" w:cs="Times New Roman" w:ascii="Times New Roman" w:hAnsi="Times New Roman"/>
          <w:b w:val="false"/>
          <w:bCs w:val="false"/>
          <w:sz w:val="24"/>
          <w:szCs w:val="24"/>
          <w:u w:val="none"/>
          <w:lang w:val="en-GB"/>
        </w:rPr>
        <w:t xml:space="preserve"> blamed as ‘folk devils’, yet they cause crime to only a limited extent. A more nuanced analysis reveals that it is focused more on the role of structural factors such as economic exclusion, inequality and state neglect that are the true drivers for disorder. Culture in this story is merely an act of survival and a reaction to these failures. Whether through the lens of cinematic moral panics, the persistence of youth street gangs, or the status anxieties driven by consumer fashion, the pattern </w:t>
      </w:r>
      <w:bookmarkStart w:id="1" w:name="_Int_ES6IYDl1"/>
      <w:r>
        <w:rPr>
          <w:rFonts w:eastAsia="Times New Roman" w:cs="Times New Roman" w:ascii="Times New Roman" w:hAnsi="Times New Roman"/>
          <w:b w:val="false"/>
          <w:bCs w:val="false"/>
          <w:sz w:val="24"/>
          <w:szCs w:val="24"/>
          <w:u w:val="none"/>
          <w:lang w:val="en-GB"/>
        </w:rPr>
        <w:t>remains</w:t>
      </w:r>
      <w:bookmarkEnd w:id="1"/>
      <w:r>
        <w:rPr>
          <w:rFonts w:eastAsia="Times New Roman" w:cs="Times New Roman" w:ascii="Times New Roman" w:hAnsi="Times New Roman"/>
          <w:b w:val="false"/>
          <w:bCs w:val="false"/>
          <w:sz w:val="24"/>
          <w:szCs w:val="24"/>
          <w:u w:val="none"/>
          <w:lang w:val="en-GB"/>
        </w:rPr>
        <w:t xml:space="preserve"> the same; cultural symptoms are routinely mistaken for structural causes. Analyzing the effect of cinema, youth street culture and fashion leads one to the only sensible conclusion that these cultural phenomena are not the main contributor to the perceived rise in anti-social behaviour. Ultimately, this suggests that the fixation on culture acts as a convenient distraction, allowing society to ignore the far more difficult reality of deep-seated structural inequality. </w:t>
      </w:r>
    </w:p>
    <w:p>
      <w:pPr>
        <w:pStyle w:val="Normal"/>
        <w:spacing w:lineRule="auto" w:line="480"/>
        <w:ind w:firstLine="708"/>
        <w:jc w:val="both"/>
        <w:rPr/>
      </w:pPr>
      <w:r>
        <w:rPr>
          <w:rFonts w:eastAsia="Times New Roman" w:cs="Times New Roman" w:ascii="Times New Roman" w:hAnsi="Times New Roman"/>
          <w:b w:val="false"/>
          <w:bCs w:val="false"/>
          <w:sz w:val="24"/>
          <w:szCs w:val="24"/>
          <w:u w:val="none"/>
          <w:lang w:val="en-GB" w:bidi="en-US"/>
        </w:rPr>
        <w:t>One of the most prevalent forms of cultural phenomena, particularly in the 80s, was the role of cinema and mass media in creating moral panics. Historically people have fixated on cinema as a source of corruption, viewing it as a “veritable textbook of bad examples to the young, the easily influenced, [and] the working class</w:t>
      </w:r>
      <w:r>
        <w:rPr>
          <w:rFonts w:eastAsia="Times New Roman" w:cs="Times New Roman" w:ascii="Times New Roman" w:hAnsi="Times New Roman"/>
          <w:b w:val="false"/>
          <w:bCs w:val="false"/>
          <w:sz w:val="24"/>
          <w:szCs w:val="24"/>
          <w:u w:val="none"/>
          <w:lang w:val="en-GB"/>
        </w:rPr>
        <w:t>”</w:t>
      </w:r>
      <w:r>
        <w:rPr>
          <w:rStyle w:val="FootnoteReference"/>
          <w:rFonts w:eastAsia="Times New Roman" w:cs="Times New Roman" w:ascii="Times New Roman" w:hAnsi="Times New Roman"/>
          <w:b w:val="false"/>
          <w:bCs w:val="false"/>
          <w:sz w:val="24"/>
          <w:szCs w:val="24"/>
          <w:u w:val="none"/>
          <w:lang w:val="en-GB"/>
        </w:rPr>
        <w:footnoteReference w:id="2"/>
      </w:r>
      <w:r>
        <w:rPr>
          <w:rStyle w:val="FootnoteCharactersuser"/>
          <w:rFonts w:eastAsia="Times New Roman" w:cs="Times New Roman" w:ascii="Times New Roman" w:hAnsi="Times New Roman"/>
          <w:b w:val="false"/>
          <w:bCs w:val="false"/>
          <w:position w:val="0"/>
          <w:sz w:val="24"/>
          <w:szCs w:val="24"/>
          <w:u w:val="none"/>
          <w:vertAlign w:val="baseline"/>
          <w:lang w:val="en-GB"/>
        </w:rPr>
        <w:t>. The fear and opposition were often less about the content of the films but more about the general compilation of the viewers, based on the assumption that “the larger the audience, the lower the moral mass resistance to suggestion”</w:t>
      </w:r>
      <w:r>
        <w:rPr>
          <w:rStyle w:val="FootnoteReference"/>
          <w:rFonts w:eastAsia="Times New Roman" w:cs="Times New Roman" w:ascii="Times New Roman" w:hAnsi="Times New Roman"/>
          <w:b w:val="false"/>
          <w:bCs w:val="false"/>
          <w:sz w:val="24"/>
          <w:szCs w:val="24"/>
          <w:u w:val="none"/>
          <w:lang w:val="en-GB"/>
        </w:rPr>
        <w:footnoteReference w:id="3"/>
      </w:r>
      <w:r>
        <w:rPr>
          <w:rStyle w:val="FootnoteCharactersuser"/>
          <w:rFonts w:eastAsia="Times New Roman" w:cs="Times New Roman" w:ascii="Times New Roman" w:hAnsi="Times New Roman"/>
          <w:b w:val="false"/>
          <w:bCs w:val="false"/>
          <w:position w:val="0"/>
          <w:sz w:val="24"/>
          <w:szCs w:val="24"/>
          <w:u w:val="none"/>
          <w:vertAlign w:val="baseline"/>
          <w:lang w:val="en-GB"/>
        </w:rPr>
        <w:t>. During this period, panic peaked as “the video nasty issue was deliberately and explicitly used as an illustration of the dangers of the so-called ‘underclass’”</w:t>
      </w:r>
      <w:r>
        <w:rPr>
          <w:rStyle w:val="FootnoteReference"/>
          <w:rFonts w:eastAsia="Times New Roman" w:cs="Times New Roman" w:ascii="Times New Roman" w:hAnsi="Times New Roman"/>
          <w:b w:val="false"/>
          <w:bCs w:val="false"/>
          <w:sz w:val="24"/>
          <w:szCs w:val="24"/>
          <w:u w:val="none"/>
          <w:vertAlign w:val="superscript"/>
          <w:lang w:val="en-GB"/>
        </w:rPr>
        <w:footnoteReference w:id="4"/>
      </w:r>
      <w:r>
        <w:rPr>
          <w:rStyle w:val="FootnoteCharactersuser"/>
          <w:rFonts w:eastAsia="Times New Roman" w:cs="Times New Roman" w:ascii="Times New Roman" w:hAnsi="Times New Roman"/>
          <w:b w:val="false"/>
          <w:bCs w:val="false"/>
          <w:position w:val="0"/>
          <w:sz w:val="24"/>
          <w:szCs w:val="24"/>
          <w:u w:val="none"/>
          <w:vertAlign w:val="baseline"/>
          <w:lang w:val="en-GB"/>
        </w:rPr>
        <w:t>, a concept heavily influenced by American sociology to justify welfare retrenchment. By framing these films, often low-budget American imports like The Driller Killer or The Evil Dead, as dangerous foreign media entering British homes, attention drifted away from the root cause of problems, the deep-seated structural inequalities that were the actual drivers of anti-social behaviour. In a similar fashion, the media is not a vessel of complete truth and does not merely report on the “bad examples”</w:t>
      </w:r>
      <w:r>
        <w:rPr>
          <w:rStyle w:val="FootnoteReference"/>
          <w:rFonts w:eastAsia="Times New Roman" w:cs="Times New Roman" w:ascii="Times New Roman" w:hAnsi="Times New Roman"/>
          <w:b w:val="false"/>
          <w:bCs w:val="false"/>
          <w:sz w:val="24"/>
          <w:szCs w:val="24"/>
          <w:u w:val="none"/>
          <w:vertAlign w:val="superscript"/>
          <w:lang w:val="en-GB"/>
        </w:rPr>
        <w:footnoteReference w:id="5"/>
      </w:r>
      <w:r>
        <w:rPr>
          <w:rStyle w:val="FootnoteCharactersuser"/>
          <w:rFonts w:eastAsia="Times New Roman" w:cs="Times New Roman" w:ascii="Times New Roman" w:hAnsi="Times New Roman"/>
          <w:b w:val="false"/>
          <w:bCs w:val="false"/>
          <w:position w:val="0"/>
          <w:sz w:val="24"/>
          <w:szCs w:val="24"/>
          <w:u w:val="none"/>
          <w:vertAlign w:val="baseline"/>
          <w:lang w:val="en-GB"/>
        </w:rPr>
        <w:t>, it actively constructs them through stereotyping. During moments of panic within society, the “actors concerned are pictured in a highly stereotypical way”</w:t>
      </w:r>
      <w:r>
        <w:rPr>
          <w:rStyle w:val="FootnoteReference"/>
          <w:rFonts w:eastAsia="Times New Roman" w:cs="Times New Roman" w:ascii="Times New Roman" w:hAnsi="Times New Roman"/>
          <w:b w:val="false"/>
          <w:bCs w:val="false"/>
          <w:sz w:val="24"/>
          <w:szCs w:val="24"/>
          <w:u w:val="none"/>
          <w:vertAlign w:val="superscript"/>
          <w:lang w:val="en-GB"/>
        </w:rPr>
        <w:footnoteReference w:id="6"/>
      </w:r>
      <w:r>
        <w:rPr>
          <w:rStyle w:val="FootnoteCharactersuser"/>
          <w:rFonts w:eastAsia="Times New Roman" w:cs="Times New Roman" w:ascii="Times New Roman" w:hAnsi="Times New Roman"/>
          <w:b w:val="false"/>
          <w:bCs w:val="false"/>
          <w:position w:val="0"/>
          <w:sz w:val="24"/>
          <w:szCs w:val="24"/>
          <w:u w:val="none"/>
          <w:vertAlign w:val="baseline"/>
          <w:lang w:val="en-GB"/>
        </w:rPr>
        <w:t>, transforming individuals into the ‘folk devils’ who act as “visible reminders of what we should not be”</w:t>
      </w:r>
      <w:r>
        <w:rPr>
          <w:rStyle w:val="FootnoteReference"/>
          <w:rFonts w:eastAsia="Times New Roman" w:cs="Times New Roman" w:ascii="Times New Roman" w:hAnsi="Times New Roman"/>
          <w:b w:val="false"/>
          <w:bCs w:val="false"/>
          <w:sz w:val="24"/>
          <w:szCs w:val="24"/>
          <w:u w:val="none"/>
          <w:vertAlign w:val="superscript"/>
          <w:lang w:val="en-GB"/>
        </w:rPr>
        <w:footnoteReference w:id="7"/>
      </w:r>
      <w:r>
        <w:rPr>
          <w:rStyle w:val="FootnoteCharactersuser"/>
          <w:rFonts w:eastAsia="Times New Roman" w:cs="Times New Roman" w:ascii="Times New Roman" w:hAnsi="Times New Roman"/>
          <w:b w:val="false"/>
          <w:bCs w:val="false"/>
          <w:position w:val="0"/>
          <w:sz w:val="24"/>
          <w:szCs w:val="24"/>
          <w:u w:val="none"/>
          <w:vertAlign w:val="baseline"/>
          <w:lang w:val="en-GB"/>
        </w:rPr>
        <w:t xml:space="preserve">. </w:t>
      </w:r>
      <w:r>
        <w:rPr>
          <w:rFonts w:eastAsia="Times New Roman" w:cs="Times New Roman" w:ascii="Times New Roman" w:hAnsi="Times New Roman"/>
          <w:b w:val="false"/>
          <w:bCs w:val="false"/>
          <w:sz w:val="24"/>
          <w:szCs w:val="24"/>
          <w:u w:val="none"/>
          <w:lang w:val="en-GB"/>
        </w:rPr>
        <w:t>This functions as a mechanism of social control to divert attention away from the true causes of criminal behaviour. By filling the environment with constant images of dangerous youths and their consumption of American made foreign entertainment the media effectively uses these groups as scapegoats. This successfully refocuses public anxieties onto specific cultural consumers, thereby masking the reality of a failing economic system. Consequently there is a critical misconception where the public merge a rise in the reporting of crime with the actual rise in the incidence of crime. This decision is driven by the commercial needs of a struggling press. In an era of falling sales, “sensational and emotive reportage has become more important as newspapers fight to retain their readership”</w:t>
      </w:r>
      <w:r>
        <w:rPr>
          <w:rStyle w:val="FootnoteReference"/>
          <w:rFonts w:eastAsia="Times New Roman" w:cs="Times New Roman" w:ascii="Times New Roman" w:hAnsi="Times New Roman"/>
          <w:b w:val="false"/>
          <w:bCs w:val="false"/>
          <w:sz w:val="24"/>
          <w:szCs w:val="24"/>
          <w:u w:val="none"/>
          <w:lang w:val="en-GB"/>
        </w:rPr>
        <w:footnoteReference w:id="8"/>
      </w:r>
      <w:r>
        <w:rPr>
          <w:rStyle w:val="FootnoteCharactersuser"/>
          <w:rFonts w:eastAsia="Times New Roman" w:cs="Times New Roman" w:ascii="Times New Roman" w:hAnsi="Times New Roman"/>
          <w:b w:val="false"/>
          <w:bCs w:val="false"/>
          <w:position w:val="0"/>
          <w:sz w:val="24"/>
          <w:szCs w:val="24"/>
          <w:u w:val="none"/>
          <w:vertAlign w:val="baseline"/>
          <w:lang w:val="en-GB"/>
        </w:rPr>
        <w:t xml:space="preserve"> meaning the media prioritizes profitable headlines over the accurate reflection of society. When searching for a cause for this manufactured crisis in both the UK and the US, it is easy to fall for what some call a “banal science”</w:t>
      </w:r>
      <w:r>
        <w:rPr>
          <w:rStyle w:val="FootnoteReference"/>
          <w:rFonts w:eastAsia="Times New Roman" w:cs="Times New Roman" w:ascii="Times New Roman" w:hAnsi="Times New Roman"/>
          <w:b w:val="false"/>
          <w:bCs w:val="false"/>
          <w:sz w:val="24"/>
          <w:szCs w:val="24"/>
          <w:u w:val="none"/>
          <w:lang w:val="en-GB"/>
        </w:rPr>
        <w:footnoteReference w:id="9"/>
      </w:r>
      <w:r>
        <w:rPr>
          <w:rStyle w:val="FootnoteCharactersuser"/>
          <w:rFonts w:eastAsia="Times New Roman" w:cs="Times New Roman" w:ascii="Times New Roman" w:hAnsi="Times New Roman"/>
          <w:b w:val="false"/>
          <w:bCs w:val="false"/>
          <w:position w:val="0"/>
          <w:sz w:val="24"/>
          <w:szCs w:val="24"/>
          <w:u w:val="none"/>
          <w:vertAlign w:val="baseline"/>
          <w:lang w:val="en-GB"/>
        </w:rPr>
        <w:t>. This refers to a rather lazy scientific assumption that there is a simple, direct correlation between the act of watching violence and committing it, famously linking films such as Child’s Play 3 or Natural Born Killers to specific atrocities without empirical evidence. In the case of the former, Martin Barker notes that despite the media hysteria, “there was not a scrap of evidence that the boys had watched the film”</w:t>
      </w:r>
      <w:r>
        <w:rPr>
          <w:rStyle w:val="FootnoteReference"/>
          <w:rFonts w:eastAsia="Times New Roman" w:cs="Times New Roman" w:ascii="Times New Roman" w:hAnsi="Times New Roman"/>
          <w:b w:val="false"/>
          <w:bCs w:val="false"/>
          <w:sz w:val="24"/>
          <w:szCs w:val="24"/>
          <w:u w:val="none"/>
          <w:lang w:val="en-GB"/>
        </w:rPr>
        <w:footnoteReference w:id="10"/>
      </w:r>
      <w:r>
        <w:rPr>
          <w:rStyle w:val="FootnoteCharactersuser"/>
          <w:rFonts w:eastAsia="Times New Roman" w:cs="Times New Roman" w:ascii="Times New Roman" w:hAnsi="Times New Roman"/>
          <w:b w:val="false"/>
          <w:bCs w:val="false"/>
          <w:position w:val="0"/>
          <w:sz w:val="24"/>
          <w:szCs w:val="24"/>
          <w:u w:val="none"/>
          <w:vertAlign w:val="baseline"/>
          <w:lang w:val="en-GB"/>
        </w:rPr>
        <w:t>. However, such theories fail to prove that “the reading and the robbery stand in the relation of cause and effect”</w:t>
      </w:r>
      <w:r>
        <w:rPr>
          <w:rStyle w:val="FootnoteReference"/>
          <w:rFonts w:eastAsia="Times New Roman" w:cs="Times New Roman" w:ascii="Times New Roman" w:hAnsi="Times New Roman"/>
          <w:b w:val="false"/>
          <w:bCs w:val="false"/>
          <w:sz w:val="24"/>
          <w:szCs w:val="24"/>
          <w:u w:val="none"/>
          <w:lang w:val="en-GB"/>
        </w:rPr>
        <w:footnoteReference w:id="11"/>
      </w:r>
      <w:r>
        <w:rPr>
          <w:rStyle w:val="FootnoteCharactersuser"/>
          <w:rFonts w:eastAsia="Times New Roman" w:cs="Times New Roman" w:ascii="Times New Roman" w:hAnsi="Times New Roman"/>
          <w:b w:val="false"/>
          <w:bCs w:val="false"/>
          <w:position w:val="0"/>
          <w:sz w:val="24"/>
          <w:szCs w:val="24"/>
          <w:u w:val="none"/>
          <w:vertAlign w:val="baseline"/>
          <w:lang w:val="en-GB"/>
        </w:rPr>
        <w:t>. Rather than blaming what is on the cinema screen, we should be looking at the harder reality of “mass unemployment, the decay of communal life and public space, and the evaporation of hope</w:t>
      </w:r>
      <w:r>
        <w:rPr>
          <w:rFonts w:eastAsia="Times New Roman" w:cs="Times New Roman" w:ascii="Times New Roman" w:hAnsi="Times New Roman"/>
          <w:b w:val="false"/>
          <w:bCs w:val="false"/>
          <w:sz w:val="24"/>
          <w:szCs w:val="24"/>
          <w:u w:val="none"/>
          <w:lang w:val="en-GB"/>
        </w:rPr>
        <w:t>”</w:t>
      </w:r>
      <w:r>
        <w:rPr>
          <w:rStyle w:val="FootnoteReference"/>
          <w:rFonts w:eastAsia="Times New Roman" w:cs="Times New Roman" w:ascii="Times New Roman" w:hAnsi="Times New Roman"/>
          <w:b w:val="false"/>
          <w:bCs w:val="false"/>
          <w:sz w:val="24"/>
          <w:szCs w:val="24"/>
          <w:u w:val="none"/>
          <w:lang w:val="en-GB"/>
        </w:rPr>
        <w:footnoteReference w:id="12"/>
      </w:r>
      <w:r>
        <w:rPr>
          <w:rStyle w:val="FootnoteCharactersuser"/>
          <w:rFonts w:eastAsia="Times New Roman" w:cs="Times New Roman" w:ascii="Times New Roman" w:hAnsi="Times New Roman"/>
          <w:b w:val="false"/>
          <w:bCs w:val="false"/>
          <w:position w:val="0"/>
          <w:sz w:val="24"/>
          <w:szCs w:val="24"/>
          <w:u w:val="none"/>
          <w:vertAlign w:val="baseline"/>
          <w:lang w:val="en-GB"/>
        </w:rPr>
        <w:t>. It is these structural failures, not the movies people watch, that are the real drivers of social unrest.</w:t>
      </w:r>
    </w:p>
    <w:p>
      <w:pPr>
        <w:pStyle w:val="Normal"/>
        <w:spacing w:lineRule="auto" w:line="480"/>
        <w:ind w:firstLine="708"/>
        <w:jc w:val="both"/>
        <w:rPr/>
      </w:pPr>
      <w:r>
        <w:rPr>
          <w:rFonts w:eastAsia="Times New Roman" w:cs="Times New Roman" w:ascii="Times New Roman" w:hAnsi="Times New Roman"/>
          <w:b w:val="false"/>
          <w:bCs w:val="false"/>
          <w:sz w:val="24"/>
          <w:szCs w:val="24"/>
          <w:u w:val="none"/>
          <w:lang w:val="en-GB"/>
        </w:rPr>
        <w:t>In both the UK and the US hooliganism was blamed for creating a culture of violence and street wars. However, for each side of the Atlantic, they had different reactions and perspectives on the situation. The British treat the hooligan as a symbol of decline as well as another way of diverting attention. The US however, the violence is not culture in the way it was viewed in the UK but is a “functional adaptation to an uncompromising social environment”</w:t>
      </w:r>
      <w:r>
        <w:rPr>
          <w:rStyle w:val="FootnoteReference"/>
          <w:rFonts w:eastAsia="Times New Roman" w:cs="Times New Roman" w:ascii="Times New Roman" w:hAnsi="Times New Roman"/>
          <w:b w:val="false"/>
          <w:bCs w:val="false"/>
          <w:sz w:val="24"/>
          <w:szCs w:val="24"/>
          <w:u w:val="none"/>
          <w:lang w:val="en-GB"/>
        </w:rPr>
        <w:footnoteReference w:id="13"/>
      </w:r>
      <w:r>
        <w:rPr>
          <w:rStyle w:val="FootnoteCharactersuser"/>
          <w:rFonts w:eastAsia="Times New Roman" w:cs="Times New Roman" w:ascii="Times New Roman" w:hAnsi="Times New Roman"/>
          <w:b w:val="false"/>
          <w:bCs w:val="false"/>
          <w:position w:val="0"/>
          <w:sz w:val="24"/>
          <w:szCs w:val="24"/>
          <w:u w:val="none"/>
          <w:vertAlign w:val="baseline"/>
          <w:lang w:val="en-GB"/>
        </w:rPr>
        <w:t xml:space="preserve">.  </w:t>
      </w:r>
      <w:r>
        <w:rPr>
          <w:rStyle w:val="FootnoteCharactersuser"/>
          <w:rFonts w:eastAsia="Times New Roman" w:cs="Times New Roman" w:ascii="Times New Roman" w:hAnsi="Times New Roman"/>
          <w:b w:val="false"/>
          <w:bCs w:val="false"/>
          <w:position w:val="0"/>
          <w:sz w:val="24"/>
          <w:szCs w:val="24"/>
          <w:u w:val="none"/>
          <w:vertAlign w:val="baseline"/>
          <w:lang w:val="en-GB"/>
        </w:rPr>
        <w:t xml:space="preserve">With this distinction established, British experience warrants closer examination. </w:t>
      </w:r>
      <w:r>
        <w:rPr>
          <w:rStyle w:val="FootnoteCharactersuser"/>
          <w:rFonts w:eastAsia="Times New Roman" w:cs="Times New Roman" w:ascii="Times New Roman" w:hAnsi="Times New Roman"/>
          <w:b w:val="false"/>
          <w:bCs w:val="false"/>
          <w:position w:val="0"/>
          <w:sz w:val="24"/>
          <w:szCs w:val="24"/>
          <w:u w:val="none"/>
          <w:vertAlign w:val="baseline"/>
          <w:lang w:val="en-GB"/>
        </w:rPr>
        <w:t>British society is constantly inventing new ‘devils’ to represent social decline, with society witnessing a “rapid oscillation from one such devil to another […] the soccer hooligan, the hippy, the skinhead”</w:t>
      </w:r>
      <w:r>
        <w:rPr>
          <w:rStyle w:val="FootnoteCharactersuser"/>
          <w:rStyle w:val="FootnoteReference"/>
          <w:rFonts w:eastAsia="Times New Roman" w:cs="Times New Roman" w:ascii="Times New Roman" w:hAnsi="Times New Roman"/>
          <w:b w:val="false"/>
          <w:bCs w:val="false"/>
          <w:position w:val="0"/>
          <w:sz w:val="24"/>
          <w:szCs w:val="24"/>
          <w:u w:val="none"/>
          <w:vertAlign w:val="baseline"/>
          <w:lang w:val="en-GB"/>
        </w:rPr>
        <w:footnoteReference w:id="14"/>
      </w:r>
      <w:r>
        <w:rPr>
          <w:rStyle w:val="FootnoteCharactersuser"/>
          <w:rFonts w:eastAsia="Times New Roman" w:cs="Times New Roman" w:ascii="Times New Roman" w:hAnsi="Times New Roman"/>
          <w:b w:val="false"/>
          <w:bCs w:val="false"/>
          <w:position w:val="0"/>
          <w:sz w:val="24"/>
          <w:szCs w:val="24"/>
          <w:u w:val="none"/>
          <w:vertAlign w:val="baseline"/>
          <w:lang w:val="en-GB"/>
        </w:rPr>
        <w:t>, perfectly describing the shift in focus from the Mod to the football hooligan. It also serves as a robust defence against the "media effects" argument; because hooliganism is far from a new phenomenon caused by cinema, it must be understood as a “stable feature of a changing society”</w:t>
      </w:r>
      <w:r>
        <w:rPr>
          <w:rStyle w:val="FootnoteCharactersuser"/>
          <w:rStyle w:val="FootnoteReference"/>
          <w:rFonts w:eastAsia="Times New Roman" w:cs="Times New Roman" w:ascii="Times New Roman" w:hAnsi="Times New Roman"/>
          <w:b w:val="false"/>
          <w:bCs w:val="false"/>
          <w:position w:val="0"/>
          <w:sz w:val="24"/>
          <w:szCs w:val="24"/>
          <w:u w:val="none"/>
          <w:vertAlign w:val="baseline"/>
          <w:lang w:val="en-GB"/>
        </w:rPr>
        <w:footnoteReference w:id="15"/>
      </w:r>
      <w:r>
        <w:rPr>
          <w:rStyle w:val="FootnoteCharactersuser"/>
          <w:rFonts w:eastAsia="Times New Roman" w:cs="Times New Roman" w:ascii="Times New Roman" w:hAnsi="Times New Roman"/>
          <w:b w:val="false"/>
          <w:bCs w:val="false"/>
          <w:position w:val="0"/>
          <w:sz w:val="24"/>
          <w:szCs w:val="24"/>
          <w:u w:val="none"/>
          <w:vertAlign w:val="baseline"/>
          <w:lang w:val="en-GB"/>
        </w:rPr>
        <w:t xml:space="preserve">. </w:t>
      </w:r>
      <w:r>
        <w:rPr>
          <w:rStyle w:val="FootnoteCharactersuser"/>
          <w:rFonts w:eastAsia="Times New Roman" w:cs="Times New Roman" w:ascii="Times New Roman" w:hAnsi="Times New Roman"/>
          <w:b w:val="false"/>
          <w:bCs w:val="false"/>
          <w:position w:val="0"/>
          <w:sz w:val="24"/>
          <w:szCs w:val="24"/>
          <w:u w:val="none"/>
          <w:vertAlign w:val="baseline"/>
          <w:lang w:val="en-GB"/>
        </w:rPr>
        <w:t>The state focuses on these groups on purpose, to find a “convenient metaphor for wider social tensions”</w:t>
      </w:r>
      <w:r>
        <w:rPr>
          <w:rStyle w:val="FootnoteCharactersuser"/>
          <w:rStyle w:val="FootnoteReference"/>
          <w:rFonts w:eastAsia="Times New Roman" w:cs="Times New Roman" w:ascii="Times New Roman" w:hAnsi="Times New Roman"/>
          <w:b w:val="false"/>
          <w:bCs w:val="false"/>
          <w:position w:val="0"/>
          <w:sz w:val="24"/>
          <w:szCs w:val="24"/>
          <w:u w:val="none"/>
          <w:vertAlign w:val="baseline"/>
          <w:lang w:val="en-GB"/>
        </w:rPr>
        <w:footnoteReference w:id="16"/>
      </w:r>
      <w:r>
        <w:rPr>
          <w:rStyle w:val="FootnoteCharactersuser"/>
          <w:rFonts w:eastAsia="Times New Roman" w:cs="Times New Roman" w:ascii="Times New Roman" w:hAnsi="Times New Roman"/>
          <w:b w:val="false"/>
          <w:bCs w:val="false"/>
          <w:position w:val="0"/>
          <w:sz w:val="24"/>
          <w:szCs w:val="24"/>
          <w:u w:val="none"/>
          <w:vertAlign w:val="baseline"/>
          <w:lang w:val="en-GB"/>
        </w:rPr>
        <w:t>, giving the government a scapegoat to ignore the underlying issues of “unemployment, shabby entertainment and poor housing”</w:t>
      </w:r>
      <w:r>
        <w:rPr>
          <w:rStyle w:val="FootnoteCharactersuser"/>
          <w:rStyle w:val="FootnoteReference"/>
          <w:rFonts w:eastAsia="Times New Roman" w:cs="Times New Roman" w:ascii="Times New Roman" w:hAnsi="Times New Roman"/>
          <w:b w:val="false"/>
          <w:bCs w:val="false"/>
          <w:position w:val="0"/>
          <w:sz w:val="24"/>
          <w:szCs w:val="24"/>
          <w:u w:val="none"/>
          <w:vertAlign w:val="baseline"/>
          <w:lang w:val="en-GB"/>
        </w:rPr>
        <w:footnoteReference w:id="17"/>
      </w:r>
      <w:r>
        <w:rPr>
          <w:rStyle w:val="FootnoteCharactersuser"/>
          <w:rFonts w:eastAsia="Times New Roman" w:cs="Times New Roman" w:ascii="Times New Roman" w:hAnsi="Times New Roman"/>
          <w:b w:val="false"/>
          <w:bCs w:val="false"/>
          <w:position w:val="0"/>
          <w:sz w:val="24"/>
          <w:szCs w:val="24"/>
          <w:u w:val="none"/>
          <w:vertAlign w:val="baseline"/>
          <w:lang w:val="en-GB"/>
        </w:rPr>
        <w:t>. The behaviour of the hooligan was driven by the poor economic conditions, which were the true power behind the rise in disorder. However, because the average person felt that the country was failing, they needed a tangible reason for their hardship. To solve this society effectively invented a ‘devil’ allowing them to direct their anger towards a specific group rather than the inhumane economic forces that were actually to blame. The desire to punish the ‘devil’ rather than fix the economy resulted in “one of the most repressive pieces of legislation to be introduced by a modern British government”</w:t>
      </w:r>
      <w:r>
        <w:rPr>
          <w:rStyle w:val="FootnoteCharactersuser"/>
          <w:rStyle w:val="FootnoteReference"/>
          <w:rFonts w:eastAsia="Times New Roman" w:cs="Times New Roman" w:ascii="Times New Roman" w:hAnsi="Times New Roman"/>
          <w:b w:val="false"/>
          <w:bCs w:val="false"/>
          <w:position w:val="0"/>
          <w:sz w:val="24"/>
          <w:szCs w:val="24"/>
          <w:u w:val="none"/>
          <w:vertAlign w:val="baseline"/>
          <w:lang w:val="en-GB"/>
        </w:rPr>
        <w:footnoteReference w:id="18"/>
      </w:r>
      <w:r>
        <w:rPr>
          <w:rStyle w:val="FootnoteCharactersuser"/>
          <w:rFonts w:eastAsia="Times New Roman" w:cs="Times New Roman" w:ascii="Times New Roman" w:hAnsi="Times New Roman"/>
          <w:b w:val="false"/>
          <w:bCs w:val="false"/>
          <w:position w:val="0"/>
          <w:sz w:val="24"/>
          <w:szCs w:val="24"/>
          <w:u w:val="none"/>
          <w:vertAlign w:val="baseline"/>
          <w:lang w:val="en-GB"/>
        </w:rPr>
        <w:t>, referring to the Criminal Justice and Public Order Act 1994 which infamously criminalised gatherings featuring music associated with the ‘devil’. By targeting these lifestyles, the Act essentially criminalised youth subcultures confirming that in Britain the rise of anti-social behaviour is often less about its ‘danger’ and more related to the governments refusal to accept youth subculture as anything other than a problem. In contrast, the US experience of youth subcultures was vastly different. Instead of the violence being a ‘style’ and a ‘rebellion’, in the US it was a logical reaction to a destroyed environment. Violence is a “functional adaptation to an uncompromising social environment”</w:t>
      </w:r>
      <w:r>
        <w:rPr>
          <w:rStyle w:val="FootnoteCharactersuser"/>
          <w:rStyle w:val="FootnoteReference"/>
          <w:rFonts w:eastAsia="Times New Roman" w:cs="Times New Roman" w:ascii="Times New Roman" w:hAnsi="Times New Roman"/>
          <w:b w:val="false"/>
          <w:bCs w:val="false"/>
          <w:position w:val="0"/>
          <w:sz w:val="24"/>
          <w:szCs w:val="24"/>
          <w:u w:val="none"/>
          <w:vertAlign w:val="baseline"/>
          <w:lang w:val="en-GB"/>
        </w:rPr>
        <w:footnoteReference w:id="19"/>
      </w:r>
      <w:r>
        <w:rPr>
          <w:rStyle w:val="FootnoteCharactersuser"/>
          <w:rFonts w:eastAsia="Times New Roman" w:cs="Times New Roman" w:ascii="Times New Roman" w:hAnsi="Times New Roman"/>
          <w:b w:val="false"/>
          <w:bCs w:val="false"/>
          <w:position w:val="0"/>
          <w:sz w:val="24"/>
          <w:szCs w:val="24"/>
          <w:u w:val="none"/>
          <w:vertAlign w:val="baseline"/>
          <w:lang w:val="en-GB"/>
        </w:rPr>
        <w:t>, a stark contrast where for the American youth violence is not influenced by movies, fashion or other media, they are violent because it is the only tool that works to keep them safe in what can be seen as a broken and unsafe world. When the support systems were removed such as schools, gangs took over, occurring in spaces where the gang performs cultural and economic functions "no longer adequately performed by the family, the school, and the labor market"</w:t>
      </w:r>
      <w:r>
        <w:rPr>
          <w:rStyle w:val="FootnoteCharactersuser"/>
          <w:rStyle w:val="FootnoteReference"/>
          <w:rFonts w:eastAsia="Times New Roman" w:cs="Times New Roman" w:ascii="Times New Roman" w:hAnsi="Times New Roman"/>
          <w:b w:val="false"/>
          <w:bCs w:val="false"/>
          <w:position w:val="0"/>
          <w:sz w:val="24"/>
          <w:szCs w:val="24"/>
          <w:u w:val="none"/>
          <w:vertAlign w:val="baseline"/>
          <w:lang w:val="en-GB"/>
        </w:rPr>
        <w:footnoteReference w:id="20"/>
      </w:r>
      <w:r>
        <w:rPr>
          <w:rStyle w:val="FootnoteCharactersuser"/>
          <w:rFonts w:eastAsia="Times New Roman" w:cs="Times New Roman" w:ascii="Times New Roman" w:hAnsi="Times New Roman"/>
          <w:b w:val="false"/>
          <w:bCs w:val="false"/>
          <w:position w:val="0"/>
          <w:sz w:val="24"/>
          <w:szCs w:val="24"/>
          <w:u w:val="none"/>
          <w:vertAlign w:val="baseline"/>
          <w:lang w:val="en-GB"/>
        </w:rPr>
        <w:t>. The failing of these systems was not accidental, but frequently magnified by states policy and the “demolition of nearly all Chicago’s public housing”</w:t>
      </w:r>
      <w:r>
        <w:rPr>
          <w:rStyle w:val="FootnoteCharactersuser"/>
          <w:rStyle w:val="FootnoteReference"/>
          <w:rFonts w:eastAsia="Times New Roman" w:cs="Times New Roman" w:ascii="Times New Roman" w:hAnsi="Times New Roman"/>
          <w:b w:val="false"/>
          <w:bCs w:val="false"/>
          <w:position w:val="0"/>
          <w:sz w:val="24"/>
          <w:szCs w:val="24"/>
          <w:u w:val="none"/>
          <w:vertAlign w:val="baseline"/>
          <w:lang w:val="en-GB"/>
        </w:rPr>
        <w:footnoteReference w:id="21"/>
      </w:r>
      <w:r>
        <w:rPr>
          <w:rStyle w:val="FootnoteCharactersuser"/>
          <w:rFonts w:eastAsia="Times New Roman" w:cs="Times New Roman" w:ascii="Times New Roman" w:hAnsi="Times New Roman"/>
          <w:b w:val="false"/>
          <w:bCs w:val="false"/>
          <w:position w:val="0"/>
          <w:sz w:val="24"/>
          <w:szCs w:val="24"/>
          <w:u w:val="none"/>
          <w:vertAlign w:val="baseline"/>
          <w:lang w:val="en-GB"/>
        </w:rPr>
        <w:t xml:space="preserve">. This effectively broke the existing social order forcing these youth subcultures into conflict over the depleting resources, which in essence removed the structures of community authority. This is the exact opposite of the British focus on policing the youth subcultures, the American experience is a demonstration of what was covered up in the British system, the direct result of a structural failure rather than cultural imitation. </w:t>
      </w:r>
    </w:p>
    <w:p>
      <w:pPr>
        <w:pStyle w:val="Normal"/>
        <w:spacing w:lineRule="auto" w:line="480" w:before="0" w:after="200"/>
        <w:ind w:firstLine="708"/>
        <w:jc w:val="both"/>
        <w:rPr/>
      </w:pPr>
      <w:r>
        <w:rPr>
          <w:rStyle w:val="FootnoteCharactersuser"/>
          <w:rFonts w:eastAsia="Times New Roman" w:cs="Times New Roman" w:ascii="Times New Roman" w:hAnsi="Times New Roman"/>
          <w:b w:val="false"/>
          <w:bCs w:val="false"/>
          <w:position w:val="0"/>
          <w:sz w:val="24"/>
          <w:szCs w:val="24"/>
          <w:u w:val="none"/>
          <w:vertAlign w:val="baseline"/>
          <w:lang w:val="en-GB"/>
        </w:rPr>
        <w:t>Beyond the panics surrounding hooligans and gangs, towards the late twentieth century the idea emerged that a specific 'culture of poverty' was responsible for the rise in anti-social behaviour. In the British context, this cultural blame is most evident in the adoption of the term “underclass”</w:t>
      </w:r>
      <w:r>
        <w:rPr>
          <w:rStyle w:val="FootnoteCharactersuser"/>
          <w:rStyle w:val="FootnoteReference"/>
          <w:rFonts w:eastAsia="Times New Roman" w:cs="Times New Roman" w:ascii="Times New Roman" w:hAnsi="Times New Roman"/>
          <w:b w:val="false"/>
          <w:bCs w:val="false"/>
          <w:position w:val="0"/>
          <w:sz w:val="24"/>
          <w:szCs w:val="24"/>
          <w:u w:val="none"/>
          <w:vertAlign w:val="baseline"/>
          <w:lang w:val="en-GB"/>
        </w:rPr>
        <w:footnoteReference w:id="22"/>
      </w:r>
      <w:r>
        <w:rPr>
          <w:rStyle w:val="FootnoteCharactersuser"/>
          <w:rFonts w:eastAsia="Times New Roman" w:cs="Times New Roman" w:ascii="Times New Roman" w:hAnsi="Times New Roman"/>
          <w:b w:val="false"/>
          <w:bCs w:val="false"/>
          <w:position w:val="0"/>
          <w:sz w:val="24"/>
          <w:szCs w:val="24"/>
          <w:u w:val="none"/>
          <w:vertAlign w:val="baseline"/>
          <w:lang w:val="en-GB"/>
        </w:rPr>
        <w:t>, used to suggest that poverty is the result of “serious character flaws”</w:t>
      </w:r>
      <w:r>
        <w:rPr>
          <w:rStyle w:val="FootnoteCharactersuser"/>
          <w:rStyle w:val="FootnoteReference"/>
          <w:rFonts w:eastAsia="Times New Roman" w:cs="Times New Roman" w:ascii="Times New Roman" w:hAnsi="Times New Roman"/>
          <w:b w:val="false"/>
          <w:bCs w:val="false"/>
          <w:position w:val="0"/>
          <w:sz w:val="24"/>
          <w:szCs w:val="24"/>
          <w:u w:val="none"/>
          <w:vertAlign w:val="baseline"/>
          <w:lang w:val="en-GB"/>
        </w:rPr>
        <w:footnoteReference w:id="23"/>
      </w:r>
      <w:r>
        <w:rPr>
          <w:rStyle w:val="FootnoteCharactersuser"/>
          <w:rFonts w:eastAsia="Times New Roman" w:cs="Times New Roman" w:ascii="Times New Roman" w:hAnsi="Times New Roman"/>
          <w:b w:val="false"/>
          <w:bCs w:val="false"/>
          <w:position w:val="0"/>
          <w:sz w:val="24"/>
          <w:szCs w:val="24"/>
          <w:u w:val="none"/>
          <w:vertAlign w:val="baseline"/>
          <w:lang w:val="en-GB"/>
        </w:rPr>
        <w:t xml:space="preserve"> rather than economic necessity. However, when examined deeper it reveals that the driver of a lot of the later anti-social behaviour in the twentieth century was not a rejection of society’s values, but rather an over adherence to consumerist ideals. In a society where fashion became a status symbol which in a capitalist, consumerist environment creates an “insatiable desire”</w:t>
      </w:r>
      <w:r>
        <w:rPr>
          <w:rStyle w:val="FootnoteCharactersuser"/>
          <w:rStyle w:val="FootnoteReference"/>
          <w:rFonts w:eastAsia="Times New Roman" w:cs="Times New Roman" w:ascii="Times New Roman" w:hAnsi="Times New Roman"/>
          <w:b w:val="false"/>
          <w:bCs w:val="false"/>
          <w:position w:val="0"/>
          <w:sz w:val="24"/>
          <w:szCs w:val="24"/>
          <w:u w:val="none"/>
          <w:vertAlign w:val="baseline"/>
          <w:lang w:val="en-GB"/>
        </w:rPr>
        <w:footnoteReference w:id="24"/>
      </w:r>
      <w:r>
        <w:rPr>
          <w:rStyle w:val="FootnoteCharactersuser"/>
          <w:rFonts w:eastAsia="Times New Roman" w:cs="Times New Roman" w:ascii="Times New Roman" w:hAnsi="Times New Roman"/>
          <w:b w:val="false"/>
          <w:bCs w:val="false"/>
          <w:position w:val="0"/>
          <w:sz w:val="24"/>
          <w:szCs w:val="24"/>
          <w:u w:val="none"/>
          <w:vertAlign w:val="baseline"/>
          <w:lang w:val="en-GB"/>
        </w:rPr>
        <w:t xml:space="preserve"> for branded designs, where the inability to participate in consumerism is made to feel like a “state of humiliation”</w:t>
      </w:r>
      <w:r>
        <w:rPr>
          <w:rStyle w:val="FootnoteCharactersuser"/>
          <w:rStyle w:val="FootnoteReference"/>
          <w:rFonts w:eastAsia="Times New Roman" w:cs="Times New Roman" w:ascii="Times New Roman" w:hAnsi="Times New Roman"/>
          <w:b w:val="false"/>
          <w:bCs w:val="false"/>
          <w:position w:val="0"/>
          <w:sz w:val="24"/>
          <w:szCs w:val="24"/>
          <w:u w:val="none"/>
          <w:vertAlign w:val="baseline"/>
          <w:lang w:val="en-GB"/>
        </w:rPr>
        <w:footnoteReference w:id="25"/>
      </w:r>
      <w:r>
        <w:rPr>
          <w:rStyle w:val="FootnoteCharactersuser"/>
          <w:rFonts w:eastAsia="Times New Roman" w:cs="Times New Roman" w:ascii="Times New Roman" w:hAnsi="Times New Roman"/>
          <w:b w:val="false"/>
          <w:bCs w:val="false"/>
          <w:position w:val="0"/>
          <w:sz w:val="24"/>
          <w:szCs w:val="24"/>
          <w:u w:val="none"/>
          <w:vertAlign w:val="baseline"/>
          <w:lang w:val="en-GB"/>
        </w:rPr>
        <w:t xml:space="preserve">. </w:t>
      </w:r>
    </w:p>
    <w:sectPr>
      <w:footerReference w:type="even" r:id="rId2"/>
      <w:footerReference w:type="default" r:id="rId3"/>
      <w:footerReference w:type="first" r:id="rId4"/>
      <w:footnotePr>
        <w:numFmt w:val="decimal"/>
      </w:footnotePr>
      <w:type w:val="nextPage"/>
      <w:pgSz w:w="11906" w:h="16838"/>
      <w:pgMar w:left="1417" w:right="1417" w:gutter="0" w:header="0" w:top="1417" w:footer="709"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 w:name="PageNumWizard_FOOTER_Default_Page_Style3"/>
    <w:r>
      <w:rPr/>
      <w:fldChar w:fldCharType="begin"/>
    </w:r>
    <w:r>
      <w:rPr/>
      <w:instrText xml:space="preserve"> PAGE </w:instrText>
    </w:r>
    <w:r>
      <w:rPr/>
      <w:fldChar w:fldCharType="separate"/>
    </w:r>
    <w:r>
      <w:rPr/>
      <w:t>2</w:t>
    </w:r>
    <w:r>
      <w:rPr/>
      <w:fldChar w:fldCharType="end"/>
    </w:r>
    <w:r>
      <w:rPr/>
      <w:t xml:space="preserve"> </w:t>
    </w:r>
    <w:r>
      <w:rPr/>
      <w:t xml:space="preserve">/ </w:t>
    </w:r>
    <w:r>
      <w:rPr/>
      <w:fldChar w:fldCharType="begin"/>
    </w:r>
    <w:r>
      <w:rPr/>
      <w:instrText xml:space="preserve"> NUMPAGES </w:instrText>
    </w:r>
    <w:r>
      <w:rPr/>
      <w:fldChar w:fldCharType="separate"/>
    </w:r>
    <w:r>
      <w:rPr/>
      <w:t>5</w:t>
    </w:r>
    <w:r>
      <w:rPr/>
      <w:fldChar w:fldCharType="end"/>
    </w:r>
    <w:bookmarkEnd w:id="2"/>
  </w:p>
  <w:p>
    <w:pPr>
      <w:pStyle w:val="Footer"/>
      <w:jc w:val="end"/>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3" w:name="PageNumWizard_FOOTER_Default_Page_Style3"/>
    <w:r>
      <w:rPr/>
      <w:fldChar w:fldCharType="begin"/>
    </w:r>
    <w:r>
      <w:rPr/>
      <w:instrText xml:space="preserve"> PAGE </w:instrText>
    </w:r>
    <w:r>
      <w:rPr/>
      <w:fldChar w:fldCharType="separate"/>
    </w:r>
    <w:r>
      <w:rPr/>
      <w:t>2</w:t>
    </w:r>
    <w:r>
      <w:rPr/>
      <w:fldChar w:fldCharType="end"/>
    </w:r>
    <w:r>
      <w:rPr/>
      <w:t xml:space="preserve"> </w:t>
    </w:r>
    <w:r>
      <w:rPr/>
      <w:t xml:space="preserve">/ </w:t>
    </w:r>
    <w:r>
      <w:rPr/>
      <w:fldChar w:fldCharType="begin"/>
    </w:r>
    <w:r>
      <w:rPr/>
      <w:instrText xml:space="preserve"> NUMPAGES </w:instrText>
    </w:r>
    <w:r>
      <w:rPr/>
      <w:fldChar w:fldCharType="separate"/>
    </w:r>
    <w:r>
      <w:rPr/>
      <w:t>5</w:t>
    </w:r>
    <w:r>
      <w:rPr/>
      <w:fldChar w:fldCharType="end"/>
    </w:r>
    <w:bookmarkEnd w:id="3"/>
  </w:p>
  <w:p>
    <w:pPr>
      <w:pStyle w:val="Footer"/>
      <w:jc w:val="end"/>
      <w:rPr/>
    </w:pPr>
    <w:r>
      <w:rPr/>
    </w:r>
  </w:p>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ind w:hanging="0"/>
        <w:rPr>
          <w:rFonts w:ascii="Times New Roman" w:hAnsi="Times New Roman" w:cs="Times New Roman"/>
        </w:rPr>
      </w:pPr>
      <w:r>
        <w:rPr>
          <w:rStyle w:val="FootnoteCharacters"/>
        </w:rPr>
        <w:footnoteRef/>
      </w: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Barker, M., and J. Petley, eds,</w:t>
      </w:r>
      <w:r>
        <w:rPr>
          <w:rFonts w:eastAsia="Times New Roman" w:cs="Times New Roman" w:ascii="Times New Roman" w:hAnsi="Times New Roman"/>
          <w:i/>
          <w:iCs/>
          <w:sz w:val="20"/>
          <w:szCs w:val="20"/>
        </w:rPr>
        <w:t xml:space="preserve"> Ill Effects: The Media/Violence Debate</w:t>
      </w:r>
      <w:r>
        <w:rPr>
          <w:rFonts w:eastAsia="Times New Roman" w:cs="Times New Roman" w:ascii="Times New Roman" w:hAnsi="Times New Roman"/>
          <w:sz w:val="20"/>
          <w:szCs w:val="20"/>
        </w:rPr>
        <w:t>, 2nd edn (London: Routledge, 2001)</w:t>
      </w:r>
      <w:r>
        <w:rPr>
          <w:rFonts w:eastAsia="Times New Roman" w:cs="Times New Roman" w:ascii="Times New Roman" w:hAnsi="Times New Roman"/>
          <w:sz w:val="20"/>
          <w:szCs w:val="20"/>
          <w:lang w:val="en-US"/>
        </w:rPr>
        <w:t>. P. 171.</w:t>
      </w:r>
    </w:p>
  </w:footnote>
  <w:footnote w:id="3">
    <w:p>
      <w:pPr>
        <w:pStyle w:val="FootnoteText"/>
        <w:ind w:hanging="0"/>
        <w:rPr>
          <w:rFonts w:ascii="Times New Roman" w:hAnsi="Times New Roman" w:cs="Times New Roman"/>
          <w:sz w:val="20"/>
          <w:szCs w:val="20"/>
        </w:rPr>
      </w:pPr>
      <w:r>
        <w:rPr>
          <w:rStyle w:val="FootnoteCharacters"/>
        </w:rPr>
        <w:footnoteRef/>
      </w:r>
      <w:r>
        <w:rPr>
          <w:rFonts w:eastAsia="Times New Roman" w:cs="Times New Roman" w:ascii="Times New Roman" w:hAnsi="Times New Roman"/>
          <w:sz w:val="20"/>
          <w:szCs w:val="20"/>
        </w:rPr>
        <w:t xml:space="preserve">Barker and Petley, </w:t>
      </w:r>
      <w:r>
        <w:rPr>
          <w:rFonts w:eastAsia="Times New Roman" w:cs="Times New Roman" w:ascii="Times New Roman" w:hAnsi="Times New Roman"/>
          <w:i/>
          <w:iCs/>
          <w:sz w:val="20"/>
          <w:szCs w:val="20"/>
        </w:rPr>
        <w:t xml:space="preserve">Ill Effects, </w:t>
      </w:r>
      <w:r>
        <w:rPr>
          <w:rFonts w:eastAsia="Times New Roman" w:cs="Times New Roman" w:ascii="Times New Roman" w:hAnsi="Times New Roman"/>
          <w:i w:val="false"/>
          <w:iCs w:val="false"/>
          <w:sz w:val="20"/>
          <w:szCs w:val="20"/>
        </w:rPr>
        <w:t>p. 176.</w:t>
      </w:r>
    </w:p>
  </w:footnote>
  <w:footnote w:id="4">
    <w:p>
      <w:pPr>
        <w:pStyle w:val="FootnoteText"/>
        <w:bidi w:val="0"/>
        <w:ind w:hanging="0"/>
        <w:rPr>
          <w:rFonts w:ascii="Times New Roman" w:hAnsi="Times New Roman" w:cs="Times New Roman"/>
          <w:sz w:val="20"/>
          <w:szCs w:val="20"/>
        </w:rPr>
      </w:pPr>
      <w:r>
        <w:rPr>
          <w:rStyle w:val="FootnoteCharacters"/>
        </w:rPr>
        <w:footnoteRef/>
      </w: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xml:space="preserve">Barker and Petley, </w:t>
      </w:r>
      <w:r>
        <w:rPr>
          <w:rFonts w:eastAsia="Times New Roman" w:cs="Times New Roman" w:ascii="Times New Roman" w:hAnsi="Times New Roman"/>
          <w:i/>
          <w:iCs/>
          <w:sz w:val="20"/>
          <w:szCs w:val="20"/>
        </w:rPr>
        <w:t xml:space="preserve">Ill Effects, </w:t>
      </w:r>
      <w:r>
        <w:rPr>
          <w:rFonts w:eastAsia="Times New Roman" w:cs="Times New Roman" w:ascii="Times New Roman" w:hAnsi="Times New Roman"/>
          <w:i w:val="false"/>
          <w:iCs w:val="false"/>
          <w:sz w:val="20"/>
          <w:szCs w:val="20"/>
        </w:rPr>
        <w:t xml:space="preserve">p. 179. </w:t>
      </w:r>
    </w:p>
  </w:footnote>
  <w:footnote w:id="5">
    <w:p>
      <w:pPr>
        <w:pStyle w:val="FootnoteText"/>
        <w:bidi w:val="0"/>
        <w:ind w:hanging="0"/>
        <w:rPr>
          <w:rFonts w:ascii="Times New Roman" w:hAnsi="Times New Roman" w:cs="Times New Roman"/>
          <w:sz w:val="20"/>
          <w:szCs w:val="20"/>
        </w:rPr>
      </w:pPr>
      <w:r>
        <w:rPr>
          <w:rStyle w:val="FootnoteCharacters"/>
        </w:rPr>
        <w:footnoteRef/>
      </w: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xml:space="preserve">Barker and Petley, </w:t>
      </w:r>
      <w:r>
        <w:rPr>
          <w:rFonts w:eastAsia="Times New Roman" w:cs="Times New Roman" w:ascii="Times New Roman" w:hAnsi="Times New Roman"/>
          <w:i/>
          <w:iCs/>
          <w:sz w:val="20"/>
          <w:szCs w:val="20"/>
        </w:rPr>
        <w:t xml:space="preserve">Ill Effects, </w:t>
      </w:r>
      <w:r>
        <w:rPr>
          <w:rFonts w:eastAsia="Times New Roman" w:cs="Times New Roman" w:ascii="Times New Roman" w:hAnsi="Times New Roman"/>
          <w:i w:val="false"/>
          <w:iCs w:val="false"/>
          <w:sz w:val="20"/>
          <w:szCs w:val="20"/>
        </w:rPr>
        <w:t>p. 171.</w:t>
      </w:r>
    </w:p>
  </w:footnote>
  <w:footnote w:id="6">
    <w:p>
      <w:pPr>
        <w:pStyle w:val="FootnoteText"/>
        <w:bidi w:val="0"/>
        <w:ind w:hanging="0"/>
        <w:rPr>
          <w:rFonts w:ascii="Times New Roman" w:hAnsi="Times New Roman" w:cs="Times New Roman"/>
          <w:color w:themeColor="text1" w:val="000000"/>
          <w:sz w:val="20"/>
          <w:szCs w:val="20"/>
        </w:rPr>
      </w:pPr>
      <w:r>
        <w:rPr>
          <w:rStyle w:val="FootnoteCharacters"/>
        </w:rPr>
        <w:footnoteRef/>
      </w:r>
      <w:r>
        <w:rPr>
          <w:rFonts w:eastAsia="Times New Roman" w:cs="Times New Roman" w:ascii="Times New Roman" w:hAnsi="Times New Roman"/>
          <w:sz w:val="20"/>
          <w:szCs w:val="20"/>
        </w:rPr>
        <w:t xml:space="preserve"> </w:t>
      </w:r>
      <w:r>
        <w:rPr>
          <w:rFonts w:eastAsia="Times New Roman" w:cs="Times New Roman" w:ascii="Times New Roman" w:hAnsi="Times New Roman"/>
          <w:color w:themeColor="text1" w:val="000000"/>
          <w:sz w:val="20"/>
          <w:szCs w:val="20"/>
          <w:lang w:val="en-GB"/>
        </w:rPr>
        <w:t xml:space="preserve">S. Cohen, </w:t>
      </w:r>
      <w:r>
        <w:rPr>
          <w:rFonts w:eastAsia="Times New Roman" w:cs="Times New Roman" w:ascii="Times New Roman" w:hAnsi="Times New Roman"/>
          <w:i/>
          <w:iCs/>
          <w:color w:themeColor="text1" w:val="000000"/>
          <w:sz w:val="20"/>
          <w:szCs w:val="20"/>
          <w:lang w:val="en-GB"/>
        </w:rPr>
        <w:t>Folk Devils and Moral Panics: The Creation of the Mods and Rockers</w:t>
      </w:r>
      <w:r>
        <w:rPr>
          <w:rFonts w:eastAsia="Times New Roman" w:cs="Times New Roman" w:ascii="Times New Roman" w:hAnsi="Times New Roman"/>
          <w:color w:themeColor="text1" w:val="000000"/>
          <w:sz w:val="20"/>
          <w:szCs w:val="20"/>
          <w:lang w:val="en-GB"/>
        </w:rPr>
        <w:t>, 3rd edn (London: Routledge, 2011), p. 11.</w:t>
      </w:r>
    </w:p>
  </w:footnote>
  <w:footnote w:id="7">
    <w:p>
      <w:pPr>
        <w:pStyle w:val="FootnoteText"/>
        <w:bidi w:val="0"/>
        <w:ind w:hanging="0"/>
        <w:rPr>
          <w:rFonts w:ascii="Times New Roman" w:hAnsi="Times New Roman" w:cs="Times New Roman"/>
          <w:i w:val="false"/>
          <w:iCs w:val="false"/>
          <w:sz w:val="20"/>
          <w:szCs w:val="20"/>
        </w:rPr>
      </w:pPr>
      <w:r>
        <w:rPr>
          <w:rStyle w:val="FootnoteCharacters"/>
        </w:rPr>
        <w:footnoteRef/>
      </w: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xml:space="preserve">Cohen, </w:t>
      </w:r>
      <w:r>
        <w:rPr>
          <w:rFonts w:eastAsia="Times New Roman" w:cs="Times New Roman" w:ascii="Times New Roman" w:hAnsi="Times New Roman"/>
          <w:i/>
          <w:iCs/>
          <w:sz w:val="20"/>
          <w:szCs w:val="20"/>
        </w:rPr>
        <w:t>Folk Devils and Moral Panics</w:t>
      </w:r>
      <w:r>
        <w:rPr>
          <w:rFonts w:eastAsia="Times New Roman" w:cs="Times New Roman" w:ascii="Times New Roman" w:hAnsi="Times New Roman"/>
          <w:i w:val="false"/>
          <w:iCs w:val="false"/>
          <w:sz w:val="20"/>
          <w:szCs w:val="20"/>
        </w:rPr>
        <w:t>, p. 2.</w:t>
      </w:r>
    </w:p>
  </w:footnote>
  <w:footnote w:id="8">
    <w:p>
      <w:pPr>
        <w:pStyle w:val="Normal"/>
        <w:spacing w:before="0" w:after="200"/>
        <w:ind w:hanging="0" w:start="0" w:end="120"/>
        <w:rPr>
          <w:rFonts w:ascii="Times New Roman" w:hAnsi="Times New Roman" w:cs="Times New Roman"/>
          <w:bCs w:val="false"/>
          <w:i w:val="false"/>
          <w:sz w:val="20"/>
          <w:szCs w:val="20"/>
        </w:rPr>
      </w:pPr>
      <w:r>
        <w:rPr>
          <w:rStyle w:val="FootnoteCharacters"/>
        </w:rPr>
        <w:footnoteRef/>
      </w:r>
      <w:r>
        <w:rPr>
          <w:rFonts w:eastAsia="Times New Roman" w:cs="Times New Roman" w:ascii="Times New Roman" w:hAnsi="Times New Roman"/>
          <w:sz w:val="20"/>
          <w:szCs w:val="20"/>
          <w:lang w:val="en-US"/>
        </w:rPr>
        <w:t xml:space="preserve"> </w:t>
      </w:r>
      <w:r>
        <w:rPr>
          <w:rFonts w:eastAsia="Times New Roman" w:cs="Times New Roman" w:ascii="Times New Roman" w:hAnsi="Times New Roman"/>
          <w:sz w:val="20"/>
          <w:szCs w:val="20"/>
          <w:lang w:val="en-US"/>
        </w:rPr>
        <w:t xml:space="preserve">Judith Rowbotham, Kim Stevenson, and Samantha Pegg, </w:t>
      </w:r>
      <w:r>
        <w:rPr>
          <w:rFonts w:eastAsia="Times New Roman" w:cs="Times New Roman" w:ascii="Times New Roman" w:hAnsi="Times New Roman"/>
          <w:i/>
          <w:iCs/>
          <w:sz w:val="20"/>
          <w:szCs w:val="20"/>
          <w:lang w:val="en-US"/>
        </w:rPr>
        <w:t xml:space="preserve">Crime News in Modern Britain: Press Reporting and Responsibility, 1820-2010 </w:t>
      </w:r>
      <w:r>
        <w:rPr>
          <w:rFonts w:eastAsia="Times New Roman" w:cs="Times New Roman" w:ascii="Times New Roman" w:hAnsi="Times New Roman"/>
          <w:i w:val="false"/>
          <w:iCs w:val="false"/>
          <w:sz w:val="20"/>
          <w:szCs w:val="20"/>
          <w:lang w:val="en-US"/>
        </w:rPr>
        <w:t>(Basingstoke: Palgrave Macmillan, 2013), p. 201.</w:t>
      </w:r>
    </w:p>
  </w:footnote>
  <w:footnote w:id="9">
    <w:p>
      <w:pPr>
        <w:pStyle w:val="FootnoteText"/>
        <w:rPr>
          <w:rFonts w:ascii="Times New Roman" w:hAnsi="Times New Roman" w:cs="Times New Roman"/>
        </w:rPr>
      </w:pPr>
      <w:r>
        <w:rPr>
          <w:rStyle w:val="FootnoteCharacters"/>
        </w:rPr>
        <w:footnoteRef/>
      </w:r>
      <w:r>
        <w:rPr>
          <w:rFonts w:eastAsia="Times New Roman" w:cs="Times New Roman" w:ascii="Times New Roman" w:hAnsi="Times New Roman"/>
        </w:rPr>
        <w:t xml:space="preserve"> </w:t>
      </w:r>
      <w:r>
        <w:rPr>
          <w:rFonts w:eastAsia="Times New Roman" w:cs="Times New Roman" w:ascii="Times New Roman" w:hAnsi="Times New Roman"/>
          <w:sz w:val="20"/>
          <w:szCs w:val="20"/>
        </w:rPr>
        <w:t xml:space="preserve">Barker and Petley, </w:t>
      </w:r>
      <w:r>
        <w:rPr>
          <w:rFonts w:eastAsia="Times New Roman" w:cs="Times New Roman" w:ascii="Times New Roman" w:hAnsi="Times New Roman"/>
          <w:i/>
          <w:iCs/>
          <w:sz w:val="20"/>
          <w:szCs w:val="20"/>
        </w:rPr>
        <w:t xml:space="preserve">Ill Effects, </w:t>
      </w:r>
      <w:r>
        <w:rPr>
          <w:rFonts w:eastAsia="Times New Roman" w:cs="Times New Roman" w:ascii="Times New Roman" w:hAnsi="Times New Roman"/>
          <w:i w:val="false"/>
          <w:iCs w:val="false"/>
          <w:sz w:val="20"/>
          <w:szCs w:val="20"/>
        </w:rPr>
        <w:t>p. 1</w:t>
      </w:r>
      <w:r>
        <w:rPr>
          <w:rFonts w:eastAsia="Times New Roman" w:cs="Times New Roman" w:ascii="Times New Roman" w:hAnsi="Times New Roman"/>
          <w:i w:val="false"/>
          <w:iCs w:val="false"/>
          <w:sz w:val="20"/>
          <w:szCs w:val="20"/>
          <w:lang w:val="en-US"/>
        </w:rPr>
        <w:t>52.</w:t>
      </w:r>
    </w:p>
  </w:footnote>
  <w:footnote w:id="10">
    <w:p>
      <w:pPr>
        <w:pStyle w:val="FootnoteText"/>
        <w:rPr>
          <w:rFonts w:ascii="Times New Roman" w:hAnsi="Times New Roman" w:cs="Times New Roman"/>
          <w:bCs/>
          <w:i/>
        </w:rPr>
      </w:pPr>
      <w:r>
        <w:rPr>
          <w:rStyle w:val="FootnoteCharacters"/>
        </w:rPr>
        <w:footnoteRef/>
      </w:r>
      <w:r>
        <w:rPr>
          <w:rFonts w:eastAsia="Times New Roman" w:cs="Times New Roman" w:ascii="Times New Roman" w:hAnsi="Times New Roman"/>
          <w:lang w:val="en-US"/>
        </w:rPr>
        <w:t xml:space="preserve"> </w:t>
      </w:r>
      <w:r>
        <w:rPr>
          <w:rFonts w:eastAsia="Times New Roman" w:cs="Times New Roman" w:ascii="Times New Roman" w:hAnsi="Times New Roman"/>
          <w:lang w:val="en-US"/>
        </w:rPr>
        <w:t xml:space="preserve">Martin Barker, ‘The Newson Report: A Case Study in Common Sense’, in </w:t>
      </w:r>
      <w:r>
        <w:rPr>
          <w:rFonts w:eastAsia="Times New Roman" w:cs="Times New Roman" w:ascii="Times New Roman" w:hAnsi="Times New Roman"/>
          <w:i/>
          <w:iCs/>
          <w:lang w:val="en-US"/>
        </w:rPr>
        <w:t>Ill Effects</w:t>
      </w:r>
      <w:r>
        <w:rPr>
          <w:rFonts w:eastAsia="Times New Roman" w:cs="Times New Roman" w:ascii="Times New Roman" w:hAnsi="Times New Roman"/>
          <w:i/>
          <w:iCs/>
          <w:sz w:val="20"/>
          <w:szCs w:val="20"/>
        </w:rPr>
        <w:t>: The Media/Violence Debate</w:t>
      </w:r>
      <w:r>
        <w:rPr>
          <w:rFonts w:eastAsia="Times New Roman" w:cs="Times New Roman" w:ascii="Times New Roman" w:hAnsi="Times New Roman"/>
          <w:sz w:val="20"/>
          <w:szCs w:val="20"/>
        </w:rPr>
        <w:t>, 2nd edn (London: Routledge, 2001)</w:t>
      </w:r>
      <w:r>
        <w:rPr>
          <w:rFonts w:eastAsia="Times New Roman" w:cs="Times New Roman" w:ascii="Times New Roman" w:hAnsi="Times New Roman"/>
          <w:lang w:val="en-US"/>
        </w:rPr>
        <w:t xml:space="preserve">, p. 28. </w:t>
      </w:r>
    </w:p>
  </w:footnote>
  <w:footnote w:id="11">
    <w:p>
      <w:pPr>
        <w:pStyle w:val="FootnoteText"/>
        <w:rPr>
          <w:rFonts w:ascii="Times New Roman" w:hAnsi="Times New Roman" w:cs="Times New Roman"/>
        </w:rPr>
      </w:pPr>
      <w:r>
        <w:rPr>
          <w:rStyle w:val="FootnoteCharacters"/>
        </w:rPr>
        <w:footnoteRef/>
      </w:r>
      <w:r>
        <w:rPr>
          <w:rFonts w:eastAsia="Times New Roman" w:cs="Times New Roman" w:ascii="Times New Roman" w:hAnsi="Times New Roman"/>
        </w:rPr>
        <w:t xml:space="preserve"> </w:t>
      </w:r>
      <w:r>
        <w:rPr>
          <w:rFonts w:eastAsia="Times New Roman" w:cs="Times New Roman" w:ascii="Times New Roman" w:hAnsi="Times New Roman"/>
          <w:sz w:val="20"/>
          <w:szCs w:val="20"/>
        </w:rPr>
        <w:t xml:space="preserve">Barker and Petley, </w:t>
      </w:r>
      <w:r>
        <w:rPr>
          <w:rFonts w:eastAsia="Times New Roman" w:cs="Times New Roman" w:ascii="Times New Roman" w:hAnsi="Times New Roman"/>
          <w:i/>
          <w:iCs/>
          <w:sz w:val="20"/>
          <w:szCs w:val="20"/>
        </w:rPr>
        <w:t xml:space="preserve">Ill Effects, </w:t>
      </w:r>
      <w:r>
        <w:rPr>
          <w:rFonts w:eastAsia="Times New Roman" w:cs="Times New Roman" w:ascii="Times New Roman" w:hAnsi="Times New Roman"/>
          <w:i w:val="false"/>
          <w:iCs w:val="false"/>
          <w:sz w:val="20"/>
          <w:szCs w:val="20"/>
        </w:rPr>
        <w:t>p. 1</w:t>
      </w:r>
      <w:r>
        <w:rPr>
          <w:rFonts w:eastAsia="Times New Roman" w:cs="Times New Roman" w:ascii="Times New Roman" w:hAnsi="Times New Roman"/>
          <w:i w:val="false"/>
          <w:iCs w:val="false"/>
          <w:sz w:val="20"/>
          <w:szCs w:val="20"/>
          <w:lang w:val="en-US"/>
        </w:rPr>
        <w:t xml:space="preserve">58. </w:t>
      </w:r>
    </w:p>
  </w:footnote>
  <w:footnote w:id="12">
    <w:p>
      <w:pPr>
        <w:pStyle w:val="FootnoteText"/>
        <w:rPr>
          <w:rFonts w:ascii="Times New Roman" w:hAnsi="Times New Roman" w:cs="Times New Roman"/>
        </w:rPr>
      </w:pPr>
      <w:r>
        <w:rPr>
          <w:rStyle w:val="FootnoteCharacters"/>
        </w:rPr>
        <w:footnoteRef/>
      </w:r>
      <w:r>
        <w:rPr>
          <w:rFonts w:eastAsia="Times New Roman" w:cs="Times New Roman" w:ascii="Times New Roman" w:hAnsi="Times New Roman"/>
          <w:lang w:val="en-US"/>
        </w:rPr>
        <w:t xml:space="preserve"> </w:t>
      </w:r>
      <w:r>
        <w:rPr>
          <w:rFonts w:eastAsia="Times New Roman" w:cs="Times New Roman" w:ascii="Times New Roman" w:hAnsi="Times New Roman"/>
          <w:sz w:val="20"/>
          <w:szCs w:val="20"/>
        </w:rPr>
        <w:t xml:space="preserve">Barker and Petley, </w:t>
      </w:r>
      <w:r>
        <w:rPr>
          <w:rFonts w:eastAsia="Times New Roman" w:cs="Times New Roman" w:ascii="Times New Roman" w:hAnsi="Times New Roman"/>
          <w:i/>
          <w:iCs/>
          <w:sz w:val="20"/>
          <w:szCs w:val="20"/>
        </w:rPr>
        <w:t xml:space="preserve">Ill Effects, </w:t>
      </w:r>
      <w:r>
        <w:rPr>
          <w:rFonts w:eastAsia="Times New Roman" w:cs="Times New Roman" w:ascii="Times New Roman" w:hAnsi="Times New Roman"/>
          <w:i w:val="false"/>
          <w:iCs w:val="false"/>
          <w:sz w:val="20"/>
          <w:szCs w:val="20"/>
        </w:rPr>
        <w:t>p. 1</w:t>
      </w:r>
      <w:r>
        <w:rPr>
          <w:rFonts w:eastAsia="Times New Roman" w:cs="Times New Roman" w:ascii="Times New Roman" w:hAnsi="Times New Roman"/>
          <w:lang w:val="en-US"/>
        </w:rPr>
        <w:t xml:space="preserve">67. </w:t>
      </w:r>
    </w:p>
  </w:footnote>
  <w:footnote w:id="13">
    <w:p>
      <w:pPr>
        <w:pStyle w:val="FootnoteText"/>
        <w:rPr>
          <w:rFonts w:ascii="Times New Roman" w:hAnsi="Times New Roman" w:cs="Times New Roman"/>
        </w:rPr>
      </w:pPr>
      <w:r>
        <w:rPr>
          <w:rStyle w:val="FootnoteCharacters"/>
        </w:rPr>
        <w:footnoteRef/>
      </w:r>
      <w:r>
        <w:rPr>
          <w:rFonts w:eastAsia="Times New Roman" w:cs="Times New Roman" w:ascii="Times New Roman" w:hAnsi="Times New Roman"/>
        </w:rPr>
        <w:t xml:space="preserve"> </w:t>
      </w:r>
      <w:r>
        <w:rPr>
          <w:rFonts w:eastAsia="Times New Roman" w:cs="Times New Roman" w:ascii="Times New Roman" w:hAnsi="Times New Roman"/>
        </w:rPr>
        <w:t>Irving A. Spergel, ‘Youth Gangs: Continuity and Change’, Crime and Justice, 12 (1990), p. 171.</w:t>
      </w:r>
    </w:p>
  </w:footnote>
  <w:footnote w:id="14">
    <w:p>
      <w:pPr>
        <w:pStyle w:val="FootnoteText"/>
        <w:rPr/>
      </w:pPr>
      <w:r>
        <w:rPr>
          <w:rStyle w:val="FootnoteCharacters"/>
        </w:rPr>
        <w:footnoteRef/>
      </w:r>
      <w:r>
        <w:rPr/>
        <w:t xml:space="preserve"> </w:t>
      </w:r>
      <w:r>
        <w:rPr>
          <w:rFonts w:eastAsia="Times New Roman" w:cs="Times New Roman" w:ascii="Times New Roman" w:hAnsi="Times New Roman"/>
          <w:sz w:val="20"/>
          <w:szCs w:val="20"/>
        </w:rPr>
        <w:t xml:space="preserve">Cohen, </w:t>
      </w:r>
      <w:r>
        <w:rPr>
          <w:rFonts w:eastAsia="Times New Roman" w:cs="Times New Roman" w:ascii="Times New Roman" w:hAnsi="Times New Roman"/>
          <w:i/>
          <w:iCs/>
          <w:sz w:val="20"/>
          <w:szCs w:val="20"/>
        </w:rPr>
        <w:t>Folk Devils and Moral Panics</w:t>
      </w:r>
      <w:r>
        <w:rPr>
          <w:rFonts w:eastAsia="Times New Roman" w:cs="Times New Roman" w:ascii="Times New Roman" w:hAnsi="Times New Roman"/>
          <w:i w:val="false"/>
          <w:iCs w:val="false"/>
          <w:sz w:val="20"/>
          <w:szCs w:val="20"/>
        </w:rPr>
        <w:t xml:space="preserve">, p. </w:t>
      </w:r>
      <w:r>
        <w:rPr>
          <w:rFonts w:eastAsia="Times New Roman" w:cs="Times New Roman" w:ascii="Times New Roman" w:hAnsi="Times New Roman"/>
          <w:i w:val="false"/>
          <w:iCs w:val="false"/>
          <w:sz w:val="20"/>
          <w:szCs w:val="20"/>
        </w:rPr>
        <w:t xml:space="preserve">3. </w:t>
      </w:r>
    </w:p>
  </w:footnote>
  <w:footnote w:id="15">
    <w:p>
      <w:pPr>
        <w:pStyle w:val="FootnoteText"/>
        <w:rPr/>
      </w:pPr>
      <w:r>
        <w:rPr>
          <w:rStyle w:val="FootnoteCharacters"/>
        </w:rPr>
        <w:footnoteRef/>
      </w:r>
      <w:r>
        <w:rPr/>
        <w:t xml:space="preserve"> </w:t>
      </w:r>
      <w:r>
        <w:rPr>
          <w:rFonts w:ascii="Times New Roman" w:hAnsi="Times New Roman"/>
        </w:rPr>
        <w:t xml:space="preserve">Howard Williamson, review of </w:t>
      </w:r>
      <w:r>
        <w:rPr>
          <w:rFonts w:ascii="Times New Roman" w:hAnsi="Times New Roman"/>
          <w:i/>
          <w:iCs/>
        </w:rPr>
        <w:t xml:space="preserve">Hooligan: A History of Respectable Fears, </w:t>
      </w:r>
      <w:r>
        <w:rPr>
          <w:rFonts w:ascii="Times New Roman" w:hAnsi="Times New Roman"/>
          <w:i w:val="false"/>
          <w:iCs w:val="false"/>
        </w:rPr>
        <w:t xml:space="preserve">by Geoffrey Pearson, </w:t>
      </w:r>
      <w:r>
        <w:rPr>
          <w:rFonts w:ascii="Times New Roman" w:hAnsi="Times New Roman"/>
          <w:i/>
          <w:iCs/>
        </w:rPr>
        <w:t xml:space="preserve">Sociology, </w:t>
      </w:r>
      <w:r>
        <w:rPr>
          <w:rFonts w:ascii="Times New Roman" w:hAnsi="Times New Roman"/>
          <w:i w:val="false"/>
          <w:iCs w:val="false"/>
        </w:rPr>
        <w:t>17.4 (1983), p. 615.</w:t>
      </w:r>
    </w:p>
  </w:footnote>
  <w:footnote w:id="16">
    <w:p>
      <w:pPr>
        <w:pStyle w:val="FootnoteText"/>
        <w:rPr>
          <w:rFonts w:ascii="Times New Roman" w:hAnsi="Times New Roman"/>
        </w:rPr>
      </w:pPr>
      <w:r>
        <w:rPr>
          <w:rStyle w:val="FootnoteCharacters"/>
        </w:rPr>
        <w:footnoteRef/>
      </w:r>
      <w:r>
        <w:rPr>
          <w:rFonts w:ascii="Times New Roman" w:hAnsi="Times New Roman"/>
        </w:rPr>
        <w:t xml:space="preserve"> </w:t>
      </w:r>
      <w:r>
        <w:rPr>
          <w:rFonts w:ascii="Times New Roman" w:hAnsi="Times New Roman"/>
        </w:rPr>
        <w:t xml:space="preserve">Williamson, </w:t>
      </w:r>
      <w:r>
        <w:rPr>
          <w:rFonts w:ascii="Times New Roman" w:hAnsi="Times New Roman"/>
          <w:i/>
          <w:iCs/>
        </w:rPr>
        <w:t>Hooligan,</w:t>
      </w:r>
      <w:r>
        <w:rPr>
          <w:rFonts w:ascii="Times New Roman" w:hAnsi="Times New Roman"/>
          <w:i w:val="false"/>
          <w:iCs w:val="false"/>
        </w:rPr>
        <w:t xml:space="preserve"> p. 615. </w:t>
      </w:r>
    </w:p>
  </w:footnote>
  <w:footnote w:id="17">
    <w:p>
      <w:pPr>
        <w:pStyle w:val="FootnoteText"/>
        <w:rPr/>
      </w:pPr>
      <w:r>
        <w:rPr>
          <w:rStyle w:val="FootnoteCharacters"/>
        </w:rPr>
        <w:footnoteRef/>
      </w:r>
      <w:r>
        <w:rPr/>
        <w:t xml:space="preserve"> </w:t>
      </w:r>
      <w:r>
        <w:rPr>
          <w:rFonts w:ascii="Times New Roman" w:hAnsi="Times New Roman"/>
        </w:rPr>
        <w:t xml:space="preserve">Williamson, </w:t>
      </w:r>
      <w:r>
        <w:rPr>
          <w:rFonts w:ascii="Times New Roman" w:hAnsi="Times New Roman"/>
          <w:i/>
          <w:iCs/>
        </w:rPr>
        <w:t>Hooligan,</w:t>
      </w:r>
      <w:r>
        <w:rPr>
          <w:rFonts w:ascii="Times New Roman" w:hAnsi="Times New Roman"/>
          <w:i w:val="false"/>
          <w:iCs w:val="false"/>
        </w:rPr>
        <w:t xml:space="preserve"> p. 616. </w:t>
      </w:r>
    </w:p>
  </w:footnote>
  <w:footnote w:id="18">
    <w:p>
      <w:pPr>
        <w:pStyle w:val="FootnoteText"/>
        <w:rPr/>
      </w:pPr>
      <w:r>
        <w:rPr>
          <w:rStyle w:val="FootnoteCharacters"/>
        </w:rPr>
        <w:footnoteRef/>
      </w:r>
      <w:r>
        <w:rPr/>
        <w:t xml:space="preserve"> </w:t>
      </w:r>
      <w:r>
        <w:rPr/>
        <w:t xml:space="preserve">Mel Van Elteren, review of </w:t>
      </w:r>
      <w:r>
        <w:rPr>
          <w:i/>
          <w:iCs/>
        </w:rPr>
        <w:t>Youth in Britain since 1945</w:t>
      </w:r>
      <w:r>
        <w:rPr>
          <w:i w:val="false"/>
          <w:iCs w:val="false"/>
        </w:rPr>
        <w:t>, by Bill Osgerby,</w:t>
      </w:r>
      <w:r>
        <w:rPr>
          <w:i/>
          <w:iCs/>
        </w:rPr>
        <w:t xml:space="preserve"> International Review of Social History</w:t>
      </w:r>
      <w:r>
        <w:rPr>
          <w:i w:val="false"/>
          <w:iCs w:val="false"/>
        </w:rPr>
        <w:t>, 44.2 (1999), p. 318.</w:t>
      </w:r>
    </w:p>
  </w:footnote>
  <w:footnote w:id="19">
    <w:p>
      <w:pPr>
        <w:pStyle w:val="FootnoteText"/>
        <w:rPr/>
      </w:pPr>
      <w:r>
        <w:rPr>
          <w:rStyle w:val="FootnoteCharacters"/>
        </w:rPr>
        <w:footnoteRef/>
      </w:r>
      <w:r>
        <w:rPr/>
        <w:t xml:space="preserve"> </w:t>
      </w:r>
      <w:r>
        <w:rPr/>
        <w:t xml:space="preserve">Irving Spergel, ‘Youth Gangs: Continuity and Change’, </w:t>
      </w:r>
      <w:r>
        <w:rPr>
          <w:i/>
          <w:iCs/>
        </w:rPr>
        <w:t>Crime and Justice</w:t>
      </w:r>
      <w:r>
        <w:rPr>
          <w:i w:val="false"/>
          <w:iCs w:val="false"/>
        </w:rPr>
        <w:t>, 12 (1990), p. 231.</w:t>
      </w:r>
    </w:p>
  </w:footnote>
  <w:footnote w:id="20">
    <w:p>
      <w:pPr>
        <w:pStyle w:val="FootnoteText"/>
        <w:rPr/>
      </w:pPr>
      <w:r>
        <w:rPr>
          <w:rStyle w:val="FootnoteCharacters"/>
        </w:rPr>
        <w:footnoteRef/>
      </w:r>
      <w:r>
        <w:rPr/>
        <w:t xml:space="preserve"> </w:t>
      </w:r>
      <w:r>
        <w:rPr/>
        <w:t>Spergel, ‘Youth Gangs’, p. 171.</w:t>
      </w:r>
    </w:p>
  </w:footnote>
  <w:footnote w:id="21">
    <w:p>
      <w:pPr>
        <w:pStyle w:val="FootnoteText"/>
        <w:rPr/>
      </w:pPr>
      <w:r>
        <w:rPr>
          <w:rStyle w:val="FootnoteCharacters"/>
        </w:rPr>
        <w:footnoteRef/>
      </w:r>
      <w:r>
        <w:rPr/>
        <w:t xml:space="preserve"> </w:t>
      </w:r>
      <w:r>
        <w:rPr/>
        <w:t xml:space="preserve">Roberto Aspholm, </w:t>
      </w:r>
      <w:r>
        <w:rPr>
          <w:i/>
          <w:iCs/>
        </w:rPr>
        <w:t>Views from the streets: The Transformation of Gangs and Violence on Chicago’s South Side</w:t>
      </w:r>
      <w:r>
        <w:rPr>
          <w:i w:val="false"/>
          <w:iCs w:val="false"/>
        </w:rPr>
        <w:t xml:space="preserve"> (New York: Columbia University Press, 2020), p. 28.</w:t>
      </w:r>
    </w:p>
  </w:footnote>
  <w:footnote w:id="22">
    <w:p>
      <w:pPr>
        <w:pStyle w:val="FootnoteText"/>
        <w:rPr/>
      </w:pPr>
      <w:r>
        <w:rPr>
          <w:rStyle w:val="FootnoteCharacters"/>
        </w:rPr>
        <w:footnoteRef/>
      </w:r>
      <w:r>
        <w:rPr/>
        <w:t xml:space="preserve"> </w:t>
      </w:r>
      <w:r>
        <w:rPr/>
        <w:t xml:space="preserve">John Welshman, </w:t>
      </w:r>
      <w:r>
        <w:rPr>
          <w:i/>
          <w:iCs/>
        </w:rPr>
        <w:t xml:space="preserve">Underclass: A History of the Excluded, 1880-2000 </w:t>
      </w:r>
      <w:r>
        <w:rPr>
          <w:i w:val="false"/>
          <w:iCs w:val="false"/>
        </w:rPr>
        <w:t>(London: Hambledon Continuum, 2006), p. 141.</w:t>
      </w:r>
    </w:p>
  </w:footnote>
  <w:footnote w:id="23">
    <w:p>
      <w:pPr>
        <w:pStyle w:val="FootnoteText"/>
        <w:rPr/>
      </w:pPr>
      <w:r>
        <w:rPr>
          <w:rStyle w:val="FootnoteCharacters"/>
        </w:rPr>
        <w:footnoteRef/>
      </w:r>
      <w:r>
        <w:rPr/>
        <w:t xml:space="preserve">Welshman, </w:t>
      </w:r>
      <w:r>
        <w:rPr>
          <w:i/>
          <w:iCs/>
        </w:rPr>
        <w:t>Underclass</w:t>
      </w:r>
      <w:r>
        <w:rPr>
          <w:i w:val="false"/>
          <w:iCs w:val="false"/>
        </w:rPr>
        <w:t>, p. 141.</w:t>
      </w:r>
    </w:p>
  </w:footnote>
  <w:footnote w:id="24">
    <w:p>
      <w:pPr>
        <w:pStyle w:val="FootnoteText"/>
        <w:rPr/>
      </w:pPr>
      <w:r>
        <w:rPr>
          <w:rStyle w:val="FootnoteCharacters"/>
        </w:rPr>
        <w:footnoteRef/>
      </w:r>
      <w:r>
        <w:rPr/>
        <w:t xml:space="preserve"> </w:t>
      </w:r>
      <w:r>
        <w:rPr/>
        <w:t xml:space="preserve">Keith Hayward and Oliver Smith, ‘Crime and consumer culture’, in </w:t>
      </w:r>
      <w:r>
        <w:rPr>
          <w:i/>
          <w:iCs/>
        </w:rPr>
        <w:t>The Oxford Handbook of Criminology</w:t>
      </w:r>
      <w:r>
        <w:rPr>
          <w:i w:val="false"/>
          <w:iCs w:val="false"/>
        </w:rPr>
        <w:t>, ed. by Alison Liebling, Shadd Maruna and Lesley McAra, 7</w:t>
      </w:r>
      <w:r>
        <w:rPr>
          <w:i w:val="false"/>
          <w:iCs w:val="false"/>
          <w:vertAlign w:val="superscript"/>
        </w:rPr>
        <w:t>th</w:t>
      </w:r>
      <w:r>
        <w:rPr>
          <w:i w:val="false"/>
          <w:iCs w:val="false"/>
        </w:rPr>
        <w:t xml:space="preserve"> edn (Oxford: Oxford University Press, 2023), p. 551.</w:t>
      </w:r>
    </w:p>
  </w:footnote>
  <w:footnote w:id="25">
    <w:p>
      <w:pPr>
        <w:pStyle w:val="FootnoteText"/>
        <w:rPr/>
      </w:pPr>
      <w:r>
        <w:rPr>
          <w:rStyle w:val="FootnoteCharacters"/>
        </w:rPr>
        <w:footnoteRef/>
      </w:r>
      <w:r>
        <w:rPr/>
        <w:t xml:space="preserve"> </w:t>
      </w:r>
      <w:r>
        <w:rPr/>
        <w:t>Hayward, ‘Crime and consumer culture’, p. 548.</w:t>
      </w:r>
    </w:p>
  </w:footnote>
</w:footnotes>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Autospacing="0" w:before="0" w:afterAutospacing="0" w:after="200"/>
      <w:jc w:val="star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asciiTheme="majorAscii" w:cstheme="majorBidi" w:eastAsiaTheme="majorEastAsia" w:hAnsiTheme="majorAscii"/>
      <w:color w:themeColor="accent1" w:themeShade="bf" w:val="2E74B5"/>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rial" w:hAnsi="Arial" w:eastAsia="Arial" w:cs="Arial" w:asciiTheme="majorAscii" w:cstheme="majorBidi" w:eastAsiaTheme="majorEastAsia" w:hAnsiTheme="majorAscii"/>
      <w:color w:themeColor="accent1" w:themeShade="bf" w:val="2E74B5"/>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Arial" w:cs="Arial" w:cstheme="majorBidi" w:eastAsiaTheme="majorEastAsia"/>
      <w:color w:themeColor="accent1" w:themeShade="bf" w:val="2E74B5"/>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Arial" w:cs="Arial" w:cstheme="majorBidi" w:eastAsiaTheme="majorEastAsia"/>
      <w:i/>
      <w:iCs/>
      <w:color w:themeColor="accent1" w:themeShade="bf" w:val="2E74B5"/>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Arial" w:cs="Arial" w:cstheme="majorBidi" w:eastAsiaTheme="majorEastAsia"/>
      <w:color w:themeColor="accent1" w:themeShade="bf" w:val="2E74B5"/>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Arial" w:cs="Arial" w:cstheme="majorBidi" w:eastAsiaTheme="majorEastAsia"/>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Arial" w:cs="Arial" w:cstheme="majorBidi" w:eastAsiaTheme="majorEastAsia"/>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Arial" w:cs="Arial" w:cstheme="majorBidi" w:eastAsiaTheme="majorEastAsia"/>
      <w:i/>
      <w:iCs/>
      <w:color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Arial" w:cs="Arial" w:cstheme="majorBidi" w:eastAsiaTheme="majorEastAsia"/>
      <w:color w:val="272727"/>
    </w:rPr>
  </w:style>
  <w:style w:type="character" w:styleId="DefaultParagraphFont" w:default="1">
    <w:name w:val="Default Paragraph Font"/>
    <w:uiPriority w:val="1"/>
    <w:semiHidden/>
    <w:unhideWhenUsed/>
    <w:qFormat/>
    <w:rPr/>
  </w:style>
  <w:style w:type="character" w:styleId="Heading1Char">
    <w:name w:val="Heading 1 Char"/>
    <w:basedOn w:val="DefaultParagraphFont"/>
    <w:link w:val="Heading1"/>
    <w:uiPriority w:val="9"/>
    <w:qFormat/>
    <w:rPr>
      <w:rFonts w:ascii="Arial" w:hAnsi="Arial" w:eastAsia="Arial" w:cs="Arial" w:asciiTheme="majorAscii" w:cstheme="majorBidi" w:eastAsiaTheme="majorEastAsia" w:hAnsiTheme="majorAscii"/>
      <w:sz w:val="40"/>
      <w:szCs w:val="40"/>
    </w:rPr>
  </w:style>
  <w:style w:type="character" w:styleId="Heading2Char">
    <w:name w:val="Heading 2 Char"/>
    <w:basedOn w:val="DefaultParagraphFont"/>
    <w:link w:val="Heading2"/>
    <w:uiPriority w:val="9"/>
    <w:qFormat/>
    <w:rPr>
      <w:rFonts w:ascii="Arial" w:hAnsi="Arial" w:eastAsia="Arial" w:cs="Arial" w:asciiTheme="majorAscii" w:cstheme="majorBidi" w:eastAsiaTheme="majorEastAsia" w:hAnsiTheme="majorAscii"/>
      <w:sz w:val="32"/>
      <w:szCs w:val="32"/>
    </w:rPr>
  </w:style>
  <w:style w:type="character" w:styleId="Heading3Char">
    <w:name w:val="Heading 3 Char"/>
    <w:basedOn w:val="DefaultParagraphFont"/>
    <w:link w:val="Heading3"/>
    <w:uiPriority w:val="9"/>
    <w:qFormat/>
    <w:rPr>
      <w:rFonts w:eastAsia="Arial" w:cs="Arial" w:cstheme="majorBidi" w:eastAsiaTheme="majorEastAsia"/>
      <w:sz w:val="28"/>
      <w:szCs w:val="28"/>
    </w:rPr>
  </w:style>
  <w:style w:type="character" w:styleId="Heading4Char">
    <w:name w:val="Heading 4 Char"/>
    <w:basedOn w:val="DefaultParagraphFont"/>
    <w:link w:val="Heading4"/>
    <w:uiPriority w:val="9"/>
    <w:qFormat/>
    <w:rPr>
      <w:rFonts w:eastAsia="Arial" w:cs="Arial" w:cstheme="majorBidi" w:eastAsiaTheme="majorEastAsia"/>
      <w:i/>
      <w:iCs/>
    </w:rPr>
  </w:style>
  <w:style w:type="character" w:styleId="Heading5Char">
    <w:name w:val="Heading 5 Char"/>
    <w:basedOn w:val="DefaultParagraphFont"/>
    <w:link w:val="Heading5"/>
    <w:uiPriority w:val="9"/>
    <w:qFormat/>
    <w:rPr>
      <w:rFonts w:eastAsia="Arial" w:cs="Arial" w:cstheme="majorBidi" w:eastAsiaTheme="majorEastAsia"/>
    </w:rPr>
  </w:style>
  <w:style w:type="character" w:styleId="Heading6Char">
    <w:name w:val="Heading 6 Char"/>
    <w:basedOn w:val="DefaultParagraphFont"/>
    <w:link w:val="Heading6"/>
    <w:uiPriority w:val="9"/>
    <w:qFormat/>
    <w:rPr>
      <w:rFonts w:eastAsia="Arial" w:cs="Arial" w:cstheme="majorBidi" w:eastAsiaTheme="majorEastAsia"/>
      <w:i/>
      <w:iCs/>
    </w:rPr>
  </w:style>
  <w:style w:type="character" w:styleId="Heading7Char">
    <w:name w:val="Heading 7 Char"/>
    <w:basedOn w:val="DefaultParagraphFont"/>
    <w:link w:val="Heading7"/>
    <w:uiPriority w:val="9"/>
    <w:qFormat/>
    <w:rPr>
      <w:rFonts w:eastAsia="Arial" w:cs="Arial" w:cstheme="majorBidi" w:eastAsiaTheme="majorEastAsia"/>
    </w:rPr>
  </w:style>
  <w:style w:type="character" w:styleId="Heading8Char">
    <w:name w:val="Heading 8 Char"/>
    <w:basedOn w:val="DefaultParagraphFont"/>
    <w:link w:val="Heading8"/>
    <w:uiPriority w:val="9"/>
    <w:qFormat/>
    <w:rPr>
      <w:rFonts w:eastAsia="Arial" w:cs="Arial" w:cstheme="majorBidi" w:eastAsiaTheme="majorEastAsia"/>
      <w:i/>
      <w:iCs/>
    </w:rPr>
  </w:style>
  <w:style w:type="character" w:styleId="Heading9Char">
    <w:name w:val="Heading 9 Char"/>
    <w:basedOn w:val="DefaultParagraphFont"/>
    <w:link w:val="Heading9"/>
    <w:uiPriority w:val="9"/>
    <w:qFormat/>
    <w:rPr>
      <w:rFonts w:eastAsia="Arial" w:cs="Arial" w:cstheme="majorBidi" w:eastAsiaTheme="majorEastAsia"/>
    </w:rPr>
  </w:style>
  <w:style w:type="character" w:styleId="TitleChar">
    <w:name w:val="Title Char"/>
    <w:basedOn w:val="DefaultParagraphFont"/>
    <w:link w:val="Title"/>
    <w:uiPriority w:val="10"/>
    <w:qFormat/>
    <w:rPr>
      <w:rFonts w:ascii="Arial" w:hAnsi="Arial" w:eastAsia="Arial" w:cs="Arial" w:asciiTheme="majorAscii" w:cstheme="majorBidi" w:eastAsiaTheme="majorEastAsia" w:hAnsiTheme="majorAscii"/>
      <w:sz w:val="56"/>
      <w:szCs w:val="56"/>
    </w:rPr>
  </w:style>
  <w:style w:type="character" w:styleId="SubtitleChar">
    <w:name w:val="Subtitle Char"/>
    <w:basedOn w:val="DefaultParagraphFont"/>
    <w:link w:val="Subtitle"/>
    <w:uiPriority w:val="11"/>
    <w:qFormat/>
    <w:rPr>
      <w:rFonts w:eastAsia="Arial" w:cs="Arial" w:cstheme="majorBidi" w:eastAsiaTheme="majorEastAsia"/>
      <w:sz w:val="28"/>
      <w:szCs w:val="28"/>
    </w:rPr>
  </w:style>
  <w:style w:type="character" w:styleId="QuoteChar">
    <w:name w:val="Quote Char"/>
    <w:basedOn w:val="DefaultParagraphFont"/>
    <w:link w:val="Quote"/>
    <w:uiPriority w:val="29"/>
    <w:qFormat/>
    <w:rPr>
      <w:i/>
      <w:iCs/>
    </w:rPr>
  </w:style>
  <w:style w:type="character" w:styleId="IntenseEmphasis">
    <w:name w:val="Intense Emphasis"/>
    <w:basedOn w:val="DefaultParagraphFont"/>
    <w:uiPriority w:val="21"/>
    <w:qFormat/>
    <w:rPr>
      <w:i/>
      <w:iCs/>
    </w:rPr>
  </w:style>
  <w:style w:type="character" w:styleId="IntenseQuoteChar">
    <w:name w:val="Intense Quote Char"/>
    <w:basedOn w:val="DefaultParagraphFont"/>
    <w:link w:val="IntenseQuote"/>
    <w:uiPriority w:val="30"/>
    <w:qFormat/>
    <w:rPr>
      <w:i/>
      <w:iCs/>
    </w:rPr>
  </w:style>
  <w:style w:type="character" w:styleId="IntenseReference">
    <w:name w:val="Intense Reference"/>
    <w:basedOn w:val="DefaultParagraphFont"/>
    <w:uiPriority w:val="32"/>
    <w:qFormat/>
    <w:rPr>
      <w:b/>
      <w:bCs/>
      <w:smallCaps/>
    </w:rPr>
  </w:style>
  <w:style w:type="character" w:styleId="SubtleEmphasis">
    <w:name w:val="Subtle Emphasis"/>
    <w:basedOn w:val="DefaultParagraphFont"/>
    <w:uiPriority w:val="19"/>
    <w:qFormat/>
    <w:rPr>
      <w:i/>
      <w:i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user">
    <w:name w:val="Footnote Characters (user)"/>
    <w:basedOn w:val="DefaultParagraphFont"/>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user">
    <w:name w:val="Endnote Characters (user)"/>
    <w:basedOn w:val="DefaultParagraphFont"/>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asciiTheme="majorAscii" w:cstheme="majorBidi" w:eastAsiaTheme="majorEastAsia" w:hAnsiTheme="majorAscii"/>
      <w:sz w:val="56"/>
      <w:szCs w:val="56"/>
    </w:rPr>
  </w:style>
  <w:style w:type="paragraph" w:styleId="Subtitle">
    <w:name w:val="Subtitle"/>
    <w:basedOn w:val="Normal"/>
    <w:next w:val="Normal"/>
    <w:link w:val="SubtitleChar"/>
    <w:uiPriority w:val="11"/>
    <w:qFormat/>
    <w:pPr/>
    <w:rPr>
      <w:rFonts w:eastAsia="Arial" w:cs="Arial" w:cstheme="majorBidi" w:eastAsiaTheme="majorEastAsia"/>
      <w:sz w:val="28"/>
      <w:szCs w:val="28"/>
    </w:rPr>
  </w:style>
  <w:style w:type="paragraph" w:styleId="Quote">
    <w:name w:val="Quote"/>
    <w:basedOn w:val="Normal"/>
    <w:next w:val="Normal"/>
    <w:link w:val="QuoteChar"/>
    <w:uiPriority w:val="29"/>
    <w:qFormat/>
    <w:pPr>
      <w:spacing w:before="160" w:after="200"/>
      <w:jc w:val="center"/>
    </w:pPr>
    <w:rPr>
      <w:i/>
      <w:iCs/>
    </w:rPr>
  </w:style>
  <w:style w:type="paragraph" w:styleId="IntenseQuote">
    <w:name w:val="Intense Quote"/>
    <w:basedOn w:val="Normal"/>
    <w:next w:val="Normal"/>
    <w:link w:val="IntenseQuoteChar"/>
    <w:uiPriority w:val="30"/>
    <w:qFormat/>
    <w:pPr>
      <w:spacing w:before="360" w:after="360"/>
      <w:ind w:start="864" w:end="864"/>
      <w:jc w:val="center"/>
    </w:pPr>
    <w:rPr>
      <w:i/>
      <w:iCs/>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8"/>
        <w:tab w:val="center" w:pos="4680" w:leader="none"/>
        <w:tab w:val="right" w:pos="9360" w:leader="none"/>
      </w:tabs>
      <w:spacing w:lineRule="auto" w:line="240" w:before="0" w:after="0"/>
    </w:pPr>
    <w:rPr/>
  </w:style>
  <w:style w:type="paragraph" w:styleId="Footer">
    <w:name w:val="footer"/>
    <w:basedOn w:val="Normal"/>
    <w:link w:val="FooterChar"/>
    <w:uiPriority w:val="99"/>
    <w:unhideWhenUsed/>
    <w:pPr>
      <w:tabs>
        <w:tab w:val="clear" w:pos="708"/>
        <w:tab w:val="center" w:pos="4680" w:leader="none"/>
        <w:tab w:val="right" w:pos="9360"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rFonts w:ascii="Times New Roman" w:hAnsi="Times New Roman"/>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qFormat/>
    <w:pPr>
      <w:widowControl/>
      <w:suppressAutoHyphens w:val="true"/>
      <w:bidi w:val="0"/>
      <w:spacing w:lineRule="auto" w:line="276" w:beforeAutospacing="0" w:before="0" w:afterAutospacing="0" w:after="200"/>
      <w:jc w:val="star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TableofFigures">
    <w:name w:val="table of figures"/>
    <w:basedOn w:val="Normal"/>
    <w:next w:val="Normal"/>
    <w:uiPriority w:val="99"/>
    <w:unhideWhenUsed/>
    <w:pPr>
      <w:spacing w:before="0" w:afterAutospacing="0" w:after="0"/>
    </w:pPr>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start="720"/>
      <w:contextualSpacing/>
    </w:pPr>
    <w:rPr/>
  </w:style>
  <w:style w:type="numbering" w:styleId="NoList" w:default="1">
    <w:name w:val="No List"/>
    <w:uiPriority w:val="99"/>
    <w:semiHidden/>
    <w:unhideWhenUsed/>
    <w:qFormat/>
  </w:style>
  <w:style w:type="table" w:styleId="890">
    <w:name w:val="Table Grid"/>
    <w:basedOn w:val="1076"/>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891">
    <w:name w:val="Table Grid Light"/>
    <w:basedOn w:val="1076"/>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892">
    <w:name w:val="Plain Table 1"/>
    <w:basedOn w:val="1076"/>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893">
    <w:name w:val="Plain Table 2"/>
    <w:basedOn w:val="1076"/>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894">
    <w:name w:val="Plain Table 3"/>
    <w:basedOn w:val="1076"/>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895">
    <w:name w:val="Plain Table 4"/>
    <w:basedOn w:val="1076"/>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96">
    <w:name w:val="Plain Table 5"/>
    <w:basedOn w:val="1076"/>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97">
    <w:name w:val="Grid Table 1 Light"/>
    <w:basedOn w:val="1076"/>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98">
    <w:name w:val="Grid Table 1 Light - Accent 1"/>
    <w:basedOn w:val="1076"/>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99">
    <w:name w:val="Grid Table 1 Light - Accent 2"/>
    <w:basedOn w:val="1076"/>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00">
    <w:name w:val="Grid Table 1 Light - Accent 3"/>
    <w:basedOn w:val="1076"/>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01">
    <w:name w:val="Grid Table 1 Light - Accent 4"/>
    <w:basedOn w:val="1076"/>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02">
    <w:name w:val="Grid Table 1 Light - Accent 5"/>
    <w:basedOn w:val="1076"/>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03">
    <w:name w:val="Grid Table 1 Light - Accent 6"/>
    <w:basedOn w:val="107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04">
    <w:name w:val="Grid Table 2"/>
    <w:basedOn w:val="1076"/>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905">
    <w:name w:val="Grid Table 2 - Accent 1"/>
    <w:basedOn w:val="1076"/>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EEBF6" w:themeFill="accent1" w:themeFillTint="34"/>
      </w:tcPr>
    </w:tblStylePr>
    <w:tblStylePr w:type="band1Vert">
      <w:rPr>
        <w:sz w:val="22"/>
      </w:rPr>
      <w:tblPr/>
      <w:tcPr>
        <w:shd w:val="clear" w:color="FFFFFF" w:fill="DEEBF6"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906">
    <w:name w:val="Grid Table 2 - Accent 2"/>
    <w:basedOn w:val="1076"/>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907">
    <w:name w:val="Grid Table 2 - Accent 3"/>
    <w:basedOn w:val="1076"/>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908">
    <w:name w:val="Grid Table 2 - Accent 4"/>
    <w:basedOn w:val="1076"/>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909">
    <w:name w:val="Grid Table 2 - Accent 5"/>
    <w:basedOn w:val="1076"/>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910">
    <w:name w:val="Grid Table 2 - Accent 6"/>
    <w:basedOn w:val="107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911">
    <w:name w:val="Grid Table 3"/>
    <w:basedOn w:val="1076"/>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912">
    <w:name w:val="Grid Table 3 - Accent 1"/>
    <w:basedOn w:val="1076"/>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EEBF6" w:themeFill="accent1" w:themeFillTint="34"/>
      </w:tcPr>
    </w:tblStylePr>
    <w:tblStylePr w:type="band1Vert">
      <w:rPr>
        <w:sz w:val="22"/>
      </w:rPr>
      <w:tblPr/>
      <w:tcPr>
        <w:shd w:val="clear" w:color="FFFFFF" w:fill="DEEBF6"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913">
    <w:name w:val="Grid Table 3 - Accent 2"/>
    <w:basedOn w:val="1076"/>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914">
    <w:name w:val="Grid Table 3 - Accent 3"/>
    <w:basedOn w:val="1076"/>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915">
    <w:name w:val="Grid Table 3 - Accent 4"/>
    <w:basedOn w:val="1076"/>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916">
    <w:name w:val="Grid Table 3 - Accent 5"/>
    <w:basedOn w:val="1076"/>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917">
    <w:name w:val="Grid Table 3 - Accent 6"/>
    <w:basedOn w:val="107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918">
    <w:name w:val="Grid Table 4"/>
    <w:basedOn w:val="1076"/>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9">
    <w:name w:val="Grid Table 4 - Accent 1"/>
    <w:basedOn w:val="1076"/>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FEBF7" w:themeFill="accent1" w:themeFillTint="32"/>
      </w:tcPr>
    </w:tblStylePr>
    <w:tblStylePr w:type="band1Vert">
      <w:rPr>
        <w:sz w:val="22"/>
      </w:rPr>
      <w:tblPr/>
      <w:tcPr>
        <w:shd w:val="clear" w:color="FFFFFF" w:fill="DFEBF7"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69A3D8"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0">
    <w:name w:val="Grid Table 4 - Accent 2"/>
    <w:basedOn w:val="1076"/>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1">
    <w:name w:val="Grid Table 4 - Accent 3"/>
    <w:basedOn w:val="1076"/>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2">
    <w:name w:val="Grid Table 4 - Accent 4"/>
    <w:basedOn w:val="1076"/>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3">
    <w:name w:val="Grid Table 4 - Accent 5"/>
    <w:basedOn w:val="1076"/>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472C4"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4">
    <w:name w:val="Grid Table 4 - Accent 6"/>
    <w:basedOn w:val="1076"/>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5">
    <w:name w:val="Grid Table 5 Dark"/>
    <w:basedOn w:val="107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926">
    <w:name w:val="Grid Table 5 Dark- Accent 1"/>
    <w:basedOn w:val="107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4D1EC" w:themeFill="accent1" w:themeFillTint="75"/>
      </w:tcPr>
    </w:tblStylePr>
    <w:tblStylePr w:type="band1Vert">
      <w:tblPr/>
      <w:tcPr>
        <w:shd w:val="clear" w:color="FFFFFF" w:fill="B4D1EC" w:themeFill="accent1" w:themeFillTint="75"/>
      </w:tcPr>
    </w:tblStylePr>
    <w:tblStylePr w:type="band2Horz">
      <w:tblPr/>
    </w:tblStylePr>
    <w:tblStylePr w:type="band2Vert">
      <w:tblPr/>
    </w:tblStylePr>
    <w:tblStylePr w:type="firstCol">
      <w:rPr>
        <w:b/>
        <w:sz w:val="22"/>
      </w:rPr>
      <w:tblPr/>
      <w:tcPr>
        <w:shd w:val="clear" w:color="FFFFFF" w:fill="5B9BD5" w:themeFill="accent1"/>
      </w:tcPr>
    </w:tblStylePr>
    <w:tblStylePr w:type="firstRow">
      <w:rPr>
        <w:b/>
        <w:sz w:val="22"/>
      </w:rPr>
      <w:tblPr/>
      <w:tcPr>
        <w:shd w:val="clear" w:color="FFFFFF" w:fill="5B9BD5" w:themeFill="accent1"/>
      </w:tcPr>
    </w:tblStylePr>
    <w:tblStylePr w:type="lastCol">
      <w:rPr>
        <w:b/>
        <w:sz w:val="22"/>
      </w:rPr>
      <w:tblPr/>
      <w:tcPr>
        <w:shd w:val="clear" w:color="FFFFFF" w:fill="5B9BD5" w:themeFill="accent1"/>
      </w:tcPr>
    </w:tblStylePr>
    <w:tblStylePr w:type="lastRow">
      <w:rPr>
        <w:b/>
        <w:sz w:val="22"/>
      </w:rPr>
      <w:tblPr/>
      <w:tcPr>
        <w:tcBorders>
          <w:top w:val="single" w:color="000000" w:themeColor="light1" w:sz="4" w:space="0"/>
        </w:tcBorders>
        <w:shd w:val="clear" w:color="FFFFFF" w:fill="5B9BD5"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927">
    <w:name w:val="Grid Table 5 Dark - Accent 2"/>
    <w:basedOn w:val="107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7C3A0" w:themeFill="accent2" w:themeFillTint="75"/>
      </w:tcPr>
    </w:tblStylePr>
    <w:tblStylePr w:type="band1Vert">
      <w:tblPr/>
      <w:tcPr>
        <w:shd w:val="clear" w:color="FFFFFF" w:fill="F7C3A0" w:themeFill="accent2" w:themeFillTint="75"/>
      </w:tcPr>
    </w:tblStylePr>
    <w:tblStylePr w:type="band2Horz">
      <w:tblPr/>
    </w:tblStylePr>
    <w:tblStylePr w:type="band2Vert">
      <w:tblPr/>
    </w:tblStylePr>
    <w:tblStylePr w:type="firstCol">
      <w:rPr>
        <w:b/>
        <w:sz w:val="22"/>
      </w:rPr>
      <w:tblPr/>
      <w:tcPr>
        <w:shd w:val="clear" w:color="FFFFFF" w:fill="ED7D31" w:themeFill="accent2"/>
      </w:tcPr>
    </w:tblStylePr>
    <w:tblStylePr w:type="firstRow">
      <w:rPr>
        <w:b/>
        <w:sz w:val="22"/>
      </w:rPr>
      <w:tblPr/>
      <w:tcPr>
        <w:shd w:val="clear" w:color="FFFFFF" w:fill="ED7D31" w:themeFill="accent2"/>
      </w:tcPr>
    </w:tblStylePr>
    <w:tblStylePr w:type="lastCol">
      <w:rPr>
        <w:b/>
        <w:sz w:val="22"/>
      </w:rPr>
      <w:tblPr/>
      <w:tcPr>
        <w:shd w:val="clear" w:color="FFFFFF" w:fill="ED7D31" w:themeFill="accent2"/>
      </w:tcPr>
    </w:tblStylePr>
    <w:tblStylePr w:type="lastRow">
      <w:rPr>
        <w:b/>
        <w:sz w:val="22"/>
      </w:rPr>
      <w:tblPr/>
      <w:tcPr>
        <w:tcBorders>
          <w:top w:val="single" w:color="000000" w:themeColor="light1" w:sz="4" w:space="0"/>
        </w:tcBorders>
        <w:shd w:val="clear" w:color="FFFFFF" w:fill="ED7D31"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928">
    <w:name w:val="Grid Table 5 Dark - Accent 3"/>
    <w:basedOn w:val="107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6D6D6" w:themeFill="accent3" w:themeFillTint="75"/>
      </w:tcPr>
    </w:tblStylePr>
    <w:tblStylePr w:type="band1Vert">
      <w:tblPr/>
      <w:tcPr>
        <w:shd w:val="clear" w:color="FFFFFF" w:fill="D6D6D6" w:themeFill="accent3" w:themeFillTint="75"/>
      </w:tcPr>
    </w:tblStylePr>
    <w:tblStylePr w:type="band2Horz">
      <w:tblPr/>
    </w:tblStylePr>
    <w:tblStylePr w:type="band2Vert">
      <w:tblPr/>
    </w:tblStylePr>
    <w:tblStylePr w:type="firstCol">
      <w:rPr>
        <w:b/>
        <w:sz w:val="22"/>
      </w:rPr>
      <w:tblPr/>
      <w:tcPr>
        <w:shd w:val="clear" w:color="FFFFFF" w:fill="A5A5A5" w:themeFill="accent3"/>
      </w:tcPr>
    </w:tblStylePr>
    <w:tblStylePr w:type="firstRow">
      <w:rPr>
        <w:b/>
        <w:sz w:val="22"/>
      </w:rPr>
      <w:tblPr/>
      <w:tcPr>
        <w:shd w:val="clear" w:color="FFFFFF" w:fill="A5A5A5" w:themeFill="accent3"/>
      </w:tcPr>
    </w:tblStylePr>
    <w:tblStylePr w:type="lastCol">
      <w:rPr>
        <w:b/>
        <w:sz w:val="22"/>
      </w:rPr>
      <w:tblPr/>
      <w:tcPr>
        <w:shd w:val="clear" w:color="FFFFFF" w:fill="A5A5A5" w:themeFill="accent3"/>
      </w:tcPr>
    </w:tblStylePr>
    <w:tblStylePr w:type="lastRow">
      <w:rPr>
        <w:b/>
        <w:sz w:val="22"/>
      </w:rPr>
      <w:tblPr/>
      <w:tcPr>
        <w:tcBorders>
          <w:top w:val="single" w:color="000000" w:themeColor="light1" w:sz="4" w:space="0"/>
        </w:tcBorders>
        <w:shd w:val="clear" w:color="FFFFFF" w:fill="A5A5A5"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929">
    <w:name w:val="Grid Table 5 Dark- Accent 4"/>
    <w:basedOn w:val="107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E28A" w:themeFill="accent4" w:themeFillTint="75"/>
      </w:tcPr>
    </w:tblStylePr>
    <w:tblStylePr w:type="band1Vert">
      <w:tblPr/>
      <w:tcPr>
        <w:shd w:val="clear" w:color="FFFFFF" w:fill="FFE28A" w:themeFill="accent4" w:themeFillTint="75"/>
      </w:tcPr>
    </w:tblStylePr>
    <w:tblStylePr w:type="band2Horz">
      <w:tblPr/>
    </w:tblStylePr>
    <w:tblStylePr w:type="band2Vert">
      <w:tblPr/>
    </w:tblStylePr>
    <w:tblStylePr w:type="firstCol">
      <w:rPr>
        <w:b/>
        <w:sz w:val="22"/>
      </w:rPr>
      <w:tblPr/>
      <w:tcPr>
        <w:shd w:val="clear" w:color="FFFFFF" w:fill="FFC000" w:themeFill="accent4"/>
      </w:tcPr>
    </w:tblStylePr>
    <w:tblStylePr w:type="firstRow">
      <w:rPr>
        <w:b/>
        <w:sz w:val="22"/>
      </w:rPr>
      <w:tblPr/>
      <w:tcPr>
        <w:shd w:val="clear" w:color="FFFFFF" w:fill="FFC000" w:themeFill="accent4"/>
      </w:tcPr>
    </w:tblStylePr>
    <w:tblStylePr w:type="lastCol">
      <w:rPr>
        <w:b/>
        <w:sz w:val="22"/>
      </w:rPr>
      <w:tblPr/>
      <w:tcPr>
        <w:shd w:val="clear" w:color="FFFFFF" w:fill="FFC000" w:themeFill="accent4"/>
      </w:tcPr>
    </w:tblStylePr>
    <w:tblStylePr w:type="lastRow">
      <w:rPr>
        <w:b/>
        <w:sz w:val="22"/>
      </w:rPr>
      <w:tblPr/>
      <w:tcPr>
        <w:tcBorders>
          <w:top w:val="single" w:color="000000" w:themeColor="light1" w:sz="4" w:space="0"/>
        </w:tcBorders>
        <w:shd w:val="clear" w:color="FFFFFF" w:fill="FFC000"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930">
    <w:name w:val="Grid Table 5 Dark - Accent 5"/>
    <w:basedOn w:val="107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9BEE4" w:themeFill="accent5" w:themeFillTint="75"/>
      </w:tcPr>
    </w:tblStylePr>
    <w:tblStylePr w:type="band1Vert">
      <w:tblPr/>
      <w:tcPr>
        <w:shd w:val="clear" w:color="FFFFFF" w:fill="A9BEE4" w:themeFill="accent5" w:themeFillTint="75"/>
      </w:tcPr>
    </w:tblStylePr>
    <w:tblStylePr w:type="band2Horz">
      <w:tblPr/>
    </w:tblStylePr>
    <w:tblStylePr w:type="band2Vert">
      <w:tblPr/>
    </w:tblStylePr>
    <w:tblStylePr w:type="firstCol">
      <w:rPr>
        <w:b/>
        <w:sz w:val="22"/>
      </w:rPr>
      <w:tblPr/>
      <w:tcPr>
        <w:shd w:val="clear" w:color="FFFFFF" w:fill="4472C4" w:themeFill="accent5"/>
      </w:tcPr>
    </w:tblStylePr>
    <w:tblStylePr w:type="firstRow">
      <w:rPr>
        <w:b/>
        <w:sz w:val="22"/>
      </w:rPr>
      <w:tblPr/>
      <w:tcPr>
        <w:shd w:val="clear" w:color="FFFFFF" w:fill="4472C4" w:themeFill="accent5"/>
      </w:tcPr>
    </w:tblStylePr>
    <w:tblStylePr w:type="lastCol">
      <w:rPr>
        <w:b/>
        <w:sz w:val="22"/>
      </w:rPr>
      <w:tblPr/>
      <w:tcPr>
        <w:shd w:val="clear" w:color="FFFFFF" w:fill="4472C4" w:themeFill="accent5"/>
      </w:tcPr>
    </w:tblStylePr>
    <w:tblStylePr w:type="lastRow">
      <w:rPr>
        <w:b/>
        <w:sz w:val="22"/>
      </w:rPr>
      <w:tblPr/>
      <w:tcPr>
        <w:tcBorders>
          <w:top w:val="single" w:color="000000" w:themeColor="light1" w:sz="4" w:space="0"/>
        </w:tcBorders>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931">
    <w:name w:val="Grid Table 5 Dark - Accent 6"/>
    <w:basedOn w:val="107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DDBA8" w:themeFill="accent6" w:themeFillTint="75"/>
      </w:tcPr>
    </w:tblStylePr>
    <w:tblStylePr w:type="band1Vert">
      <w:tblPr/>
      <w:tcPr>
        <w:shd w:val="clear" w:color="FFFFFF" w:fill="BDDBA8" w:themeFill="accent6" w:themeFillTint="75"/>
      </w:tcPr>
    </w:tblStylePr>
    <w:tblStylePr w:type="band2Horz">
      <w:tblPr/>
    </w:tblStylePr>
    <w:tblStylePr w:type="band2Vert">
      <w:tblPr/>
    </w:tblStylePr>
    <w:tblStylePr w:type="firstCol">
      <w:rPr>
        <w:b/>
        <w:sz w:val="22"/>
      </w:rPr>
      <w:tblPr/>
      <w:tcPr>
        <w:shd w:val="clear" w:color="FFFFFF" w:fill="70AD47" w:themeFill="accent6"/>
      </w:tcPr>
    </w:tblStylePr>
    <w:tblStylePr w:type="firstRow">
      <w:rPr>
        <w:b/>
        <w:sz w:val="22"/>
      </w:rPr>
      <w:tblPr/>
      <w:tcPr>
        <w:shd w:val="clear" w:color="FFFFFF" w:fill="70AD47" w:themeFill="accent6"/>
      </w:tcPr>
    </w:tblStylePr>
    <w:tblStylePr w:type="lastCol">
      <w:rPr>
        <w:b/>
        <w:sz w:val="22"/>
      </w:rPr>
      <w:tblPr/>
      <w:tcPr>
        <w:shd w:val="clear" w:color="FFFFFF" w:fill="70AD47" w:themeFill="accent6"/>
      </w:tcPr>
    </w:tblStylePr>
    <w:tblStylePr w:type="lastRow">
      <w:rPr>
        <w:b/>
        <w:sz w:val="22"/>
      </w:rPr>
      <w:tblPr/>
      <w:tcPr>
        <w:tcBorders>
          <w:top w:val="single" w:color="000000" w:themeColor="light1" w:sz="4" w:space="0"/>
        </w:tcBorders>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932">
    <w:name w:val="Grid Table 6 Colorful"/>
    <w:basedOn w:val="1076"/>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04040"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val="404040" w:themeColor="text1" w:themeTint="80" w:themeShade="95"/>
        <w:sz w:val="22"/>
      </w:rPr>
      <w:tblPr/>
    </w:tblStylePr>
    <w:tblStylePr w:type="band2Vert">
      <w:tblPr/>
    </w:tblStylePr>
    <w:tblStylePr w:type="firstCol">
      <w:rPr>
        <w:b/>
        <w:color w:val="4a4a4a" w:themeColor="text1" w:themeTint="80" w:themeShade="95"/>
      </w:rPr>
      <w:tblPr/>
    </w:tblStylePr>
    <w:tblStylePr w:type="firstRow">
      <w:rPr>
        <w:b/>
        <w:color w:val="4a4a4a" w:themeColor="text1" w:themeTint="80" w:themeShade="95"/>
      </w:rPr>
      <w:tblPr/>
      <w:tcPr>
        <w:tcBorders>
          <w:bottom w:val="single" w:color="000000" w:themeColor="text1" w:sz="12" w:space="0"/>
        </w:tcBorders>
      </w:tcPr>
    </w:tblStylePr>
    <w:tblStylePr w:type="lastCol">
      <w:rPr>
        <w:b/>
        <w:color w:val="4a4a4a" w:themeColor="text1" w:themeTint="80" w:themeShade="95"/>
      </w:rPr>
      <w:tblPr/>
    </w:tblStylePr>
    <w:tblStylePr w:type="lastRow">
      <w:rPr>
        <w:b/>
        <w:color w:val="4a4a4a"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text1" w:themeTint="80" w:themeShade="95"/>
        <w:sz w:val="22"/>
      </w:rPr>
      <w:tblPr/>
    </w:tblStylePr>
  </w:style>
  <w:style w:type="table" w:styleId="933">
    <w:name w:val="Grid Table 6 Colorful - Accent 1"/>
    <w:basedOn w:val="1076"/>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404040" w:themeColor="accent1" w:themeTint="80" w:themeShade="95"/>
        <w:sz w:val="22"/>
      </w:rPr>
      <w:tblPr/>
      <w:tcPr>
        <w:shd w:val="clear" w:color="FFFFFF" w:fill="DEEBF6" w:themeFill="accent1" w:themeFillTint="34"/>
      </w:tcPr>
    </w:tblStylePr>
    <w:tblStylePr w:type="band1Vert">
      <w:tblPr/>
      <w:tcPr>
        <w:shd w:val="clear" w:color="FFFFFF" w:fill="DEEBF6" w:themeFill="accent1" w:themeFillTint="34"/>
      </w:tcPr>
    </w:tblStylePr>
    <w:tblStylePr w:type="band2Horz">
      <w:rPr>
        <w:color w:val="404040" w:themeColor="accent1" w:themeTint="80" w:themeShade="95"/>
        <w:sz w:val="22"/>
      </w:rPr>
      <w:tblPr/>
    </w:tblStylePr>
    <w:tblStylePr w:type="band2Vert">
      <w:tblPr/>
    </w:tblStylePr>
    <w:tblStylePr w:type="firstCol">
      <w:rPr>
        <w:b/>
        <w:color w:val="307abd" w:themeColor="accent1" w:themeTint="80" w:themeShade="95"/>
      </w:rPr>
      <w:tblPr/>
    </w:tblStylePr>
    <w:tblStylePr w:type="firstRow">
      <w:rPr>
        <w:b/>
        <w:color w:val="307abd" w:themeColor="accent1" w:themeTint="80" w:themeShade="95"/>
      </w:rPr>
      <w:tblPr/>
      <w:tcPr>
        <w:tcBorders>
          <w:bottom w:val="single" w:color="000000" w:themeColor="accent1" w:sz="12" w:space="0"/>
        </w:tcBorders>
      </w:tcPr>
    </w:tblStylePr>
    <w:tblStylePr w:type="lastCol">
      <w:rPr>
        <w:b/>
        <w:color w:val="307abd" w:themeColor="accent1" w:themeTint="80" w:themeShade="95"/>
      </w:rPr>
      <w:tblPr/>
    </w:tblStylePr>
    <w:tblStylePr w:type="lastRow">
      <w:rPr>
        <w:b/>
        <w:color w:val="307abd"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accent1" w:themeTint="80" w:themeShade="95"/>
        <w:sz w:val="22"/>
      </w:rPr>
      <w:tblPr/>
    </w:tblStylePr>
  </w:style>
  <w:style w:type="table" w:styleId="934">
    <w:name w:val="Grid Table 6 Colorful - Accent 2"/>
    <w:basedOn w:val="1076"/>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404040" w:themeColor="accent2" w:themeTint="97" w:themeShade="95"/>
        <w:sz w:val="22"/>
      </w:rPr>
      <w:tblPr/>
      <w:tcPr>
        <w:shd w:val="clear" w:color="FFFFFF" w:fill="FBE6D7" w:themeFill="accent2" w:themeFillTint="32"/>
      </w:tcPr>
    </w:tblStylePr>
    <w:tblStylePr w:type="band1Vert">
      <w:tblPr/>
      <w:tcPr>
        <w:shd w:val="clear" w:color="FFFFFF" w:fill="FBE6D7" w:themeFill="accent2" w:themeFillTint="32"/>
      </w:tcPr>
    </w:tblStylePr>
    <w:tblStylePr w:type="band2Horz">
      <w:rPr>
        <w:color w:val="404040" w:themeColor="accent2" w:themeTint="97" w:themeShade="95"/>
        <w:sz w:val="22"/>
      </w:rPr>
      <w:tblPr/>
    </w:tblStylePr>
    <w:tblStylePr w:type="band2Vert">
      <w:tblPr/>
    </w:tblStylePr>
    <w:tblStylePr w:type="firstCol">
      <w:rPr>
        <w:b/>
        <w:color w:val="cb5d12" w:themeColor="accent2" w:themeTint="97" w:themeShade="95"/>
      </w:rPr>
      <w:tblPr/>
    </w:tblStylePr>
    <w:tblStylePr w:type="firstRow">
      <w:rPr>
        <w:b/>
        <w:color w:val="cb5d12" w:themeColor="accent2" w:themeTint="97" w:themeShade="95"/>
      </w:rPr>
      <w:tblPr/>
      <w:tcPr>
        <w:tcBorders>
          <w:bottom w:val="single" w:color="000000" w:themeColor="accent2" w:sz="12" w:space="0"/>
        </w:tcBorders>
      </w:tcPr>
    </w:tblStylePr>
    <w:tblStylePr w:type="lastCol">
      <w:rPr>
        <w:b/>
        <w:color w:val="cb5d12" w:themeColor="accent2" w:themeTint="97" w:themeShade="95"/>
      </w:rPr>
      <w:tblPr/>
    </w:tblStylePr>
    <w:tblStylePr w:type="lastRow">
      <w:rPr>
        <w:b/>
        <w:color w:val="cb5d12"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val="404040" w:themeColor="accent2" w:themeTint="97" w:themeShade="95"/>
        <w:sz w:val="22"/>
      </w:rPr>
      <w:tblPr/>
    </w:tblStylePr>
  </w:style>
  <w:style w:type="table" w:styleId="935">
    <w:name w:val="Grid Table 6 Colorful - Accent 3"/>
    <w:basedOn w:val="1076"/>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404040" w:themeColor="accent3" w:themeTint="fe" w:themeShade="95"/>
        <w:sz w:val="22"/>
      </w:rPr>
      <w:tblPr/>
      <w:tcPr>
        <w:shd w:val="clear" w:color="FFFFFF" w:fill="EDEDED" w:themeFill="accent3" w:themeFillTint="34"/>
      </w:tcPr>
    </w:tblStylePr>
    <w:tblStylePr w:type="band1Vert">
      <w:tblPr/>
      <w:tcPr>
        <w:shd w:val="clear" w:color="FFFFFF" w:fill="EDEDED" w:themeFill="accent3" w:themeFillTint="34"/>
      </w:tcPr>
    </w:tblStylePr>
    <w:tblStylePr w:type="band2Horz">
      <w:rPr>
        <w:color w:val="404040" w:themeColor="accent3" w:themeTint="fe" w:themeShade="95"/>
        <w:sz w:val="22"/>
      </w:rPr>
      <w:tblPr/>
    </w:tblStylePr>
    <w:tblStylePr w:type="band2Vert">
      <w:tblPr/>
    </w:tblStylePr>
    <w:tblStylePr w:type="firstCol">
      <w:rPr>
        <w:b/>
        <w:color w:val="616161" w:themeColor="accent3" w:themeTint="fe" w:themeShade="95"/>
      </w:rPr>
      <w:tblPr/>
    </w:tblStylePr>
    <w:tblStylePr w:type="firstRow">
      <w:rPr>
        <w:b/>
        <w:color w:val="616161" w:themeColor="accent3" w:themeTint="fe" w:themeShade="95"/>
      </w:rPr>
      <w:tblPr/>
      <w:tcPr>
        <w:tcBorders>
          <w:bottom w:val="single" w:color="000000" w:themeColor="accent3" w:sz="12" w:space="0"/>
        </w:tcBorders>
      </w:tcPr>
    </w:tblStylePr>
    <w:tblStylePr w:type="lastCol">
      <w:rPr>
        <w:b/>
        <w:color w:val="616161" w:themeColor="accent3" w:themeTint="fe" w:themeShade="95"/>
      </w:rPr>
      <w:tblPr/>
    </w:tblStylePr>
    <w:tblStylePr w:type="lastRow">
      <w:rPr>
        <w:b/>
        <w:color w:val="616161"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val="404040" w:themeColor="accent3" w:themeTint="fe" w:themeShade="95"/>
        <w:sz w:val="22"/>
      </w:rPr>
      <w:tblPr/>
    </w:tblStylePr>
  </w:style>
  <w:style w:type="table" w:styleId="936">
    <w:name w:val="Grid Table 6 Colorful - Accent 4"/>
    <w:basedOn w:val="1076"/>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404040" w:themeColor="accent4" w:themeTint="9a" w:themeShade="95"/>
        <w:sz w:val="22"/>
      </w:rPr>
      <w:tblPr/>
      <w:tcPr>
        <w:shd w:val="clear" w:color="FFFFFF" w:fill="FFF2CB" w:themeFill="accent4" w:themeFillTint="34"/>
      </w:tcPr>
    </w:tblStylePr>
    <w:tblStylePr w:type="band1Vert">
      <w:tblPr/>
      <w:tcPr>
        <w:shd w:val="clear" w:color="FFFFFF" w:fill="FFF2CB" w:themeFill="accent4" w:themeFillTint="34"/>
      </w:tcPr>
    </w:tblStylePr>
    <w:tblStylePr w:type="band2Horz">
      <w:rPr>
        <w:color w:val="404040" w:themeColor="accent4" w:themeTint="9a" w:themeShade="95"/>
        <w:sz w:val="22"/>
      </w:rPr>
      <w:tblPr/>
    </w:tblStylePr>
    <w:tblStylePr w:type="band2Vert">
      <w:tblPr/>
    </w:tblStylePr>
    <w:tblStylePr w:type="firstCol">
      <w:rPr>
        <w:b/>
        <w:color w:val="d09d00" w:themeColor="accent4" w:themeTint="9a" w:themeShade="95"/>
      </w:rPr>
      <w:tblPr/>
    </w:tblStylePr>
    <w:tblStylePr w:type="firstRow">
      <w:rPr>
        <w:b/>
        <w:color w:val="d09d00" w:themeColor="accent4" w:themeTint="9a" w:themeShade="95"/>
      </w:rPr>
      <w:tblPr/>
      <w:tcPr>
        <w:tcBorders>
          <w:bottom w:val="single" w:color="000000" w:themeColor="accent4" w:sz="12" w:space="0"/>
        </w:tcBorders>
      </w:tcPr>
    </w:tblStylePr>
    <w:tblStylePr w:type="lastCol">
      <w:rPr>
        <w:b/>
        <w:color w:val="d09d00" w:themeColor="accent4" w:themeTint="9a" w:themeShade="95"/>
      </w:rPr>
      <w:tblPr/>
    </w:tblStylePr>
    <w:tblStylePr w:type="lastRow">
      <w:rPr>
        <w:b/>
        <w:color w:val="d09d00"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val="404040" w:themeColor="accent4" w:themeTint="9a" w:themeShade="95"/>
        <w:sz w:val="22"/>
      </w:rPr>
      <w:tblPr/>
    </w:tblStylePr>
  </w:style>
  <w:style w:type="table" w:styleId="937">
    <w:name w:val="Grid Table 6 Colorful - Accent 5"/>
    <w:basedOn w:val="1076"/>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404040" w:themeColor="accent5" w:themeShade="95"/>
        <w:sz w:val="22"/>
      </w:rPr>
      <w:tblPr/>
      <w:tcPr>
        <w:shd w:val="clear" w:color="FFFFFF" w:fill="D9E2F3" w:themeFill="accent5" w:themeFillTint="34"/>
      </w:tcPr>
    </w:tblStylePr>
    <w:tblStylePr w:type="band1Vert">
      <w:tblPr/>
      <w:tcPr>
        <w:shd w:val="clear" w:color="FFFFFF" w:fill="D9E2F3" w:themeFill="accent5" w:themeFillTint="34"/>
      </w:tcPr>
    </w:tblStylePr>
    <w:tblStylePr w:type="band2Horz">
      <w:rPr>
        <w:color w:val="404040" w:themeColor="accent5" w:themeShade="95"/>
        <w:sz w:val="22"/>
      </w:rPr>
      <w:tblPr/>
    </w:tblStylePr>
    <w:tblStylePr w:type="band2Vert">
      <w:tblPr/>
    </w:tblStylePr>
    <w:tblStylePr w:type="firstCol">
      <w:rPr>
        <w:b/>
        <w:color w:val="254275" w:themeColor="accent5" w:themeShade="95"/>
      </w:rPr>
      <w:tblPr/>
    </w:tblStylePr>
    <w:tblStylePr w:type="firstRow">
      <w:rPr>
        <w:b/>
        <w:color w:val="254275" w:themeColor="accent5" w:themeShade="95"/>
      </w:rPr>
      <w:tblPr/>
      <w:tcPr>
        <w:tcBorders>
          <w:bottom w:val="single" w:color="000000" w:themeColor="accent5" w:sz="12" w:space="0"/>
        </w:tcBorders>
      </w:tcPr>
    </w:tblStylePr>
    <w:tblStylePr w:type="lastCol">
      <w:rPr>
        <w:b/>
        <w:color w:val="254275" w:themeColor="accent5" w:themeShade="95"/>
      </w:rPr>
      <w:tblPr/>
    </w:tblStylePr>
    <w:tblStylePr w:type="lastRow">
      <w:rPr>
        <w:b/>
        <w:color w:val="254275"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938">
    <w:name w:val="Grid Table 6 Colorful - Accent 6"/>
    <w:basedOn w:val="107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404040" w:themeColor="accent5" w:themeShade="95"/>
        <w:sz w:val="22"/>
      </w:rPr>
      <w:tblPr/>
      <w:tcPr>
        <w:shd w:val="clear" w:color="FFFFFF" w:fill="E2EFD9" w:themeFill="accent6" w:themeFillTint="34"/>
      </w:tcPr>
    </w:tblStylePr>
    <w:tblStylePr w:type="band1Vert">
      <w:tblPr/>
      <w:tcPr>
        <w:shd w:val="clear" w:color="FFFFFF" w:fill="E2EFD9" w:themeFill="accent6" w:themeFillTint="34"/>
      </w:tcPr>
    </w:tblStylePr>
    <w:tblStylePr w:type="band2Horz">
      <w:rPr>
        <w:color w:val="404040" w:themeColor="accent5" w:themeShade="95"/>
        <w:sz w:val="22"/>
      </w:rPr>
      <w:tblPr/>
    </w:tblStylePr>
    <w:tblStylePr w:type="band2Vert">
      <w:tblPr/>
    </w:tblStylePr>
    <w:tblStylePr w:type="firstCol">
      <w:rPr>
        <w:b/>
        <w:color w:val="254275" w:themeColor="accent5" w:themeShade="95"/>
      </w:rPr>
      <w:tblPr/>
    </w:tblStylePr>
    <w:tblStylePr w:type="firstRow">
      <w:rPr>
        <w:b/>
        <w:color w:val="254275" w:themeColor="accent5" w:themeShade="95"/>
      </w:rPr>
      <w:tblPr/>
      <w:tcPr>
        <w:tcBorders>
          <w:bottom w:val="single" w:color="000000" w:themeColor="accent6" w:sz="12" w:space="0"/>
        </w:tcBorders>
      </w:tcPr>
    </w:tblStylePr>
    <w:tblStylePr w:type="lastCol">
      <w:rPr>
        <w:b/>
        <w:color w:val="254275" w:themeColor="accent5" w:themeShade="95"/>
      </w:rPr>
      <w:tblPr/>
    </w:tblStylePr>
    <w:tblStylePr w:type="lastRow">
      <w:rPr>
        <w:b/>
        <w:color w:val="254275"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939">
    <w:name w:val="Grid Table 7 Colorful"/>
    <w:basedOn w:val="1076"/>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b/>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b/>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40">
    <w:name w:val="Grid Table 7 Colorful - Accent 1"/>
    <w:basedOn w:val="1076"/>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307abd" w:themeColor="accent1" w:themeTint="80" w:themeShade="95"/>
        <w:sz w:val="22"/>
      </w:rPr>
      <w:tblPr/>
      <w:tcPr>
        <w:shd w:val="clear" w:color="FFFFFF" w:fill="DEEBF6" w:themeFill="accent1" w:themeFillTint="34"/>
      </w:tcPr>
    </w:tblStylePr>
    <w:tblStylePr w:type="band1Vert">
      <w:tblPr/>
      <w:tcPr>
        <w:shd w:val="clear" w:color="FFFFFF" w:fill="DEEBF6" w:themeFill="accent1" w:themeFillTint="34"/>
      </w:tcPr>
    </w:tblStylePr>
    <w:tblStylePr w:type="band2Horz">
      <w:rPr>
        <w:color w:val="307abd" w:themeColor="accent1" w:themeTint="80" w:themeShade="95"/>
        <w:sz w:val="22"/>
      </w:rPr>
      <w:tblPr/>
    </w:tblStylePr>
    <w:tblStylePr w:type="band2Vert">
      <w:tblPr/>
    </w:tblStylePr>
    <w:tblStylePr w:type="firstCol">
      <w:pPr>
        <w:jc w:val="right"/>
      </w:pPr>
      <w:rPr>
        <w:i/>
        <w:color w:val="307abd"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b/>
        <w:color w:val="307abd"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307abd"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b/>
        <w:color w:val="307abd"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41">
    <w:name w:val="Grid Table 7 Colorful - Accent 2"/>
    <w:basedOn w:val="1076"/>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cb5d12" w:themeColor="accent2" w:themeTint="97" w:themeShade="95"/>
        <w:sz w:val="22"/>
      </w:rPr>
      <w:tblPr/>
      <w:tcPr>
        <w:shd w:val="clear" w:color="FFFFFF" w:fill="FBE6D7" w:themeFill="accent2" w:themeFillTint="32"/>
      </w:tcPr>
    </w:tblStylePr>
    <w:tblStylePr w:type="band1Vert">
      <w:tblPr/>
      <w:tcPr>
        <w:shd w:val="clear" w:color="FFFFFF" w:fill="FBE6D7" w:themeFill="accent2" w:themeFillTint="32"/>
      </w:tcPr>
    </w:tblStylePr>
    <w:tblStylePr w:type="band2Horz">
      <w:rPr>
        <w:color w:val="cb5d12" w:themeColor="accent2" w:themeTint="97" w:themeShade="95"/>
        <w:sz w:val="22"/>
      </w:rPr>
      <w:tblPr/>
    </w:tblStylePr>
    <w:tblStylePr w:type="band2Vert">
      <w:tblPr/>
    </w:tblStylePr>
    <w:tblStylePr w:type="firstCol">
      <w:pPr>
        <w:jc w:val="right"/>
      </w:pPr>
      <w:rPr>
        <w:i/>
        <w:color w:val="cb5d12"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b/>
        <w:color w:val="cb5d12"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cb5d12"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b/>
        <w:color w:val="cb5d12"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42">
    <w:name w:val="Grid Table 7 Colorful - Accent 3"/>
    <w:basedOn w:val="1076"/>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616161" w:themeColor="accent3" w:themeTint="fe" w:themeShade="95"/>
        <w:sz w:val="22"/>
      </w:rPr>
      <w:tblPr/>
      <w:tcPr>
        <w:shd w:val="clear" w:color="FFFFFF" w:fill="EDEDED" w:themeFill="accent3" w:themeFillTint="34"/>
      </w:tcPr>
    </w:tblStylePr>
    <w:tblStylePr w:type="band1Vert">
      <w:tblPr/>
      <w:tcPr>
        <w:shd w:val="clear" w:color="FFFFFF" w:fill="EDEDED" w:themeFill="accent3" w:themeFillTint="34"/>
      </w:tcPr>
    </w:tblStylePr>
    <w:tblStylePr w:type="band2Horz">
      <w:rPr>
        <w:color w:val="616161" w:themeColor="accent3" w:themeTint="fe" w:themeShade="95"/>
        <w:sz w:val="22"/>
      </w:rPr>
      <w:tblPr/>
    </w:tblStylePr>
    <w:tblStylePr w:type="band2Vert">
      <w:tblPr/>
    </w:tblStylePr>
    <w:tblStylePr w:type="firstCol">
      <w:pPr>
        <w:jc w:val="right"/>
      </w:pPr>
      <w:rPr>
        <w:i/>
        <w:color w:val="616161"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b/>
        <w:color w:val="616161"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616161"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b/>
        <w:color w:val="616161"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43">
    <w:name w:val="Grid Table 7 Colorful - Accent 4"/>
    <w:basedOn w:val="1076"/>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d09d00" w:themeColor="accent4" w:themeTint="9a" w:themeShade="95"/>
        <w:sz w:val="22"/>
      </w:rPr>
      <w:tblPr/>
      <w:tcPr>
        <w:shd w:val="clear" w:color="FFFFFF" w:fill="FFF2CB" w:themeFill="accent4" w:themeFillTint="34"/>
      </w:tcPr>
    </w:tblStylePr>
    <w:tblStylePr w:type="band1Vert">
      <w:tblPr/>
      <w:tcPr>
        <w:shd w:val="clear" w:color="FFFFFF" w:fill="FFF2CB" w:themeFill="accent4" w:themeFillTint="34"/>
      </w:tcPr>
    </w:tblStylePr>
    <w:tblStylePr w:type="band2Horz">
      <w:rPr>
        <w:color w:val="d09d00" w:themeColor="accent4" w:themeTint="9a" w:themeShade="95"/>
        <w:sz w:val="22"/>
      </w:rPr>
      <w:tblPr/>
    </w:tblStylePr>
    <w:tblStylePr w:type="band2Vert">
      <w:tblPr/>
    </w:tblStylePr>
    <w:tblStylePr w:type="firstCol">
      <w:pPr>
        <w:jc w:val="right"/>
      </w:pPr>
      <w:rPr>
        <w:i/>
        <w:color w:val="d09d00"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b/>
        <w:color w:val="d09d00"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d09d00"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b/>
        <w:color w:val="d09d00"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44">
    <w:name w:val="Grid Table 7 Colorful - Accent 5"/>
    <w:basedOn w:val="1076"/>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254275" w:themeColor="accent5" w:themeShade="95"/>
        <w:sz w:val="22"/>
      </w:rPr>
      <w:tblPr/>
      <w:tcPr>
        <w:shd w:val="clear" w:color="FFFFFF" w:fill="D9E2F3" w:themeFill="accent5" w:themeFillTint="34"/>
      </w:tcPr>
    </w:tblStylePr>
    <w:tblStylePr w:type="band1Vert">
      <w:tblPr/>
      <w:tcPr>
        <w:shd w:val="clear" w:color="FFFFFF" w:fill="D9E2F3" w:themeFill="accent5" w:themeFillTint="34"/>
      </w:tcPr>
    </w:tblStylePr>
    <w:tblStylePr w:type="band2Horz">
      <w:rPr>
        <w:color w:val="254275" w:themeColor="accent5" w:themeShade="95"/>
        <w:sz w:val="22"/>
      </w:rPr>
      <w:tblPr/>
    </w:tblStylePr>
    <w:tblStylePr w:type="band2Vert">
      <w:tblPr/>
    </w:tblStylePr>
    <w:tblStylePr w:type="firstCol">
      <w:pPr>
        <w:jc w:val="right"/>
      </w:pPr>
      <w:rPr>
        <w:i/>
        <w:color w:val="254275"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b/>
        <w:color w:val="254275"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254275"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b/>
        <w:color w:val="254275"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45">
    <w:name w:val="Grid Table 7 Colorful - Accent 6"/>
    <w:basedOn w:val="1076"/>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416529" w:themeColor="accent6" w:themeShade="95"/>
        <w:sz w:val="22"/>
      </w:rPr>
      <w:tblPr/>
      <w:tcPr>
        <w:shd w:val="clear" w:color="FFFFFF" w:fill="E2EFD9" w:themeFill="accent6" w:themeFillTint="34"/>
      </w:tcPr>
    </w:tblStylePr>
    <w:tblStylePr w:type="band1Vert">
      <w:tblPr/>
      <w:tcPr>
        <w:shd w:val="clear" w:color="FFFFFF" w:fill="E2EFD9" w:themeFill="accent6" w:themeFillTint="34"/>
      </w:tcPr>
    </w:tblStylePr>
    <w:tblStylePr w:type="band2Horz">
      <w:rPr>
        <w:color w:val="416529" w:themeColor="accent6" w:themeShade="95"/>
        <w:sz w:val="22"/>
      </w:rPr>
      <w:tblPr/>
    </w:tblStylePr>
    <w:tblStylePr w:type="band2Vert">
      <w:tblPr/>
    </w:tblStylePr>
    <w:tblStylePr w:type="firstCol">
      <w:pPr>
        <w:jc w:val="right"/>
      </w:pPr>
      <w:rPr>
        <w:i/>
        <w:color w:val="416529"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b/>
        <w:color w:val="416529"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416529"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b/>
        <w:color w:val="416529"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46">
    <w:name w:val="List Table 1 Light"/>
    <w:basedOn w:val="1076"/>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47">
    <w:name w:val="List Table 1 Light - Accent 1"/>
    <w:basedOn w:val="1076"/>
    <w:uiPriority w:val="99"/>
    <w:pPr>
      <w:spacing w:after="0" w:line="240" w:lineRule="auto"/>
    </w:pPr>
    <w:tblPr>
      <w:tblStyleRowBandSize w:val="1"/>
      <w:tblStyleColBandSize w:val="1"/>
    </w:tblPr>
    <w:tblStylePr w:type="band1Horz">
      <w:tblPr/>
      <w:tcPr>
        <w:shd w:val="clear" w:color="FFFFFF" w:fill="D6E6F4" w:themeFill="accent1" w:themeFillTint="40"/>
      </w:tcPr>
    </w:tblStylePr>
    <w:tblStylePr w:type="band1Vert">
      <w:tblPr/>
      <w:tcPr>
        <w:shd w:val="clear" w:color="FFFFFF" w:fill="D6E6F4"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48">
    <w:name w:val="List Table 1 Light - Accent 2"/>
    <w:basedOn w:val="1076"/>
    <w:uiPriority w:val="99"/>
    <w:pPr>
      <w:spacing w:after="0" w:line="240" w:lineRule="auto"/>
    </w:pPr>
    <w:tblPr>
      <w:tblStyleRowBandSize w:val="1"/>
      <w:tblStyleColBandSize w:val="1"/>
    </w:tblPr>
    <w:tblStylePr w:type="band1Horz">
      <w:tblPr/>
      <w:tcPr>
        <w:shd w:val="clear" w:color="FFFFFF" w:fill="FADECB" w:themeFill="accent2" w:themeFillTint="40"/>
      </w:tcPr>
    </w:tblStylePr>
    <w:tblStylePr w:type="band1Vert">
      <w:tblPr/>
      <w:tcPr>
        <w:shd w:val="clear" w:color="FFFFFF" w:fill="FADECB"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49">
    <w:name w:val="List Table 1 Light - Accent 3"/>
    <w:basedOn w:val="1076"/>
    <w:uiPriority w:val="99"/>
    <w:pPr>
      <w:spacing w:after="0" w:line="240" w:lineRule="auto"/>
    </w:pPr>
    <w:tblPr>
      <w:tblStyleRowBandSize w:val="1"/>
      <w:tblStyleColBandSize w:val="1"/>
    </w:tblPr>
    <w:tblStylePr w:type="band1Horz">
      <w:tblPr/>
      <w:tcPr>
        <w:shd w:val="clear" w:color="FFFFFF" w:fill="E8E8E8" w:themeFill="accent3" w:themeFillTint="40"/>
      </w:tcPr>
    </w:tblStylePr>
    <w:tblStylePr w:type="band1Vert">
      <w:tblPr/>
      <w:tcPr>
        <w:shd w:val="clear" w:color="FFFFFF" w:fill="E8E8E8"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50">
    <w:name w:val="List Table 1 Light - Accent 4"/>
    <w:basedOn w:val="1076"/>
    <w:uiPriority w:val="99"/>
    <w:pPr>
      <w:spacing w:after="0" w:line="240" w:lineRule="auto"/>
    </w:pPr>
    <w:tblPr>
      <w:tblStyleRowBandSize w:val="1"/>
      <w:tblStyleColBandSize w:val="1"/>
    </w:tblPr>
    <w:tblStylePr w:type="band1Horz">
      <w:tblPr/>
      <w:tcPr>
        <w:shd w:val="clear" w:color="FFFFFF" w:fill="FFEFBF" w:themeFill="accent4" w:themeFillTint="40"/>
      </w:tcPr>
    </w:tblStylePr>
    <w:tblStylePr w:type="band1Vert">
      <w:tblPr/>
      <w:tcPr>
        <w:shd w:val="clear" w:color="FFFFFF" w:fill="FFEFBF"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51">
    <w:name w:val="List Table 1 Light - Accent 5"/>
    <w:basedOn w:val="1076"/>
    <w:uiPriority w:val="99"/>
    <w:pPr>
      <w:spacing w:after="0" w:line="240" w:lineRule="auto"/>
    </w:pPr>
    <w:tblPr>
      <w:tblStyleRowBandSize w:val="1"/>
      <w:tblStyleColBandSize w:val="1"/>
    </w:tblPr>
    <w:tblStylePr w:type="band1Horz">
      <w:tblPr/>
      <w:tcPr>
        <w:shd w:val="clear" w:color="FFFFFF" w:fill="D0DCF0" w:themeFill="accent5" w:themeFillTint="40"/>
      </w:tcPr>
    </w:tblStylePr>
    <w:tblStylePr w:type="band1Vert">
      <w:tblPr/>
      <w:tcPr>
        <w:shd w:val="clear" w:color="FFFFFF" w:fill="D0DCF0"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52">
    <w:name w:val="List Table 1 Light - Accent 6"/>
    <w:basedOn w:val="1076"/>
    <w:uiPriority w:val="99"/>
    <w:pPr>
      <w:spacing w:after="0" w:line="240" w:lineRule="auto"/>
    </w:pPr>
    <w:tblPr>
      <w:tblStyleRowBandSize w:val="1"/>
      <w:tblStyleColBandSize w:val="1"/>
    </w:tblPr>
    <w:tblStylePr w:type="band1Horz">
      <w:tblPr/>
      <w:tcPr>
        <w:shd w:val="clear" w:color="FFFFFF" w:fill="DBECD0" w:themeFill="accent6" w:themeFillTint="40"/>
      </w:tcPr>
    </w:tblStylePr>
    <w:tblStylePr w:type="band1Vert">
      <w:tblPr/>
      <w:tcPr>
        <w:shd w:val="clear" w:color="FFFFFF" w:fill="DBECD0"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53">
    <w:name w:val="List Table 2"/>
    <w:basedOn w:val="1076"/>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54">
    <w:name w:val="List Table 2 - Accent 1"/>
    <w:basedOn w:val="1076"/>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6E6F4" w:themeFill="accent1" w:themeFillTint="40"/>
      </w:tcPr>
    </w:tblStylePr>
    <w:tblStylePr w:type="band1Vert">
      <w:rPr>
        <w:sz w:val="22"/>
      </w:rPr>
      <w:tblPr/>
      <w:tcPr>
        <w:shd w:val="clear" w:color="FFFFFF" w:fill="D6E6F4"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55">
    <w:name w:val="List Table 2 - Accent 2"/>
    <w:basedOn w:val="1076"/>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FADECB" w:themeFill="accent2" w:themeFillTint="40"/>
      </w:tcPr>
    </w:tblStylePr>
    <w:tblStylePr w:type="band1Vert">
      <w:rPr>
        <w:sz w:val="22"/>
      </w:rPr>
      <w:tblPr/>
      <w:tcPr>
        <w:shd w:val="clear" w:color="FFFFFF" w:fill="FADECB"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56">
    <w:name w:val="List Table 2 - Accent 3"/>
    <w:basedOn w:val="1076"/>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8E8E8" w:themeFill="accent3" w:themeFillTint="40"/>
      </w:tcPr>
    </w:tblStylePr>
    <w:tblStylePr w:type="band1Vert">
      <w:rPr>
        <w:sz w:val="22"/>
      </w:rPr>
      <w:tblPr/>
      <w:tcPr>
        <w:shd w:val="clear" w:color="FFFFFF" w:fill="E8E8E8"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57">
    <w:name w:val="List Table 2 - Accent 4"/>
    <w:basedOn w:val="1076"/>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FFEFBF" w:themeFill="accent4" w:themeFillTint="40"/>
      </w:tcPr>
    </w:tblStylePr>
    <w:tblStylePr w:type="band1Vert">
      <w:rPr>
        <w:sz w:val="22"/>
      </w:rPr>
      <w:tblPr/>
      <w:tcPr>
        <w:shd w:val="clear" w:color="FFFFFF" w:fill="FFEFBF"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58">
    <w:name w:val="List Table 2 - Accent 5"/>
    <w:basedOn w:val="1076"/>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0DCF0" w:themeFill="accent5" w:themeFillTint="40"/>
      </w:tcPr>
    </w:tblStylePr>
    <w:tblStylePr w:type="band1Vert">
      <w:rPr>
        <w:sz w:val="22"/>
      </w:rPr>
      <w:tblPr/>
      <w:tcPr>
        <w:shd w:val="clear" w:color="FFFFFF" w:fill="D0DCF0"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59">
    <w:name w:val="List Table 2 - Accent 6"/>
    <w:basedOn w:val="1076"/>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DBECD0" w:themeFill="accent6" w:themeFillTint="40"/>
      </w:tcPr>
    </w:tblStylePr>
    <w:tblStylePr w:type="band1Vert">
      <w:rPr>
        <w:sz w:val="22"/>
      </w:rPr>
      <w:tblPr/>
      <w:tcPr>
        <w:shd w:val="clear" w:color="FFFFFF" w:fill="DBECD0"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60">
    <w:name w:val="List Table 3"/>
    <w:basedOn w:val="1076"/>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61">
    <w:name w:val="List Table 3 - Accent 1"/>
    <w:basedOn w:val="1076"/>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5B9BD5"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62">
    <w:name w:val="List Table 3 - Accent 2"/>
    <w:basedOn w:val="1076"/>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4B285"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63">
    <w:name w:val="List Table 3 - Accent 3"/>
    <w:basedOn w:val="1076"/>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9C9C9"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64">
    <w:name w:val="List Table 3 - Accent 4"/>
    <w:basedOn w:val="1076"/>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FD965"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65">
    <w:name w:val="List Table 3 - Accent 5"/>
    <w:basedOn w:val="1076"/>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8EAADB"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66">
    <w:name w:val="List Table 3 - Accent 6"/>
    <w:basedOn w:val="1076"/>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A9D18F"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67">
    <w:name w:val="List Table 4"/>
    <w:basedOn w:val="1076"/>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68">
    <w:name w:val="List Table 4 - Accent 1"/>
    <w:basedOn w:val="1076"/>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6E6F4" w:themeFill="accent1" w:themeFillTint="40"/>
      </w:tcPr>
    </w:tblStylePr>
    <w:tblStylePr w:type="band1Vert">
      <w:rPr>
        <w:sz w:val="22"/>
      </w:rPr>
      <w:tblPr/>
      <w:tcPr>
        <w:shd w:val="clear" w:color="FFFFFF" w:fill="D6E6F4"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5B9BD5"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69">
    <w:name w:val="List Table 4 - Accent 2"/>
    <w:basedOn w:val="1076"/>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FADECB" w:themeFill="accent2" w:themeFillTint="40"/>
      </w:tcPr>
    </w:tblStylePr>
    <w:tblStylePr w:type="band1Vert">
      <w:rPr>
        <w:sz w:val="22"/>
      </w:rPr>
      <w:tblPr/>
      <w:tcPr>
        <w:shd w:val="clear" w:color="FFFFFF" w:fill="FADECB"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ED7D31"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70">
    <w:name w:val="List Table 4 - Accent 3"/>
    <w:basedOn w:val="1076"/>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8E8E8" w:themeFill="accent3" w:themeFillTint="40"/>
      </w:tcPr>
    </w:tblStylePr>
    <w:tblStylePr w:type="band1Vert">
      <w:rPr>
        <w:sz w:val="22"/>
      </w:rPr>
      <w:tblPr/>
      <w:tcPr>
        <w:shd w:val="clear" w:color="FFFFFF" w:fill="E8E8E8"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A5A5A5"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71">
    <w:name w:val="List Table 4 - Accent 4"/>
    <w:basedOn w:val="1076"/>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FFEFBF" w:themeFill="accent4" w:themeFillTint="40"/>
      </w:tcPr>
    </w:tblStylePr>
    <w:tblStylePr w:type="band1Vert">
      <w:rPr>
        <w:sz w:val="22"/>
      </w:rPr>
      <w:tblPr/>
      <w:tcPr>
        <w:shd w:val="clear" w:color="FFFFFF" w:fill="FFEFBF"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FC000"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72">
    <w:name w:val="List Table 4 - Accent 5"/>
    <w:basedOn w:val="1076"/>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0DCF0" w:themeFill="accent5" w:themeFillTint="40"/>
      </w:tcPr>
    </w:tblStylePr>
    <w:tblStylePr w:type="band1Vert">
      <w:rPr>
        <w:sz w:val="22"/>
      </w:rPr>
      <w:tblPr/>
      <w:tcPr>
        <w:shd w:val="clear" w:color="FFFFFF" w:fill="D0DCF0"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472C4"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73">
    <w:name w:val="List Table 4 - Accent 6"/>
    <w:basedOn w:val="1076"/>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DBECD0" w:themeFill="accent6" w:themeFillTint="40"/>
      </w:tcPr>
    </w:tblStylePr>
    <w:tblStylePr w:type="band1Vert">
      <w:rPr>
        <w:sz w:val="22"/>
      </w:rPr>
      <w:tblPr/>
      <w:tcPr>
        <w:shd w:val="clear" w:color="FFFFFF" w:fill="DBECD0"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70AD47"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74">
    <w:name w:val="List Table 5 Dark"/>
    <w:basedOn w:val="1076"/>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text1" w:sz="32" w:space="0"/>
          <w:right w:val="single" w:color="000000" w:themeColor="light1" w:sz="4" w:space="0"/>
        </w:tcBorders>
      </w:tcPr>
    </w:tblStylePr>
    <w:tblStylePr w:type="firstRow">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75">
    <w:name w:val="List Table 5 Dark - Accent 1"/>
    <w:basedOn w:val="1076"/>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5B9BD5" w:themeFill="accent1"/>
      </w:tcPr>
    </w:tblStylePr>
    <w:tblStylePr w:type="band1Vert">
      <w:tblPr/>
      <w:tcPr>
        <w:tcBorders>
          <w:left w:val="single" w:color="000000" w:themeColor="light1" w:sz="4" w:space="0"/>
          <w:right w:val="single" w:color="000000" w:themeColor="light1" w:sz="4" w:space="0"/>
        </w:tcBorders>
        <w:shd w:val="clear" w:color="FFFFFF" w:fill="5B9BD5" w:themeFill="accent1"/>
      </w:tcPr>
    </w:tblStylePr>
    <w:tblStylePr w:type="band2Horz">
      <w:tblPr/>
      <w:tcPr>
        <w:tcBorders>
          <w:top w:val="single" w:color="000000" w:themeColor="light1" w:sz="4" w:space="0"/>
          <w:bottom w:val="single" w:color="000000" w:themeColor="light1" w:sz="4" w:space="0"/>
        </w:tcBorders>
        <w:shd w:val="clear" w:color="FFFFFF" w:fill="5B9BD5"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1" w:sz="32" w:space="0"/>
          <w:right w:val="single" w:color="000000" w:themeColor="light1" w:sz="4" w:space="0"/>
        </w:tcBorders>
      </w:tcPr>
    </w:tblStylePr>
    <w:tblStylePr w:type="firstRow">
      <w:rPr>
        <w:b/>
        <w:color w:val="ffffff" w:themeColor="light1"/>
        <w:sz w:val="22"/>
      </w:rPr>
      <w:tblPr/>
      <w:tcPr>
        <w:tcBorders>
          <w:top w:val="single" w:color="000000" w:themeColor="accent1" w:sz="32" w:space="0"/>
          <w:bottom w:val="single" w:color="000000" w:themeColor="light1" w:sz="12" w:space="0"/>
        </w:tcBorders>
        <w:shd w:val="clear" w:color="FFFFFF" w:fill="5B9BD5"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76">
    <w:name w:val="List Table 5 Dark - Accent 2"/>
    <w:basedOn w:val="1076"/>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2" w:sz="32" w:space="0"/>
          <w:right w:val="single" w:color="000000" w:themeColor="light1" w:sz="4" w:space="0"/>
        </w:tcBorders>
      </w:tcPr>
    </w:tblStylePr>
    <w:tblStylePr w:type="firstRow">
      <w:rPr>
        <w:b/>
        <w:color w:val="ffffff"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77">
    <w:name w:val="List Table 5 Dark - Accent 3"/>
    <w:basedOn w:val="1076"/>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3" w:sz="32" w:space="0"/>
          <w:right w:val="single" w:color="000000" w:themeColor="light1" w:sz="4" w:space="0"/>
        </w:tcBorders>
      </w:tcPr>
    </w:tblStylePr>
    <w:tblStylePr w:type="firstRow">
      <w:rPr>
        <w:b/>
        <w:color w:val="ffffff"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78">
    <w:name w:val="List Table 5 Dark - Accent 4"/>
    <w:basedOn w:val="1076"/>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4" w:sz="32" w:space="0"/>
          <w:right w:val="single" w:color="000000" w:themeColor="light1" w:sz="4" w:space="0"/>
        </w:tcBorders>
      </w:tcPr>
    </w:tblStylePr>
    <w:tblStylePr w:type="firstRow">
      <w:rPr>
        <w:b/>
        <w:color w:val="ffffff"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79">
    <w:name w:val="List Table 5 Dark - Accent 5"/>
    <w:basedOn w:val="1076"/>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8EAADB" w:themeFill="accent5" w:themeFillTint="9a"/>
      </w:tcPr>
    </w:tblStylePr>
    <w:tblStylePr w:type="band1Vert">
      <w:tblPr/>
      <w:tcPr>
        <w:tcBorders>
          <w:left w:val="single" w:color="000000" w:themeColor="light1" w:sz="4" w:space="0"/>
          <w:right w:val="single" w:color="000000" w:themeColor="light1" w:sz="4" w:space="0"/>
        </w:tcBorders>
        <w:shd w:val="clear" w:color="FFFFFF" w:fill="8EAADB" w:themeFill="accent5" w:themeFillTint="9a"/>
      </w:tcPr>
    </w:tblStylePr>
    <w:tblStylePr w:type="band2Horz">
      <w:tblPr/>
      <w:tcPr>
        <w:tcBorders>
          <w:top w:val="single" w:color="000000" w:themeColor="light1" w:sz="4" w:space="0"/>
          <w:bottom w:val="single" w:color="000000" w:themeColor="light1" w:sz="4" w:space="0"/>
        </w:tcBorders>
        <w:shd w:val="clear" w:color="FFFFFF" w:fill="8EAADB"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5" w:sz="32" w:space="0"/>
          <w:right w:val="single" w:color="000000" w:themeColor="light1" w:sz="4" w:space="0"/>
        </w:tcBorders>
      </w:tcPr>
    </w:tblStylePr>
    <w:tblStylePr w:type="firstRow">
      <w:rPr>
        <w:b/>
        <w:color w:val="ffffff" w:themeColor="light1"/>
        <w:sz w:val="22"/>
      </w:rPr>
      <w:tblPr/>
      <w:tcPr>
        <w:tcBorders>
          <w:top w:val="single" w:color="000000" w:themeColor="accent5" w:sz="32" w:space="0"/>
          <w:bottom w:val="single" w:color="000000" w:themeColor="light1" w:sz="12" w:space="0"/>
        </w:tcBorders>
        <w:shd w:val="clear" w:color="FFFFFF" w:fill="8EAADB"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80">
    <w:name w:val="List Table 5 Dark - Accent 6"/>
    <w:basedOn w:val="1076"/>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6" w:sz="32" w:space="0"/>
          <w:right w:val="single" w:color="000000" w:themeColor="light1" w:sz="4" w:space="0"/>
        </w:tcBorders>
      </w:tcPr>
    </w:tblStylePr>
    <w:tblStylePr w:type="firstRow">
      <w:rPr>
        <w:b/>
        <w:color w:val="ffffff"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81">
    <w:name w:val="List Table 6 Colorful"/>
    <w:basedOn w:val="1076"/>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404040"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04040" w:themeColor="text1"/>
        <w:sz w:val="22"/>
      </w:rPr>
      <w:tblPr/>
    </w:tblStylePr>
    <w:tblStylePr w:type="band2Vert">
      <w:tblPr/>
    </w:tblStylePr>
    <w:tblStylePr w:type="firstCol">
      <w:rPr>
        <w:b/>
        <w:color w:val="000000" w:themeColor="text1"/>
      </w:rPr>
      <w:tblPr/>
    </w:tblStylePr>
    <w:tblStylePr w:type="firstRow">
      <w:rPr>
        <w:b/>
        <w:color w:val="000000" w:themeColor="text1"/>
      </w:rPr>
      <w:tblPr/>
      <w:tcPr>
        <w:tcBorders>
          <w:bottom w:val="single" w:color="000000" w:themeColor="text1" w:sz="4" w:space="0"/>
        </w:tcBorders>
      </w:tcPr>
    </w:tblStylePr>
    <w:tblStylePr w:type="lastCol">
      <w:rPr>
        <w:b/>
        <w:color w:val="000000" w:themeColor="text1"/>
      </w:rPr>
      <w:tblPr/>
    </w:tblStylePr>
    <w:tblStylePr w:type="lastRow">
      <w:rPr>
        <w:b/>
        <w:color w:val="000000"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82">
    <w:name w:val="List Table 6 Colorful - Accent 1"/>
    <w:basedOn w:val="1076"/>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404040" w:themeColor="accent1" w:themeShade="95"/>
        <w:sz w:val="22"/>
      </w:rPr>
      <w:tblPr/>
      <w:tcPr>
        <w:shd w:val="clear" w:color="FFFFFF" w:fill="D6E6F4" w:themeFill="accent1" w:themeFillTint="40"/>
      </w:tcPr>
    </w:tblStylePr>
    <w:tblStylePr w:type="band1Vert">
      <w:tblPr/>
      <w:tcPr>
        <w:shd w:val="clear" w:color="FFFFFF" w:fill="D6E6F4" w:themeFill="accent1" w:themeFillTint="40"/>
      </w:tcPr>
    </w:tblStylePr>
    <w:tblStylePr w:type="band2Horz">
      <w:rPr>
        <w:color w:val="404040" w:themeColor="accent1" w:themeShade="95"/>
        <w:sz w:val="22"/>
      </w:rPr>
      <w:tblPr/>
    </w:tblStylePr>
    <w:tblStylePr w:type="band2Vert">
      <w:tblPr/>
    </w:tblStylePr>
    <w:tblStylePr w:type="firstCol">
      <w:rPr>
        <w:b/>
        <w:color w:val="245b8d" w:themeColor="accent1" w:themeShade="95"/>
      </w:rPr>
      <w:tblPr/>
    </w:tblStylePr>
    <w:tblStylePr w:type="firstRow">
      <w:rPr>
        <w:b/>
        <w:color w:val="245b8d" w:themeColor="accent1" w:themeShade="95"/>
      </w:rPr>
      <w:tblPr/>
      <w:tcPr>
        <w:tcBorders>
          <w:bottom w:val="single" w:color="000000" w:themeColor="accent1" w:sz="4" w:space="0"/>
        </w:tcBorders>
      </w:tcPr>
    </w:tblStylePr>
    <w:tblStylePr w:type="lastCol">
      <w:rPr>
        <w:b/>
        <w:color w:val="245b8d" w:themeColor="accent1" w:themeShade="95"/>
      </w:rPr>
      <w:tblPr/>
    </w:tblStylePr>
    <w:tblStylePr w:type="lastRow">
      <w:rPr>
        <w:b/>
        <w:color w:val="245b8d"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83">
    <w:name w:val="List Table 6 Colorful - Accent 2"/>
    <w:basedOn w:val="1076"/>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404040" w:themeColor="accent2" w:themeTint="97" w:themeShade="95"/>
        <w:sz w:val="22"/>
      </w:rPr>
      <w:tblPr/>
      <w:tcPr>
        <w:shd w:val="clear" w:color="FFFFFF" w:fill="FADECB" w:themeFill="accent2" w:themeFillTint="40"/>
      </w:tcPr>
    </w:tblStylePr>
    <w:tblStylePr w:type="band1Vert">
      <w:tblPr/>
      <w:tcPr>
        <w:shd w:val="clear" w:color="FFFFFF" w:fill="FADECB" w:themeFill="accent2" w:themeFillTint="40"/>
      </w:tcPr>
    </w:tblStylePr>
    <w:tblStylePr w:type="band2Horz">
      <w:rPr>
        <w:color w:val="404040" w:themeColor="accent2" w:themeTint="97" w:themeShade="95"/>
        <w:sz w:val="22"/>
      </w:rPr>
      <w:tblPr/>
    </w:tblStylePr>
    <w:tblStylePr w:type="band2Vert">
      <w:tblPr/>
    </w:tblStylePr>
    <w:tblStylePr w:type="firstCol">
      <w:rPr>
        <w:b/>
        <w:color w:val="cb5d12" w:themeColor="accent2" w:themeTint="97" w:themeShade="95"/>
      </w:rPr>
      <w:tblPr/>
    </w:tblStylePr>
    <w:tblStylePr w:type="firstRow">
      <w:rPr>
        <w:b/>
        <w:color w:val="cb5d12" w:themeColor="accent2" w:themeTint="97" w:themeShade="95"/>
      </w:rPr>
      <w:tblPr/>
      <w:tcPr>
        <w:tcBorders>
          <w:bottom w:val="single" w:color="000000" w:themeColor="accent2" w:sz="4" w:space="0"/>
        </w:tcBorders>
      </w:tcPr>
    </w:tblStylePr>
    <w:tblStylePr w:type="lastCol">
      <w:rPr>
        <w:b/>
        <w:color w:val="cb5d12" w:themeColor="accent2" w:themeTint="97" w:themeShade="95"/>
      </w:rPr>
      <w:tblPr/>
    </w:tblStylePr>
    <w:tblStylePr w:type="lastRow">
      <w:rPr>
        <w:b/>
        <w:color w:val="cb5d12"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84">
    <w:name w:val="List Table 6 Colorful - Accent 3"/>
    <w:basedOn w:val="1076"/>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404040" w:themeColor="accent3" w:themeTint="98" w:themeShade="95"/>
        <w:sz w:val="22"/>
      </w:rPr>
      <w:tblPr/>
      <w:tcPr>
        <w:shd w:val="clear" w:color="FFFFFF" w:fill="E8E8E8" w:themeFill="accent3" w:themeFillTint="40"/>
      </w:tcPr>
    </w:tblStylePr>
    <w:tblStylePr w:type="band1Vert">
      <w:tblPr/>
      <w:tcPr>
        <w:shd w:val="clear" w:color="FFFFFF" w:fill="E8E8E8" w:themeFill="accent3" w:themeFillTint="40"/>
      </w:tcPr>
    </w:tblStylePr>
    <w:tblStylePr w:type="band2Horz">
      <w:rPr>
        <w:color w:val="404040" w:themeColor="accent3" w:themeTint="98" w:themeShade="95"/>
        <w:sz w:val="22"/>
      </w:rPr>
      <w:tblPr/>
    </w:tblStylePr>
    <w:tblStylePr w:type="band2Vert">
      <w:tblPr/>
    </w:tblStylePr>
    <w:tblStylePr w:type="firstCol">
      <w:rPr>
        <w:b/>
        <w:color w:val="767676" w:themeColor="accent3" w:themeTint="98" w:themeShade="95"/>
      </w:rPr>
      <w:tblPr/>
    </w:tblStylePr>
    <w:tblStylePr w:type="firstRow">
      <w:rPr>
        <w:b/>
        <w:color w:val="767676" w:themeColor="accent3" w:themeTint="98" w:themeShade="95"/>
      </w:rPr>
      <w:tblPr/>
      <w:tcPr>
        <w:tcBorders>
          <w:bottom w:val="single" w:color="000000" w:themeColor="accent3" w:sz="4" w:space="0"/>
        </w:tcBorders>
      </w:tcPr>
    </w:tblStylePr>
    <w:tblStylePr w:type="lastCol">
      <w:rPr>
        <w:b/>
        <w:color w:val="767676" w:themeColor="accent3" w:themeTint="98" w:themeShade="95"/>
      </w:rPr>
      <w:tblPr/>
    </w:tblStylePr>
    <w:tblStylePr w:type="lastRow">
      <w:rPr>
        <w:b/>
        <w:color w:val="767676"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85">
    <w:name w:val="List Table 6 Colorful - Accent 4"/>
    <w:basedOn w:val="1076"/>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404040" w:themeColor="accent4" w:themeTint="9a" w:themeShade="95"/>
        <w:sz w:val="22"/>
      </w:rPr>
      <w:tblPr/>
      <w:tcPr>
        <w:shd w:val="clear" w:color="FFFFFF" w:fill="FFEFBF" w:themeFill="accent4" w:themeFillTint="40"/>
      </w:tcPr>
    </w:tblStylePr>
    <w:tblStylePr w:type="band1Vert">
      <w:tblPr/>
      <w:tcPr>
        <w:shd w:val="clear" w:color="FFFFFF" w:fill="FFEFBF" w:themeFill="accent4" w:themeFillTint="40"/>
      </w:tcPr>
    </w:tblStylePr>
    <w:tblStylePr w:type="band2Horz">
      <w:rPr>
        <w:color w:val="404040" w:themeColor="accent4" w:themeTint="9a" w:themeShade="95"/>
        <w:sz w:val="22"/>
      </w:rPr>
      <w:tblPr/>
    </w:tblStylePr>
    <w:tblStylePr w:type="band2Vert">
      <w:tblPr/>
    </w:tblStylePr>
    <w:tblStylePr w:type="firstCol">
      <w:rPr>
        <w:b/>
        <w:color w:val="d09d00" w:themeColor="accent4" w:themeTint="9a" w:themeShade="95"/>
      </w:rPr>
      <w:tblPr/>
    </w:tblStylePr>
    <w:tblStylePr w:type="firstRow">
      <w:rPr>
        <w:b/>
        <w:color w:val="d09d00" w:themeColor="accent4" w:themeTint="9a" w:themeShade="95"/>
      </w:rPr>
      <w:tblPr/>
      <w:tcPr>
        <w:tcBorders>
          <w:bottom w:val="single" w:color="000000" w:themeColor="accent4" w:sz="4" w:space="0"/>
        </w:tcBorders>
      </w:tcPr>
    </w:tblStylePr>
    <w:tblStylePr w:type="lastCol">
      <w:rPr>
        <w:b/>
        <w:color w:val="d09d00" w:themeColor="accent4" w:themeTint="9a" w:themeShade="95"/>
      </w:rPr>
      <w:tblPr/>
    </w:tblStylePr>
    <w:tblStylePr w:type="lastRow">
      <w:rPr>
        <w:b/>
        <w:color w:val="d09d00"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86">
    <w:name w:val="List Table 6 Colorful - Accent 5"/>
    <w:basedOn w:val="1076"/>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404040" w:themeColor="accent5" w:themeTint="9a" w:themeShade="95"/>
        <w:sz w:val="22"/>
      </w:rPr>
      <w:tblPr/>
      <w:tcPr>
        <w:shd w:val="clear" w:color="FFFFFF" w:fill="D0DCF0" w:themeFill="accent5" w:themeFillTint="40"/>
      </w:tcPr>
    </w:tblStylePr>
    <w:tblStylePr w:type="band1Vert">
      <w:tblPr/>
      <w:tcPr>
        <w:shd w:val="clear" w:color="FFFFFF" w:fill="D0DCF0" w:themeFill="accent5" w:themeFillTint="40"/>
      </w:tcPr>
    </w:tblStylePr>
    <w:tblStylePr w:type="band2Horz">
      <w:rPr>
        <w:color w:val="404040" w:themeColor="accent5" w:themeTint="9a" w:themeShade="95"/>
        <w:sz w:val="22"/>
      </w:rPr>
      <w:tblPr/>
    </w:tblStylePr>
    <w:tblStylePr w:type="band2Vert">
      <w:tblPr/>
    </w:tblStylePr>
    <w:tblStylePr w:type="firstCol">
      <w:rPr>
        <w:b/>
        <w:color w:val="335aa1" w:themeColor="accent5" w:themeTint="9a" w:themeShade="95"/>
      </w:rPr>
      <w:tblPr/>
    </w:tblStylePr>
    <w:tblStylePr w:type="firstRow">
      <w:rPr>
        <w:b/>
        <w:color w:val="335aa1" w:themeColor="accent5" w:themeTint="9a" w:themeShade="95"/>
      </w:rPr>
      <w:tblPr/>
      <w:tcPr>
        <w:tcBorders>
          <w:bottom w:val="single" w:color="000000" w:themeColor="accent5" w:sz="4" w:space="0"/>
        </w:tcBorders>
      </w:tcPr>
    </w:tblStylePr>
    <w:tblStylePr w:type="lastCol">
      <w:rPr>
        <w:b/>
        <w:color w:val="335aa1" w:themeColor="accent5" w:themeTint="9a" w:themeShade="95"/>
      </w:rPr>
      <w:tblPr/>
    </w:tblStylePr>
    <w:tblStylePr w:type="lastRow">
      <w:rPr>
        <w:b/>
        <w:color w:val="335aa1"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87">
    <w:name w:val="List Table 6 Colorful - Accent 6"/>
    <w:basedOn w:val="1076"/>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404040" w:themeColor="accent6" w:themeTint="98" w:themeShade="95"/>
        <w:sz w:val="22"/>
      </w:rPr>
      <w:tblPr/>
      <w:tcPr>
        <w:shd w:val="clear" w:color="FFFFFF" w:fill="DBECD0" w:themeFill="accent6" w:themeFillTint="40"/>
      </w:tcPr>
    </w:tblStylePr>
    <w:tblStylePr w:type="band1Vert">
      <w:tblPr/>
      <w:tcPr>
        <w:shd w:val="clear" w:color="FFFFFF" w:fill="DBECD0" w:themeFill="accent6" w:themeFillTint="40"/>
      </w:tcPr>
    </w:tblStylePr>
    <w:tblStylePr w:type="band2Horz">
      <w:rPr>
        <w:color w:val="404040" w:themeColor="accent6" w:themeTint="98" w:themeShade="95"/>
        <w:sz w:val="22"/>
      </w:rPr>
      <w:tblPr/>
    </w:tblStylePr>
    <w:tblStylePr w:type="band2Vert">
      <w:tblPr/>
    </w:tblStylePr>
    <w:tblStylePr w:type="firstCol">
      <w:rPr>
        <w:b/>
        <w:color w:val="5e923c" w:themeColor="accent6" w:themeTint="98" w:themeShade="95"/>
      </w:rPr>
      <w:tblPr/>
    </w:tblStylePr>
    <w:tblStylePr w:type="firstRow">
      <w:rPr>
        <w:b/>
        <w:color w:val="5e923c" w:themeColor="accent6" w:themeTint="98" w:themeShade="95"/>
      </w:rPr>
      <w:tblPr/>
      <w:tcPr>
        <w:tcBorders>
          <w:bottom w:val="single" w:color="000000" w:themeColor="accent6" w:sz="4" w:space="0"/>
        </w:tcBorders>
      </w:tcPr>
    </w:tblStylePr>
    <w:tblStylePr w:type="lastCol">
      <w:rPr>
        <w:b/>
        <w:color w:val="5e923c" w:themeColor="accent6" w:themeTint="98" w:themeShade="95"/>
      </w:rPr>
      <w:tblPr/>
    </w:tblStylePr>
    <w:tblStylePr w:type="lastRow">
      <w:rPr>
        <w:b/>
        <w:color w:val="5e923c"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88">
    <w:name w:val="List Table 7 Colorful"/>
    <w:basedOn w:val="1076"/>
    <w:uiPriority w:val="99"/>
    <w:pPr>
      <w:spacing w:after="0" w:line="240" w:lineRule="auto"/>
    </w:pPr>
    <w:tblPr>
      <w:tblStyleRowBandSize w:val="1"/>
      <w:tblStyleColBandSize w:val="1"/>
      <w:tblBorders>
        <w:right w:val="single" w:color="000000" w:themeColor="text1" w:themeTint="80" w:sz="4" w:space="0"/>
      </w:tblBorders>
    </w:tblPr>
    <w:tblStylePr w:type="band1Horz">
      <w:rPr>
        <w:color w:val="4a4a4a"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i/>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i/>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4a4a4a" w:themeColor="text1" w:themeTint="80" w:themeShade="95"/>
        <w:sz w:val="22"/>
      </w:rPr>
      <w:tblPr/>
    </w:tblStylePr>
  </w:style>
  <w:style w:type="table" w:styleId="989">
    <w:name w:val="List Table 7 Colorful - Accent 1"/>
    <w:basedOn w:val="1076"/>
    <w:uiPriority w:val="99"/>
    <w:pPr>
      <w:spacing w:after="0" w:line="240" w:lineRule="auto"/>
    </w:pPr>
    <w:tblPr>
      <w:tblStyleRowBandSize w:val="1"/>
      <w:tblStyleColBandSize w:val="1"/>
      <w:tblBorders>
        <w:right w:val="single" w:color="000000" w:themeColor="accent1" w:sz="4" w:space="0"/>
      </w:tblBorders>
    </w:tblPr>
    <w:tblStylePr w:type="band1Horz">
      <w:rPr>
        <w:color w:val="245b8d" w:themeColor="accent1" w:themeShade="95"/>
        <w:sz w:val="22"/>
      </w:rPr>
      <w:tblPr/>
      <w:tcPr>
        <w:shd w:val="clear" w:color="FFFFFF" w:fill="D6E6F4" w:themeFill="accent1" w:themeFillTint="40"/>
      </w:tcPr>
    </w:tblStylePr>
    <w:tblStylePr w:type="band1Vert">
      <w:tblPr/>
      <w:tcPr>
        <w:shd w:val="clear" w:color="FFFFFF" w:fill="D6E6F4" w:themeFill="accent1" w:themeFillTint="40"/>
      </w:tcPr>
    </w:tblStylePr>
    <w:tblStylePr w:type="band2Horz">
      <w:rPr>
        <w:color w:val="245b8d" w:themeColor="accent1" w:themeShade="95"/>
        <w:sz w:val="22"/>
      </w:rPr>
      <w:tblPr/>
    </w:tblStylePr>
    <w:tblStylePr w:type="band2Vert">
      <w:tblPr/>
    </w:tblStylePr>
    <w:tblStylePr w:type="firstCol">
      <w:pPr>
        <w:jc w:val="right"/>
      </w:pPr>
      <w:rPr>
        <w:i/>
        <w:color w:val="245b8d"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i/>
        <w:color w:val="245b8d"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245b8d"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i/>
        <w:color w:val="245b8d"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245b8d" w:themeColor="accent1" w:themeShade="95"/>
        <w:sz w:val="22"/>
      </w:rPr>
      <w:tblPr/>
    </w:tblStylePr>
  </w:style>
  <w:style w:type="table" w:styleId="990">
    <w:name w:val="List Table 7 Colorful - Accent 2"/>
    <w:basedOn w:val="1076"/>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cb5d12" w:themeColor="accent2" w:themeTint="97" w:themeShade="95"/>
        <w:sz w:val="22"/>
      </w:rPr>
      <w:tblPr/>
      <w:tcPr>
        <w:shd w:val="clear" w:color="FFFFFF" w:fill="FADECB" w:themeFill="accent2" w:themeFillTint="40"/>
      </w:tcPr>
    </w:tblStylePr>
    <w:tblStylePr w:type="band1Vert">
      <w:tblPr/>
      <w:tcPr>
        <w:shd w:val="clear" w:color="FFFFFF" w:fill="FADECB" w:themeFill="accent2" w:themeFillTint="40"/>
      </w:tcPr>
    </w:tblStylePr>
    <w:tblStylePr w:type="band2Horz">
      <w:rPr>
        <w:color w:val="cb5d12" w:themeColor="accent2" w:themeTint="97" w:themeShade="95"/>
        <w:sz w:val="22"/>
      </w:rPr>
      <w:tblPr/>
    </w:tblStylePr>
    <w:tblStylePr w:type="band2Vert">
      <w:tblPr/>
    </w:tblStylePr>
    <w:tblStylePr w:type="firstCol">
      <w:pPr>
        <w:jc w:val="right"/>
      </w:pPr>
      <w:rPr>
        <w:i/>
        <w:color w:val="cb5d12"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i/>
        <w:color w:val="cb5d12"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cb5d12"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i/>
        <w:color w:val="cb5d12"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cb5d12" w:themeColor="accent2" w:themeTint="97" w:themeShade="95"/>
        <w:sz w:val="22"/>
      </w:rPr>
      <w:tblPr/>
    </w:tblStylePr>
  </w:style>
  <w:style w:type="table" w:styleId="991">
    <w:name w:val="List Table 7 Colorful - Accent 3"/>
    <w:basedOn w:val="1076"/>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767676" w:themeColor="accent3" w:themeTint="98" w:themeShade="95"/>
        <w:sz w:val="22"/>
      </w:rPr>
      <w:tblPr/>
      <w:tcPr>
        <w:shd w:val="clear" w:color="FFFFFF" w:fill="E8E8E8" w:themeFill="accent3" w:themeFillTint="40"/>
      </w:tcPr>
    </w:tblStylePr>
    <w:tblStylePr w:type="band1Vert">
      <w:tblPr/>
      <w:tcPr>
        <w:shd w:val="clear" w:color="FFFFFF" w:fill="E8E8E8" w:themeFill="accent3" w:themeFillTint="40"/>
      </w:tcPr>
    </w:tblStylePr>
    <w:tblStylePr w:type="band2Horz">
      <w:rPr>
        <w:color w:val="767676" w:themeColor="accent3" w:themeTint="98" w:themeShade="95"/>
        <w:sz w:val="22"/>
      </w:rPr>
      <w:tblPr/>
    </w:tblStylePr>
    <w:tblStylePr w:type="band2Vert">
      <w:tblPr/>
    </w:tblStylePr>
    <w:tblStylePr w:type="firstCol">
      <w:pPr>
        <w:jc w:val="right"/>
      </w:pPr>
      <w:rPr>
        <w:i/>
        <w:color w:val="767676"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i/>
        <w:color w:val="767676"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767676"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i/>
        <w:color w:val="767676"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767676" w:themeColor="accent3" w:themeTint="98" w:themeShade="95"/>
        <w:sz w:val="22"/>
      </w:rPr>
      <w:tblPr/>
    </w:tblStylePr>
  </w:style>
  <w:style w:type="table" w:styleId="992">
    <w:name w:val="List Table 7 Colorful - Accent 4"/>
    <w:basedOn w:val="1076"/>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d09d00" w:themeColor="accent4" w:themeTint="9a" w:themeShade="95"/>
        <w:sz w:val="22"/>
      </w:rPr>
      <w:tblPr/>
      <w:tcPr>
        <w:shd w:val="clear" w:color="FFFFFF" w:fill="FFEFBF" w:themeFill="accent4" w:themeFillTint="40"/>
      </w:tcPr>
    </w:tblStylePr>
    <w:tblStylePr w:type="band1Vert">
      <w:tblPr/>
      <w:tcPr>
        <w:shd w:val="clear" w:color="FFFFFF" w:fill="FFEFBF" w:themeFill="accent4" w:themeFillTint="40"/>
      </w:tcPr>
    </w:tblStylePr>
    <w:tblStylePr w:type="band2Horz">
      <w:rPr>
        <w:color w:val="d09d00" w:themeColor="accent4" w:themeTint="9a" w:themeShade="95"/>
        <w:sz w:val="22"/>
      </w:rPr>
      <w:tblPr/>
    </w:tblStylePr>
    <w:tblStylePr w:type="band2Vert">
      <w:tblPr/>
    </w:tblStylePr>
    <w:tblStylePr w:type="firstCol">
      <w:pPr>
        <w:jc w:val="right"/>
      </w:pPr>
      <w:rPr>
        <w:i/>
        <w:color w:val="d09d00"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i/>
        <w:color w:val="d09d00"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d09d00"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i/>
        <w:color w:val="d09d00"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d09d00" w:themeColor="accent4" w:themeTint="9a" w:themeShade="95"/>
        <w:sz w:val="22"/>
      </w:rPr>
      <w:tblPr/>
    </w:tblStylePr>
  </w:style>
  <w:style w:type="table" w:styleId="993">
    <w:name w:val="List Table 7 Colorful - Accent 5"/>
    <w:basedOn w:val="1076"/>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335aa1" w:themeColor="accent5" w:themeTint="9a" w:themeShade="95"/>
        <w:sz w:val="22"/>
      </w:rPr>
      <w:tblPr/>
      <w:tcPr>
        <w:shd w:val="clear" w:color="FFFFFF" w:fill="D0DCF0" w:themeFill="accent5" w:themeFillTint="40"/>
      </w:tcPr>
    </w:tblStylePr>
    <w:tblStylePr w:type="band1Vert">
      <w:tblPr/>
      <w:tcPr>
        <w:shd w:val="clear" w:color="FFFFFF" w:fill="D0DCF0" w:themeFill="accent5" w:themeFillTint="40"/>
      </w:tcPr>
    </w:tblStylePr>
    <w:tblStylePr w:type="band2Horz">
      <w:rPr>
        <w:color w:val="335aa1" w:themeColor="accent5" w:themeTint="9a" w:themeShade="95"/>
        <w:sz w:val="22"/>
      </w:rPr>
      <w:tblPr/>
    </w:tblStylePr>
    <w:tblStylePr w:type="band2Vert">
      <w:tblPr/>
    </w:tblStylePr>
    <w:tblStylePr w:type="firstCol">
      <w:pPr>
        <w:jc w:val="right"/>
      </w:pPr>
      <w:rPr>
        <w:i/>
        <w:color w:val="335aa1"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i/>
        <w:color w:val="335aa1"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335aa1"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i/>
        <w:color w:val="335aa1"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335aa1" w:themeColor="accent5" w:themeTint="9a" w:themeShade="95"/>
        <w:sz w:val="22"/>
      </w:rPr>
      <w:tblPr/>
    </w:tblStylePr>
  </w:style>
  <w:style w:type="table" w:styleId="994">
    <w:name w:val="List Table 7 Colorful - Accent 6"/>
    <w:basedOn w:val="1076"/>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5e923c" w:themeColor="accent6" w:themeTint="98" w:themeShade="95"/>
        <w:sz w:val="22"/>
      </w:rPr>
      <w:tblPr/>
      <w:tcPr>
        <w:shd w:val="clear" w:color="FFFFFF" w:fill="DBECD0" w:themeFill="accent6" w:themeFillTint="40"/>
      </w:tcPr>
    </w:tblStylePr>
    <w:tblStylePr w:type="band1Vert">
      <w:tblPr/>
      <w:tcPr>
        <w:shd w:val="clear" w:color="FFFFFF" w:fill="DBECD0" w:themeFill="accent6" w:themeFillTint="40"/>
      </w:tcPr>
    </w:tblStylePr>
    <w:tblStylePr w:type="band2Horz">
      <w:rPr>
        <w:color w:val="5e923c" w:themeColor="accent6" w:themeTint="98" w:themeShade="95"/>
        <w:sz w:val="22"/>
      </w:rPr>
      <w:tblPr/>
    </w:tblStylePr>
    <w:tblStylePr w:type="band2Vert">
      <w:tblPr/>
    </w:tblStylePr>
    <w:tblStylePr w:type="firstCol">
      <w:pPr>
        <w:jc w:val="right"/>
      </w:pPr>
      <w:rPr>
        <w:i/>
        <w:color w:val="5e923c"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i/>
        <w:color w:val="5e923c"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5e923c"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i/>
        <w:color w:val="5e923c"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5e923c" w:themeColor="accent6" w:themeTint="98" w:themeShade="95"/>
        <w:sz w:val="22"/>
      </w:rPr>
      <w:tblPr/>
    </w:tblStylePr>
  </w:style>
  <w:style w:type="table" w:styleId="995">
    <w:name w:val="Lined - Accent"/>
    <w:basedOn w:val="107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996">
    <w:name w:val="Lined - Accent 1"/>
    <w:basedOn w:val="107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CE0F2" w:themeFill="accent1" w:themeFillTint="50"/>
      </w:tcPr>
    </w:tblStylePr>
    <w:tblStylePr w:type="band2Vert">
      <w:rPr>
        <w:sz w:val="22"/>
      </w:rPr>
      <w:tblPr/>
      <w:tcPr>
        <w:shd w:val="clear" w:color="FFFFFF" w:fill="CCE0F2" w:themeFill="accent1" w:themeFillTint="50"/>
      </w:tcPr>
    </w:tblStylePr>
    <w:tblStylePr w:type="firstCol">
      <w:rPr>
        <w:sz w:val="22"/>
      </w:rPr>
      <w:tblPr/>
      <w:tcPr>
        <w:shd w:val="clear" w:color="FFFFFF" w:fill="69A3D8" w:themeFill="accent1" w:themeFillTint="ea"/>
      </w:tcPr>
    </w:tblStylePr>
    <w:tblStylePr w:type="firstRow">
      <w:rPr>
        <w:sz w:val="22"/>
      </w:rPr>
      <w:tblPr/>
      <w:tcPr>
        <w:shd w:val="clear" w:color="FFFFFF" w:fill="69A3D8" w:themeFill="accent1" w:themeFillTint="ea"/>
      </w:tcPr>
    </w:tblStylePr>
    <w:tblStylePr w:type="lastCol">
      <w:rPr>
        <w:sz w:val="22"/>
      </w:rPr>
      <w:tblPr/>
      <w:tcPr>
        <w:shd w:val="clear" w:color="FFFFFF" w:fill="69A3D8" w:themeFill="accent1" w:themeFillTint="ea"/>
      </w:tcPr>
    </w:tblStylePr>
    <w:tblStylePr w:type="lastRow">
      <w:rPr>
        <w:sz w:val="22"/>
      </w:rPr>
      <w:tblPr/>
      <w:tcPr>
        <w:shd w:val="clear" w:color="FFFFFF" w:fill="69A3D8"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997">
    <w:name w:val="Lined - Accent 2"/>
    <w:basedOn w:val="107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BE6D7" w:themeFill="accent2" w:themeFillTint="32"/>
      </w:tcPr>
    </w:tblStylePr>
    <w:tblStylePr w:type="band2Vert">
      <w:rPr>
        <w:sz w:val="22"/>
      </w:rPr>
      <w:tblPr/>
      <w:tcPr>
        <w:shd w:val="clear" w:color="FFFFFF" w:fill="FBE6D7" w:themeFill="accent2" w:themeFillTint="32"/>
      </w:tcPr>
    </w:tblStylePr>
    <w:tblStylePr w:type="firstCol">
      <w:rPr>
        <w:sz w:val="22"/>
      </w:rPr>
      <w:tblPr/>
      <w:tcPr>
        <w:shd w:val="clear" w:color="FFFFFF" w:fill="F4B285" w:themeFill="accent2" w:themeFillTint="97"/>
      </w:tcPr>
    </w:tblStylePr>
    <w:tblStylePr w:type="firstRow">
      <w:rPr>
        <w:sz w:val="22"/>
      </w:rPr>
      <w:tblPr/>
      <w:tcPr>
        <w:shd w:val="clear" w:color="FFFFFF" w:fill="F4B285" w:themeFill="accent2" w:themeFillTint="97"/>
      </w:tcPr>
    </w:tblStylePr>
    <w:tblStylePr w:type="lastCol">
      <w:rPr>
        <w:sz w:val="22"/>
      </w:rPr>
      <w:tblPr/>
      <w:tcPr>
        <w:shd w:val="clear" w:color="FFFFFF" w:fill="F4B285" w:themeFill="accent2" w:themeFillTint="97"/>
      </w:tcPr>
    </w:tblStylePr>
    <w:tblStylePr w:type="lastRow">
      <w:rPr>
        <w:sz w:val="22"/>
      </w:rPr>
      <w:tblPr/>
      <w:tcPr>
        <w:shd w:val="clear" w:color="FFFFFF" w:fill="F4B285"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998">
    <w:name w:val="Lined - Accent 3"/>
    <w:basedOn w:val="107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DEDED" w:themeFill="accent3" w:themeFillTint="34"/>
      </w:tcPr>
    </w:tblStylePr>
    <w:tblStylePr w:type="band2Vert">
      <w:rPr>
        <w:sz w:val="22"/>
      </w:rPr>
      <w:tblPr/>
      <w:tcPr>
        <w:shd w:val="clear" w:color="FFFFFF" w:fill="EDEDED" w:themeFill="accent3" w:themeFillTint="34"/>
      </w:tcPr>
    </w:tblStylePr>
    <w:tblStylePr w:type="firstCol">
      <w:rPr>
        <w:sz w:val="22"/>
      </w:rPr>
      <w:tblPr/>
      <w:tcPr>
        <w:shd w:val="clear" w:color="FFFFFF" w:fill="A5A5A5" w:themeFill="accent3" w:themeFillTint="fe"/>
      </w:tcPr>
    </w:tblStylePr>
    <w:tblStylePr w:type="firstRow">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999">
    <w:name w:val="Lined - Accent 4"/>
    <w:basedOn w:val="107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2CB" w:themeFill="accent4" w:themeFillTint="34"/>
      </w:tcPr>
    </w:tblStylePr>
    <w:tblStylePr w:type="band2Vert">
      <w:rPr>
        <w:sz w:val="22"/>
      </w:rPr>
      <w:tblPr/>
      <w:tcPr>
        <w:shd w:val="clear" w:color="FFFFFF" w:fill="FFF2CB" w:themeFill="accent4" w:themeFillTint="34"/>
      </w:tcPr>
    </w:tblStylePr>
    <w:tblStylePr w:type="firstCol">
      <w:rPr>
        <w:sz w:val="22"/>
      </w:rPr>
      <w:tblPr/>
      <w:tcPr>
        <w:shd w:val="clear" w:color="FFFFFF" w:fill="FFD965" w:themeFill="accent4" w:themeFillTint="9a"/>
      </w:tcPr>
    </w:tblStylePr>
    <w:tblStylePr w:type="firstRow">
      <w:rPr>
        <w:sz w:val="22"/>
      </w:rPr>
      <w:tblPr/>
      <w:tcPr>
        <w:shd w:val="clear" w:color="FFFFFF" w:fill="FFD965" w:themeFill="accent4" w:themeFillTint="9a"/>
      </w:tcPr>
    </w:tblStylePr>
    <w:tblStylePr w:type="lastCol">
      <w:rPr>
        <w:sz w:val="22"/>
      </w:rPr>
      <w:tblPr/>
      <w:tcPr>
        <w:shd w:val="clear" w:color="FFFFFF" w:fill="FFD965" w:themeFill="accent4" w:themeFillTint="9a"/>
      </w:tcPr>
    </w:tblStylePr>
    <w:tblStylePr w:type="lastRow">
      <w:rPr>
        <w:sz w:val="22"/>
      </w:rPr>
      <w:tblPr/>
      <w:tcPr>
        <w:shd w:val="clear" w:color="FFFFFF" w:fill="FFD965"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000">
    <w:name w:val="Lined - Accent 5"/>
    <w:basedOn w:val="107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9E2F3" w:themeFill="accent5" w:themeFillTint="34"/>
      </w:tcPr>
    </w:tblStylePr>
    <w:tblStylePr w:type="band2Vert">
      <w:rPr>
        <w:sz w:val="22"/>
      </w:rPr>
      <w:tblPr/>
      <w:tcPr>
        <w:shd w:val="clear" w:color="FFFFFF" w:fill="D9E2F3" w:themeFill="accent5" w:themeFillTint="34"/>
      </w:tcPr>
    </w:tblStylePr>
    <w:tblStylePr w:type="firstCol">
      <w:rPr>
        <w:sz w:val="22"/>
      </w:rPr>
      <w:tblPr/>
      <w:tcPr>
        <w:shd w:val="clear" w:color="FFFFFF" w:fill="4472C4" w:themeFill="accent5"/>
      </w:tcPr>
    </w:tblStylePr>
    <w:tblStylePr w:type="firstRow">
      <w:rPr>
        <w:sz w:val="22"/>
      </w:rPr>
      <w:tblPr/>
      <w:tcPr>
        <w:shd w:val="clear" w:color="FFFFFF" w:fill="4472C4" w:themeFill="accent5"/>
      </w:tcPr>
    </w:tblStylePr>
    <w:tblStylePr w:type="lastCol">
      <w:rPr>
        <w:sz w:val="22"/>
      </w:rPr>
      <w:tblPr/>
      <w:tcPr>
        <w:shd w:val="clear" w:color="FFFFFF" w:fill="4472C4" w:themeFill="accent5"/>
      </w:tcPr>
    </w:tblStylePr>
    <w:tblStylePr w:type="lastRow">
      <w:rPr>
        <w:sz w:val="22"/>
      </w:rPr>
      <w:tblPr/>
      <w:tcPr>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001">
    <w:name w:val="Lined - Accent 6"/>
    <w:basedOn w:val="107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2EFD9" w:themeFill="accent6" w:themeFillTint="34"/>
      </w:tcPr>
    </w:tblStylePr>
    <w:tblStylePr w:type="band2Vert">
      <w:rPr>
        <w:sz w:val="22"/>
      </w:rPr>
      <w:tblPr/>
      <w:tcPr>
        <w:shd w:val="clear" w:color="FFFFFF" w:fill="E2EFD9" w:themeFill="accent6" w:themeFillTint="34"/>
      </w:tcPr>
    </w:tblStylePr>
    <w:tblStylePr w:type="firstCol">
      <w:rPr>
        <w:sz w:val="22"/>
      </w:rPr>
      <w:tblPr/>
      <w:tcPr>
        <w:shd w:val="clear" w:color="FFFFFF" w:fill="70AD47" w:themeFill="accent6"/>
      </w:tcPr>
    </w:tblStylePr>
    <w:tblStylePr w:type="firstRow">
      <w:rPr>
        <w:sz w:val="22"/>
      </w:rPr>
      <w:tblPr/>
      <w:tcPr>
        <w:shd w:val="clear" w:color="FFFFFF" w:fill="70AD47" w:themeFill="accent6"/>
      </w:tcPr>
    </w:tblStylePr>
    <w:tblStylePr w:type="lastCol">
      <w:rPr>
        <w:sz w:val="22"/>
      </w:rPr>
      <w:tblPr/>
      <w:tcPr>
        <w:shd w:val="clear" w:color="FFFFFF" w:fill="70AD47" w:themeFill="accent6"/>
      </w:tcPr>
    </w:tblStylePr>
    <w:tblStylePr w:type="lastRow">
      <w:rPr>
        <w:sz w:val="22"/>
      </w:rPr>
      <w:tblPr/>
      <w:tcPr>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002">
    <w:name w:val="Bordered &amp; Lined - Accent"/>
    <w:basedOn w:val="1076"/>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003">
    <w:name w:val="Bordered &amp; Lined - Accent 1"/>
    <w:basedOn w:val="1076"/>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CCE0F2" w:themeFill="accent1" w:themeFillTint="50"/>
      </w:tcPr>
    </w:tblStylePr>
    <w:tblStylePr w:type="band2Vert">
      <w:rPr>
        <w:sz w:val="22"/>
      </w:rPr>
      <w:tblPr/>
      <w:tcPr>
        <w:shd w:val="clear" w:color="FFFFFF" w:fill="CCE0F2" w:themeFill="accent1" w:themeFillTint="50"/>
      </w:tcPr>
    </w:tblStylePr>
    <w:tblStylePr w:type="firstCol">
      <w:rPr>
        <w:sz w:val="22"/>
      </w:rPr>
      <w:tblPr/>
      <w:tcPr>
        <w:shd w:val="clear" w:color="FFFFFF" w:fill="69A3D8" w:themeFill="accent1" w:themeFillTint="ea"/>
      </w:tcPr>
    </w:tblStylePr>
    <w:tblStylePr w:type="firstRow">
      <w:rPr>
        <w:sz w:val="22"/>
      </w:rPr>
      <w:tblPr/>
      <w:tcPr>
        <w:shd w:val="clear" w:color="FFFFFF" w:fill="69A3D8" w:themeFill="accent1" w:themeFillTint="ea"/>
      </w:tcPr>
    </w:tblStylePr>
    <w:tblStylePr w:type="lastCol">
      <w:rPr>
        <w:sz w:val="22"/>
      </w:rPr>
      <w:tblPr/>
      <w:tcPr>
        <w:shd w:val="clear" w:color="FFFFFF" w:fill="69A3D8" w:themeFill="accent1" w:themeFillTint="ea"/>
      </w:tcPr>
    </w:tblStylePr>
    <w:tblStylePr w:type="lastRow">
      <w:rPr>
        <w:sz w:val="22"/>
      </w:rPr>
      <w:tblPr/>
      <w:tcPr>
        <w:shd w:val="clear" w:color="FFFFFF" w:fill="69A3D8"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004">
    <w:name w:val="Bordered &amp; Lined - Accent 2"/>
    <w:basedOn w:val="1076"/>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BE6D7" w:themeFill="accent2" w:themeFillTint="32"/>
      </w:tcPr>
    </w:tblStylePr>
    <w:tblStylePr w:type="band2Vert">
      <w:rPr>
        <w:sz w:val="22"/>
      </w:rPr>
      <w:tblPr/>
      <w:tcPr>
        <w:shd w:val="clear" w:color="FFFFFF" w:fill="FBE6D7" w:themeFill="accent2" w:themeFillTint="32"/>
      </w:tcPr>
    </w:tblStylePr>
    <w:tblStylePr w:type="firstCol">
      <w:rPr>
        <w:sz w:val="22"/>
      </w:rPr>
      <w:tblPr/>
      <w:tcPr>
        <w:shd w:val="clear" w:color="FFFFFF" w:fill="F4B285" w:themeFill="accent2" w:themeFillTint="97"/>
      </w:tcPr>
    </w:tblStylePr>
    <w:tblStylePr w:type="firstRow">
      <w:rPr>
        <w:sz w:val="22"/>
      </w:rPr>
      <w:tblPr/>
      <w:tcPr>
        <w:shd w:val="clear" w:color="FFFFFF" w:fill="F4B285" w:themeFill="accent2" w:themeFillTint="97"/>
      </w:tcPr>
    </w:tblStylePr>
    <w:tblStylePr w:type="lastCol">
      <w:rPr>
        <w:sz w:val="22"/>
      </w:rPr>
      <w:tblPr/>
      <w:tcPr>
        <w:shd w:val="clear" w:color="FFFFFF" w:fill="F4B285" w:themeFill="accent2" w:themeFillTint="97"/>
      </w:tcPr>
    </w:tblStylePr>
    <w:tblStylePr w:type="lastRow">
      <w:rPr>
        <w:sz w:val="22"/>
      </w:rPr>
      <w:tblPr/>
      <w:tcPr>
        <w:shd w:val="clear" w:color="FFFFFF" w:fill="F4B285"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005">
    <w:name w:val="Bordered &amp; Lined - Accent 3"/>
    <w:basedOn w:val="1076"/>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EDEDED" w:themeFill="accent3" w:themeFillTint="34"/>
      </w:tcPr>
    </w:tblStylePr>
    <w:tblStylePr w:type="band2Vert">
      <w:rPr>
        <w:sz w:val="22"/>
      </w:rPr>
      <w:tblPr/>
      <w:tcPr>
        <w:shd w:val="clear" w:color="FFFFFF" w:fill="EDEDED" w:themeFill="accent3" w:themeFillTint="34"/>
      </w:tcPr>
    </w:tblStylePr>
    <w:tblStylePr w:type="firstCol">
      <w:rPr>
        <w:sz w:val="22"/>
      </w:rPr>
      <w:tblPr/>
      <w:tcPr>
        <w:shd w:val="clear" w:color="FFFFFF" w:fill="A5A5A5" w:themeFill="accent3" w:themeFillTint="fe"/>
      </w:tcPr>
    </w:tblStylePr>
    <w:tblStylePr w:type="firstRow">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006">
    <w:name w:val="Bordered &amp; Lined - Accent 4"/>
    <w:basedOn w:val="1076"/>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FFF2CB" w:themeFill="accent4" w:themeFillTint="34"/>
      </w:tcPr>
    </w:tblStylePr>
    <w:tblStylePr w:type="band2Vert">
      <w:rPr>
        <w:sz w:val="22"/>
      </w:rPr>
      <w:tblPr/>
      <w:tcPr>
        <w:shd w:val="clear" w:color="FFFFFF" w:fill="FFF2CB" w:themeFill="accent4" w:themeFillTint="34"/>
      </w:tcPr>
    </w:tblStylePr>
    <w:tblStylePr w:type="firstCol">
      <w:rPr>
        <w:sz w:val="22"/>
      </w:rPr>
      <w:tblPr/>
      <w:tcPr>
        <w:shd w:val="clear" w:color="FFFFFF" w:fill="FFD965" w:themeFill="accent4" w:themeFillTint="9a"/>
      </w:tcPr>
    </w:tblStylePr>
    <w:tblStylePr w:type="firstRow">
      <w:rPr>
        <w:sz w:val="22"/>
      </w:rPr>
      <w:tblPr/>
      <w:tcPr>
        <w:shd w:val="clear" w:color="FFFFFF" w:fill="FFD965" w:themeFill="accent4" w:themeFillTint="9a"/>
      </w:tcPr>
    </w:tblStylePr>
    <w:tblStylePr w:type="lastCol">
      <w:rPr>
        <w:sz w:val="22"/>
      </w:rPr>
      <w:tblPr/>
      <w:tcPr>
        <w:shd w:val="clear" w:color="FFFFFF" w:fill="FFD965" w:themeFill="accent4" w:themeFillTint="9a"/>
      </w:tcPr>
    </w:tblStylePr>
    <w:tblStylePr w:type="lastRow">
      <w:rPr>
        <w:sz w:val="22"/>
      </w:rPr>
      <w:tblPr/>
      <w:tcPr>
        <w:shd w:val="clear" w:color="FFFFFF" w:fill="FFD965"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007">
    <w:name w:val="Bordered &amp; Lined - Accent 5"/>
    <w:basedOn w:val="1076"/>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D9E2F3" w:themeFill="accent5" w:themeFillTint="34"/>
      </w:tcPr>
    </w:tblStylePr>
    <w:tblStylePr w:type="band2Vert">
      <w:rPr>
        <w:sz w:val="22"/>
      </w:rPr>
      <w:tblPr/>
      <w:tcPr>
        <w:shd w:val="clear" w:color="FFFFFF" w:fill="D9E2F3" w:themeFill="accent5" w:themeFillTint="34"/>
      </w:tcPr>
    </w:tblStylePr>
    <w:tblStylePr w:type="firstCol">
      <w:rPr>
        <w:sz w:val="22"/>
      </w:rPr>
      <w:tblPr/>
      <w:tcPr>
        <w:shd w:val="clear" w:color="FFFFFF" w:fill="4472C4" w:themeFill="accent5"/>
      </w:tcPr>
    </w:tblStylePr>
    <w:tblStylePr w:type="firstRow">
      <w:rPr>
        <w:sz w:val="22"/>
      </w:rPr>
      <w:tblPr/>
      <w:tcPr>
        <w:shd w:val="clear" w:color="FFFFFF" w:fill="4472C4" w:themeFill="accent5"/>
      </w:tcPr>
    </w:tblStylePr>
    <w:tblStylePr w:type="lastCol">
      <w:rPr>
        <w:sz w:val="22"/>
      </w:rPr>
      <w:tblPr/>
      <w:tcPr>
        <w:shd w:val="clear" w:color="FFFFFF" w:fill="4472C4" w:themeFill="accent5"/>
      </w:tcPr>
    </w:tblStylePr>
    <w:tblStylePr w:type="lastRow">
      <w:rPr>
        <w:sz w:val="22"/>
      </w:rPr>
      <w:tblPr/>
      <w:tcPr>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008">
    <w:name w:val="Bordered &amp; Lined - Accent 6"/>
    <w:basedOn w:val="107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E2EFD9" w:themeFill="accent6" w:themeFillTint="34"/>
      </w:tcPr>
    </w:tblStylePr>
    <w:tblStylePr w:type="band2Vert">
      <w:rPr>
        <w:sz w:val="22"/>
      </w:rPr>
      <w:tblPr/>
      <w:tcPr>
        <w:shd w:val="clear" w:color="FFFFFF" w:fill="E2EFD9" w:themeFill="accent6" w:themeFillTint="34"/>
      </w:tcPr>
    </w:tblStylePr>
    <w:tblStylePr w:type="firstCol">
      <w:rPr>
        <w:sz w:val="22"/>
      </w:rPr>
      <w:tblPr/>
      <w:tcPr>
        <w:shd w:val="clear" w:color="FFFFFF" w:fill="70AD47" w:themeFill="accent6"/>
      </w:tcPr>
    </w:tblStylePr>
    <w:tblStylePr w:type="firstRow">
      <w:rPr>
        <w:sz w:val="22"/>
      </w:rPr>
      <w:tblPr/>
      <w:tcPr>
        <w:shd w:val="clear" w:color="FFFFFF" w:fill="70AD47" w:themeFill="accent6"/>
      </w:tcPr>
    </w:tblStylePr>
    <w:tblStylePr w:type="lastCol">
      <w:rPr>
        <w:sz w:val="22"/>
      </w:rPr>
      <w:tblPr/>
      <w:tcPr>
        <w:shd w:val="clear" w:color="FFFFFF" w:fill="70AD47" w:themeFill="accent6"/>
      </w:tcPr>
    </w:tblStylePr>
    <w:tblStylePr w:type="lastRow">
      <w:rPr>
        <w:sz w:val="22"/>
      </w:rPr>
      <w:tblPr/>
      <w:tcPr>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009">
    <w:name w:val="Bordered"/>
    <w:basedOn w:val="1076"/>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10">
    <w:name w:val="Bordered - Accent 1"/>
    <w:basedOn w:val="1076"/>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11">
    <w:name w:val="Bordered - Accent 2"/>
    <w:basedOn w:val="1076"/>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12">
    <w:name w:val="Bordered - Accent 3"/>
    <w:basedOn w:val="1076"/>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13">
    <w:name w:val="Bordered - Accent 4"/>
    <w:basedOn w:val="1076"/>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14">
    <w:name w:val="Bordered - Accent 5"/>
    <w:basedOn w:val="1076"/>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15">
    <w:name w:val="Bordered - Accent 6"/>
    <w:basedOn w:val="107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default="1" w:styleId="1076">
    <w:name w:val="Normal Table"/>
    <w:uiPriority w:val="99"/>
    <w:semiHidden/>
    <w:unhideWhenUsed/>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316</TotalTime>
  <Application>LibreOffice/25.8.4.2$Linux_X86_64 LibreOffice_project/580$Build-2</Application>
  <AppVersion>15.0000</AppVersion>
  <Pages>5</Pages>
  <Words>1787</Words>
  <Characters>9491</Characters>
  <CharactersWithSpaces>11280</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2026-01-21T16:54:20Z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