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America?(post 1950)</w:t>
      </w:r>
    </w:p>
    <w:p>
      <w:pPr>
        <w:pStyle w:val="Normal"/>
        <w:spacing w:lineRule="auto" w:line="480"/>
        <w:jc w:val="center"/>
        <w:rPr>
          <w:rFonts w:ascii="Times New Roman" w:hAnsi="Times New Roman" w:eastAsia="Times New Roman" w:cs="Times New Roman"/>
          <w:b/>
          <w:bCs/>
          <w:sz w:val="32"/>
          <w:szCs w:val="32"/>
          <w:highlight w:val="none"/>
          <w:u w:val="single"/>
          <w:shd w:fill="FFFF00" w:val="clear"/>
          <w:lang w:val="en-GB"/>
        </w:rPr>
      </w:pPr>
      <w:r>
        <w:rPr>
          <w:rFonts w:eastAsia="Times New Roman" w:cs="Times New Roman" w:ascii="Times New Roman" w:hAnsi="Times New Roman"/>
          <w:b/>
          <w:bCs/>
          <w:sz w:val="32"/>
          <w:szCs w:val="32"/>
          <w:u w:val="singl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influential cultural explanations for rising disorder focused on cinema and mass media, which were widely accused of corrupting youth and encouraging violence.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A second major site of cultural blame centred on youth street cultures, particularly hooliganism and gangs, which were portrayed as self-generating sources of violence in both Britain and the United States.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
          <w:rFonts w:eastAsia="Times New Roman" w:cs="Times New Roman" w:ascii="Times New Roman" w:hAnsi="Times New Roman"/>
          <w:b w:val="false"/>
          <w:bCs w:val="false"/>
          <w:position w:val="0"/>
          <w:sz w:val="24"/>
          <w:szCs w:val="24"/>
          <w:u w:val="none"/>
          <w:vertAlign w:val="baseline"/>
          <w:lang w:val="en-GB"/>
        </w:rPr>
        <w:t>.Examining the UK experience more closely, reveals that British society is constantly inventing new ‘devils’ to represent social decline, with society witnessing a “rapid oscillation from one such devil to another […] the soccer hooligan, the hippy, the skinhead”</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
          <w:rFonts w:eastAsia="Times New Roman" w:cs="Times New Roman" w:ascii="Times New Roman" w:hAnsi="Times New Roman"/>
          <w:b w:val="false"/>
          <w:bCs w:val="false"/>
          <w:position w:val="0"/>
          <w:sz w:val="24"/>
          <w:szCs w:val="24"/>
          <w:u w:val="none"/>
          <w:vertAlign w:val="baseline"/>
          <w:lang w:val="en-GB"/>
        </w:rPr>
        <w:t>. The state focuses on these groups on purpose, to find a “convenient metaphor for wider social tensions”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As with the earlier mentioned media panics, these responses often reflected heightened fear and overt focus rather than a demonstratable increase in violence itself.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ind w:firstLine="708"/>
        <w:jc w:val="both"/>
        <w:rPr/>
      </w:pPr>
      <w:r>
        <w:rPr>
          <w:rStyle w:val="FootnoteCharacters"/>
          <w:rFonts w:eastAsia="Times New Roman" w:cs="Times New Roman" w:ascii="Times New Roman" w:hAnsi="Times New Roman"/>
          <w:b w:val="false"/>
          <w:bCs w:val="false"/>
          <w:position w:val="0"/>
          <w:sz w:val="24"/>
          <w:szCs w:val="24"/>
          <w:u w:val="none"/>
          <w:vertAlign w:val="baseline"/>
          <w:lang w:val="en-GB"/>
        </w:rPr>
        <w:t>A final cultural explanation for rising anti-social behaviour emerged through the notion of an ‘underclass’, which framed poverty and disorder as products of flawed values rather than structural exclusion. In the British context, this cultural blame is most evident in the adoption of the term “underclass”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Here, it is commonly argued in political discourse that the “underclass”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8"/>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exists because of moral failure. The popular argument among social historians such as Murray frame poverty as “rational choices [where] […] the poor were encouraged to behave in ways that were advantageous in the short term but destructive in the long term”</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9"/>
      </w:r>
      <w:r>
        <w:rPr>
          <w:rStyle w:val="FootnoteCharacters"/>
          <w:rFonts w:eastAsia="Times New Roman" w:cs="Times New Roman" w:ascii="Times New Roman" w:hAnsi="Times New Roman"/>
          <w:b w:val="false"/>
          <w:bCs w:val="false"/>
          <w:position w:val="0"/>
          <w:sz w:val="24"/>
          <w:szCs w:val="24"/>
          <w:u w:val="none"/>
          <w:vertAlign w:val="baseline"/>
          <w:lang w:val="en-GB"/>
        </w:rPr>
        <w:t>. This suggests that the poorer in society actively make the decision to rely on welfare rather than to work, effectively arguing that a culture of dependency is the root cause of their poverty. This serves as a powerful narrative “through which to view the poor – as undeserving, deviant [and], dangerous”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0"/>
      </w:r>
      <w:r>
        <w:rPr>
          <w:rStyle w:val="FootnoteCharacters"/>
          <w:rFonts w:eastAsia="Times New Roman" w:cs="Times New Roman" w:ascii="Times New Roman" w:hAnsi="Times New Roman"/>
          <w:b w:val="false"/>
          <w:bCs w:val="false"/>
          <w:position w:val="0"/>
          <w:sz w:val="24"/>
          <w:szCs w:val="24"/>
          <w:u w:val="none"/>
          <w:vertAlign w:val="baseline"/>
          <w:lang w:val="en-GB"/>
        </w:rPr>
        <w:t>, allowing the state to justify cutting support systems. However the collapse of inner city work is not due to laziness, but due to a “sharply stratified labour market”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1"/>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that emerged in the late twentieth century. In this new economy, secure jobs for low-skilled workers effectively vanished. Therefore the rise in crime and poverty is not the result of a bad culture, but the consequence of an economic reality where whole sectors of the population have been “systemically excluded”</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2"/>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from the workforce. Thus, what the state labels as a cultural refusal to work is, in reality, a structural inability to access the legitimate economy. Crucially, this exclusion does not remove the pressure to consume. In a society where status is defined by brand ownership and fashion, those locked out of the labour market are left in a bind. They possess the desire for these cultural symbols but lack the legal means to acquire them. Therefore, the crime that follows is often a desperate attempt to bridge the gap between their economic exclusion and their consumerist aspirations.</w:t>
      </w:r>
    </w:p>
    <w:p>
      <w:pPr>
        <w:pStyle w:val="Normal"/>
        <w:spacing w:lineRule="auto" w:line="480"/>
        <w:ind w:firstLine="708"/>
        <w:jc w:val="both"/>
        <w:rPr/>
      </w:pPr>
      <w:r>
        <w:rPr>
          <w:rStyle w:val="FootnoteCharacters"/>
          <w:rFonts w:eastAsia="Times New Roman" w:cs="Times New Roman" w:ascii="Times New Roman" w:hAnsi="Times New Roman"/>
          <w:b w:val="false"/>
          <w:bCs w:val="false"/>
          <w:position w:val="0"/>
          <w:sz w:val="24"/>
          <w:szCs w:val="24"/>
          <w:u w:val="none"/>
          <w:vertAlign w:val="baseline"/>
          <w:lang w:val="en-GB"/>
        </w:rPr>
        <w:t>On the surface it does appear that cultural phenomena can be blamed for the perceived rise in anti-social and criminal behaviour in post-1950 Britain and America. Whilst it seems as though cinema, youth subcultures, and consumer fashion are sources of disorder, it becomes clear upon further inspection that these are merely scapegoats, and by products of the true causes of a rise in disorder and criminal behaviour. The cultural forms have served primarily as symbols through which social anxieties are expressed rather than independent drivers of crime. In each case examined in this case reveal how cultural blame obscured deeper structural realities including economic exclusion, labour market collapse and the retreat of state support. The persistence of cultural explanations reflects their political convenience as they offer clear targets for moral condemnation while diverting attention away from the systemic inequality which they are unwilling to acknowledge. Ultimately whilst it at first appears to be cultural phenomena that drives disorder, it is in reality a response to structural failures and those structural failures are the true drivers of disorder, revealing more about society’s unwillingness to confront inequality than about the effect on crime itself.</w:t>
      </w:r>
    </w:p>
    <w:p>
      <w:pPr>
        <w:pStyle w:val="Normal"/>
        <w:spacing w:lineRule="auto" w:line="480"/>
        <w:ind w:firstLine="708"/>
        <w:jc w:val="both"/>
        <w:rPr>
          <w:rStyle w:val="FootnoteCharacters"/>
          <w:rFonts w:ascii="Times New Roman" w:hAnsi="Times New Roman" w:eastAsia="Times New Roman" w:cs="Times New Roman"/>
          <w:b w:val="false"/>
          <w:bCs w:val="false"/>
          <w:position w:val="0"/>
          <w:sz w:val="24"/>
          <w:szCs w:val="24"/>
          <w:u w:val="none"/>
          <w:vertAlign w:val="baseline"/>
          <w:lang w:val="en-GB"/>
        </w:rPr>
      </w:pPr>
      <w:r>
        <w:rPr>
          <w:rFonts w:eastAsia="Times New Roman" w:cs="Times New Roman" w:ascii="Times New Roman" w:hAnsi="Times New Roman"/>
          <w:b w:val="false"/>
          <w:bCs w:val="false"/>
          <w:position w:val="0"/>
          <w:sz w:val="24"/>
          <w:szCs w:val="24"/>
          <w:u w:val="none"/>
          <w:vertAlign w:val="baseline"/>
          <w:lang w:val="en-GB"/>
        </w:rPr>
      </w:r>
    </w:p>
    <w:p>
      <w:pPr>
        <w:pStyle w:val="Normal"/>
        <w:spacing w:lineRule="auto" w:line="480"/>
        <w:ind w:firstLine="708"/>
        <w:jc w:val="center"/>
        <w:rPr/>
      </w:pPr>
      <w:r>
        <w:rPr>
          <w:rStyle w:val="FootnoteCharacters"/>
          <w:rFonts w:eastAsia="Times New Roman" w:cs="Times New Roman" w:ascii="Times New Roman" w:hAnsi="Times New Roman"/>
          <w:b/>
          <w:bCs/>
          <w:position w:val="0"/>
          <w:sz w:val="28"/>
          <w:szCs w:val="28"/>
          <w:u w:val="single"/>
          <w:vertAlign w:val="baseline"/>
          <w:lang w:val="en-GB"/>
        </w:rPr>
        <w:t>Bibliography</w:t>
      </w:r>
    </w:p>
    <w:p>
      <w:pPr>
        <w:pStyle w:val="BodyText"/>
        <w:spacing w:lineRule="auto" w:line="480" w:before="0" w:after="200"/>
        <w:ind w:hanging="0" w:start="0"/>
        <w:jc w:val="both"/>
        <w:rPr/>
      </w:pP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Aspholm, Roberto R., </w:t>
      </w:r>
      <w:r>
        <w:rPr>
          <w:rStyle w:val="FootnoteCharacters"/>
          <w:rFonts w:eastAsia="Times New Roman" w:cs="Times New Roman" w:ascii="Times New Roman" w:hAnsi="Times New Roman"/>
          <w:b w:val="false"/>
          <w:bCs w:val="false"/>
          <w:i/>
          <w:iCs/>
          <w:position w:val="0"/>
          <w:sz w:val="24"/>
          <w:szCs w:val="24"/>
          <w:u w:val="none"/>
          <w:vertAlign w:val="baseline"/>
          <w:lang w:val="en-GB"/>
        </w:rPr>
        <w:t>V</w:t>
      </w:r>
      <w:r>
        <w:rPr>
          <w:rStyle w:val="FootnoteCharacters"/>
          <w:rFonts w:eastAsia="Times New Roman" w:cs="Times New Roman" w:ascii="Times New Roman" w:hAnsi="Times New Roman"/>
          <w:b w:val="false"/>
          <w:bCs w:val="false"/>
          <w:i/>
          <w:iCs/>
          <w:position w:val="0"/>
          <w:sz w:val="24"/>
          <w:szCs w:val="24"/>
          <w:u w:val="none"/>
          <w:vertAlign w:val="baseline"/>
          <w:lang w:val="en-GB"/>
        </w:rPr>
        <w:t>i</w:t>
      </w:r>
      <w:r>
        <w:rPr>
          <w:rStyle w:val="FootnoteCharacters"/>
          <w:rFonts w:eastAsia="Times New Roman" w:cs="Times New Roman" w:ascii="Times New Roman" w:hAnsi="Times New Roman"/>
          <w:b w:val="false"/>
          <w:bCs w:val="false"/>
          <w:i/>
          <w:iCs/>
          <w:position w:val="0"/>
          <w:sz w:val="24"/>
          <w:szCs w:val="24"/>
          <w:u w:val="none"/>
          <w:vertAlign w:val="baseline"/>
          <w:lang w:val="en-GB"/>
        </w:rPr>
        <w:t>e</w:t>
      </w:r>
      <w:r>
        <w:rPr>
          <w:rStyle w:val="FootnoteCharacters"/>
          <w:rFonts w:eastAsia="Times New Roman" w:cs="Times New Roman" w:ascii="Times New Roman" w:hAnsi="Times New Roman"/>
          <w:b w:val="false"/>
          <w:bCs w:val="false"/>
          <w:i/>
          <w:iCs/>
          <w:position w:val="0"/>
          <w:sz w:val="24"/>
          <w:szCs w:val="24"/>
          <w:u w:val="none"/>
          <w:vertAlign w:val="baseline"/>
          <w:lang w:val="en-GB"/>
        </w:rPr>
        <w:t>w</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s </w:t>
      </w:r>
      <w:r>
        <w:rPr>
          <w:rStyle w:val="FootnoteCharacters"/>
          <w:rFonts w:eastAsia="Times New Roman" w:cs="Times New Roman" w:ascii="Times New Roman" w:hAnsi="Times New Roman"/>
          <w:b w:val="false"/>
          <w:bCs w:val="false"/>
          <w:i/>
          <w:iCs/>
          <w:position w:val="0"/>
          <w:sz w:val="24"/>
          <w:szCs w:val="24"/>
          <w:u w:val="none"/>
          <w:vertAlign w:val="baseline"/>
          <w:lang w:val="en-GB"/>
        </w:rPr>
        <w:t>f</w:t>
      </w:r>
      <w:r>
        <w:rPr>
          <w:rStyle w:val="FootnoteCharacters"/>
          <w:rFonts w:eastAsia="Times New Roman" w:cs="Times New Roman" w:ascii="Times New Roman" w:hAnsi="Times New Roman"/>
          <w:b w:val="false"/>
          <w:bCs w:val="false"/>
          <w:i/>
          <w:iCs/>
          <w:position w:val="0"/>
          <w:sz w:val="24"/>
          <w:szCs w:val="24"/>
          <w:u w:val="none"/>
          <w:vertAlign w:val="baseline"/>
          <w:lang w:val="en-GB"/>
        </w:rPr>
        <w:t>r</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m </w:t>
      </w:r>
      <w:r>
        <w:rPr>
          <w:rStyle w:val="FootnoteCharacters"/>
          <w:rFonts w:eastAsia="Times New Roman" w:cs="Times New Roman" w:ascii="Times New Roman" w:hAnsi="Times New Roman"/>
          <w:b w:val="false"/>
          <w:bCs w:val="false"/>
          <w:i/>
          <w:iCs/>
          <w:position w:val="0"/>
          <w:sz w:val="24"/>
          <w:szCs w:val="24"/>
          <w:u w:val="none"/>
          <w:vertAlign w:val="baseline"/>
          <w:lang w:val="en-GB"/>
        </w:rPr>
        <w:t>t</w:t>
      </w:r>
      <w:r>
        <w:rPr>
          <w:rStyle w:val="FootnoteCharacters"/>
          <w:rFonts w:eastAsia="Times New Roman" w:cs="Times New Roman" w:ascii="Times New Roman" w:hAnsi="Times New Roman"/>
          <w:b w:val="false"/>
          <w:bCs w:val="false"/>
          <w:i/>
          <w:iCs/>
          <w:position w:val="0"/>
          <w:sz w:val="24"/>
          <w:szCs w:val="24"/>
          <w:u w:val="none"/>
          <w:vertAlign w:val="baseline"/>
          <w:lang w:val="en-GB"/>
        </w:rPr>
        <w:t>h</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e </w:t>
      </w:r>
      <w:r>
        <w:rPr>
          <w:rStyle w:val="FootnoteCharacters"/>
          <w:rFonts w:eastAsia="Times New Roman" w:cs="Times New Roman" w:ascii="Times New Roman" w:hAnsi="Times New Roman"/>
          <w:b w:val="false"/>
          <w:bCs w:val="false"/>
          <w:i/>
          <w:iCs/>
          <w:position w:val="0"/>
          <w:sz w:val="24"/>
          <w:szCs w:val="24"/>
          <w:u w:val="none"/>
          <w:vertAlign w:val="baseline"/>
          <w:lang w:val="en-GB"/>
        </w:rPr>
        <w:t>S</w:t>
      </w:r>
      <w:r>
        <w:rPr>
          <w:rStyle w:val="FootnoteCharacters"/>
          <w:rFonts w:eastAsia="Times New Roman" w:cs="Times New Roman" w:ascii="Times New Roman" w:hAnsi="Times New Roman"/>
          <w:b w:val="false"/>
          <w:bCs w:val="false"/>
          <w:i/>
          <w:iCs/>
          <w:position w:val="0"/>
          <w:sz w:val="24"/>
          <w:szCs w:val="24"/>
          <w:u w:val="none"/>
          <w:vertAlign w:val="baseline"/>
          <w:lang w:val="en-GB"/>
        </w:rPr>
        <w:t>t</w:t>
      </w:r>
      <w:r>
        <w:rPr>
          <w:rStyle w:val="FootnoteCharacters"/>
          <w:rFonts w:eastAsia="Times New Roman" w:cs="Times New Roman" w:ascii="Times New Roman" w:hAnsi="Times New Roman"/>
          <w:b w:val="false"/>
          <w:bCs w:val="false"/>
          <w:i/>
          <w:iCs/>
          <w:position w:val="0"/>
          <w:sz w:val="24"/>
          <w:szCs w:val="24"/>
          <w:u w:val="none"/>
          <w:vertAlign w:val="baseline"/>
          <w:lang w:val="en-GB"/>
        </w:rPr>
        <w:t>r</w:t>
      </w:r>
      <w:r>
        <w:rPr>
          <w:rStyle w:val="FootnoteCharacters"/>
          <w:rFonts w:eastAsia="Times New Roman" w:cs="Times New Roman" w:ascii="Times New Roman" w:hAnsi="Times New Roman"/>
          <w:b w:val="false"/>
          <w:bCs w:val="false"/>
          <w:i/>
          <w:iCs/>
          <w:position w:val="0"/>
          <w:sz w:val="24"/>
          <w:szCs w:val="24"/>
          <w:u w:val="none"/>
          <w:vertAlign w:val="baseline"/>
          <w:lang w:val="en-GB"/>
        </w:rPr>
        <w:t>e</w:t>
      </w:r>
      <w:r>
        <w:rPr>
          <w:rStyle w:val="FootnoteCharacters"/>
          <w:rFonts w:eastAsia="Times New Roman" w:cs="Times New Roman" w:ascii="Times New Roman" w:hAnsi="Times New Roman"/>
          <w:b w:val="false"/>
          <w:bCs w:val="false"/>
          <w:i/>
          <w:iCs/>
          <w:position w:val="0"/>
          <w:sz w:val="24"/>
          <w:szCs w:val="24"/>
          <w:u w:val="none"/>
          <w:vertAlign w:val="baseline"/>
          <w:lang w:val="en-GB"/>
        </w:rPr>
        <w:t>e</w:t>
      </w:r>
      <w:r>
        <w:rPr>
          <w:rStyle w:val="FootnoteCharacters"/>
          <w:rFonts w:eastAsia="Times New Roman" w:cs="Times New Roman" w:ascii="Times New Roman" w:hAnsi="Times New Roman"/>
          <w:b w:val="false"/>
          <w:bCs w:val="false"/>
          <w:i/>
          <w:iCs/>
          <w:position w:val="0"/>
          <w:sz w:val="24"/>
          <w:szCs w:val="24"/>
          <w:u w:val="none"/>
          <w:vertAlign w:val="baseline"/>
          <w:lang w:val="en-GB"/>
        </w:rPr>
        <w:t>t</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s: </w:t>
      </w:r>
      <w:r>
        <w:rPr>
          <w:rStyle w:val="FootnoteCharacters"/>
          <w:rFonts w:eastAsia="Times New Roman" w:cs="Times New Roman" w:ascii="Times New Roman" w:hAnsi="Times New Roman"/>
          <w:b w:val="false"/>
          <w:bCs w:val="false"/>
          <w:i/>
          <w:iCs/>
          <w:position w:val="0"/>
          <w:sz w:val="24"/>
          <w:szCs w:val="24"/>
          <w:u w:val="none"/>
          <w:vertAlign w:val="baseline"/>
          <w:lang w:val="en-GB"/>
        </w:rPr>
        <w:t>T</w:t>
      </w:r>
      <w:r>
        <w:rPr>
          <w:rStyle w:val="FootnoteCharacters"/>
          <w:rFonts w:eastAsia="Times New Roman" w:cs="Times New Roman" w:ascii="Times New Roman" w:hAnsi="Times New Roman"/>
          <w:b w:val="false"/>
          <w:bCs w:val="false"/>
          <w:i/>
          <w:iCs/>
          <w:position w:val="0"/>
          <w:sz w:val="24"/>
          <w:szCs w:val="24"/>
          <w:u w:val="none"/>
          <w:vertAlign w:val="baseline"/>
          <w:lang w:val="en-GB"/>
        </w:rPr>
        <w:t>h</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e </w:t>
      </w:r>
      <w:r>
        <w:rPr>
          <w:rStyle w:val="FootnoteCharacters"/>
          <w:rFonts w:eastAsia="Times New Roman" w:cs="Times New Roman" w:ascii="Times New Roman" w:hAnsi="Times New Roman"/>
          <w:b w:val="false"/>
          <w:bCs w:val="false"/>
          <w:i/>
          <w:iCs/>
          <w:position w:val="0"/>
          <w:sz w:val="24"/>
          <w:szCs w:val="24"/>
          <w:u w:val="none"/>
          <w:vertAlign w:val="baseline"/>
          <w:lang w:val="en-GB"/>
        </w:rPr>
        <w:t>T</w:t>
      </w:r>
      <w:r>
        <w:rPr>
          <w:rStyle w:val="FootnoteCharacters"/>
          <w:rFonts w:eastAsia="Times New Roman" w:cs="Times New Roman" w:ascii="Times New Roman" w:hAnsi="Times New Roman"/>
          <w:b w:val="false"/>
          <w:bCs w:val="false"/>
          <w:i/>
          <w:iCs/>
          <w:position w:val="0"/>
          <w:sz w:val="24"/>
          <w:szCs w:val="24"/>
          <w:u w:val="none"/>
          <w:vertAlign w:val="baseline"/>
          <w:lang w:val="en-GB"/>
        </w:rPr>
        <w:t>r</w:t>
      </w:r>
      <w:r>
        <w:rPr>
          <w:rStyle w:val="FootnoteCharacters"/>
          <w:rFonts w:eastAsia="Times New Roman" w:cs="Times New Roman" w:ascii="Times New Roman" w:hAnsi="Times New Roman"/>
          <w:b w:val="false"/>
          <w:bCs w:val="false"/>
          <w:i/>
          <w:iCs/>
          <w:position w:val="0"/>
          <w:sz w:val="24"/>
          <w:szCs w:val="24"/>
          <w:u w:val="none"/>
          <w:vertAlign w:val="baseline"/>
          <w:lang w:val="en-GB"/>
        </w:rPr>
        <w:t>a</w:t>
      </w:r>
      <w:r>
        <w:rPr>
          <w:rStyle w:val="FootnoteCharacters"/>
          <w:rFonts w:eastAsia="Times New Roman" w:cs="Times New Roman" w:ascii="Times New Roman" w:hAnsi="Times New Roman"/>
          <w:b w:val="false"/>
          <w:bCs w:val="false"/>
          <w:i/>
          <w:iCs/>
          <w:position w:val="0"/>
          <w:sz w:val="24"/>
          <w:szCs w:val="24"/>
          <w:u w:val="none"/>
          <w:vertAlign w:val="baseline"/>
          <w:lang w:val="en-GB"/>
        </w:rPr>
        <w:t>n</w:t>
      </w:r>
      <w:r>
        <w:rPr>
          <w:rStyle w:val="FootnoteCharacters"/>
          <w:rFonts w:eastAsia="Times New Roman" w:cs="Times New Roman" w:ascii="Times New Roman" w:hAnsi="Times New Roman"/>
          <w:b w:val="false"/>
          <w:bCs w:val="false"/>
          <w:i/>
          <w:iCs/>
          <w:position w:val="0"/>
          <w:sz w:val="24"/>
          <w:szCs w:val="24"/>
          <w:u w:val="none"/>
          <w:vertAlign w:val="baseline"/>
          <w:lang w:val="en-GB"/>
        </w:rPr>
        <w:t>s</w:t>
      </w:r>
      <w:r>
        <w:rPr>
          <w:rStyle w:val="FootnoteCharacters"/>
          <w:rFonts w:eastAsia="Times New Roman" w:cs="Times New Roman" w:ascii="Times New Roman" w:hAnsi="Times New Roman"/>
          <w:b w:val="false"/>
          <w:bCs w:val="false"/>
          <w:i/>
          <w:iCs/>
          <w:position w:val="0"/>
          <w:sz w:val="24"/>
          <w:szCs w:val="24"/>
          <w:u w:val="none"/>
          <w:vertAlign w:val="baseline"/>
          <w:lang w:val="en-GB"/>
        </w:rPr>
        <w:t>f</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r</w:t>
      </w:r>
      <w:r>
        <w:rPr>
          <w:rStyle w:val="FootnoteCharacters"/>
          <w:rFonts w:eastAsia="Times New Roman" w:cs="Times New Roman" w:ascii="Times New Roman" w:hAnsi="Times New Roman"/>
          <w:b w:val="false"/>
          <w:bCs w:val="false"/>
          <w:i/>
          <w:iCs/>
          <w:position w:val="0"/>
          <w:sz w:val="24"/>
          <w:szCs w:val="24"/>
          <w:u w:val="none"/>
          <w:vertAlign w:val="baseline"/>
          <w:lang w:val="en-GB"/>
        </w:rPr>
        <w:t>m</w:t>
      </w:r>
      <w:r>
        <w:rPr>
          <w:rStyle w:val="FootnoteCharacters"/>
          <w:rFonts w:eastAsia="Times New Roman" w:cs="Times New Roman" w:ascii="Times New Roman" w:hAnsi="Times New Roman"/>
          <w:b w:val="false"/>
          <w:bCs w:val="false"/>
          <w:i/>
          <w:iCs/>
          <w:position w:val="0"/>
          <w:sz w:val="24"/>
          <w:szCs w:val="24"/>
          <w:u w:val="none"/>
          <w:vertAlign w:val="baseline"/>
          <w:lang w:val="en-GB"/>
        </w:rPr>
        <w:t>a</w:t>
      </w:r>
      <w:r>
        <w:rPr>
          <w:rStyle w:val="FootnoteCharacters"/>
          <w:rFonts w:eastAsia="Times New Roman" w:cs="Times New Roman" w:ascii="Times New Roman" w:hAnsi="Times New Roman"/>
          <w:b w:val="false"/>
          <w:bCs w:val="false"/>
          <w:i/>
          <w:iCs/>
          <w:position w:val="0"/>
          <w:sz w:val="24"/>
          <w:szCs w:val="24"/>
          <w:u w:val="none"/>
          <w:vertAlign w:val="baseline"/>
          <w:lang w:val="en-GB"/>
        </w:rPr>
        <w:t>t</w:t>
      </w:r>
      <w:r>
        <w:rPr>
          <w:rStyle w:val="FootnoteCharacters"/>
          <w:rFonts w:eastAsia="Times New Roman" w:cs="Times New Roman" w:ascii="Times New Roman" w:hAnsi="Times New Roman"/>
          <w:b w:val="false"/>
          <w:bCs w:val="false"/>
          <w:i/>
          <w:iCs/>
          <w:position w:val="0"/>
          <w:sz w:val="24"/>
          <w:szCs w:val="24"/>
          <w:u w:val="none"/>
          <w:vertAlign w:val="baseline"/>
          <w:lang w:val="en-GB"/>
        </w:rPr>
        <w:t>i</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n </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f </w:t>
      </w:r>
      <w:r>
        <w:rPr>
          <w:rStyle w:val="FootnoteCharacters"/>
          <w:rFonts w:eastAsia="Times New Roman" w:cs="Times New Roman" w:ascii="Times New Roman" w:hAnsi="Times New Roman"/>
          <w:b w:val="false"/>
          <w:bCs w:val="false"/>
          <w:i/>
          <w:iCs/>
          <w:position w:val="0"/>
          <w:sz w:val="24"/>
          <w:szCs w:val="24"/>
          <w:u w:val="none"/>
          <w:vertAlign w:val="baseline"/>
          <w:lang w:val="en-GB"/>
        </w:rPr>
        <w:t>G</w:t>
      </w:r>
      <w:r>
        <w:rPr>
          <w:rStyle w:val="FootnoteCharacters"/>
          <w:rFonts w:eastAsia="Times New Roman" w:cs="Times New Roman" w:ascii="Times New Roman" w:hAnsi="Times New Roman"/>
          <w:b w:val="false"/>
          <w:bCs w:val="false"/>
          <w:i/>
          <w:iCs/>
          <w:position w:val="0"/>
          <w:sz w:val="24"/>
          <w:szCs w:val="24"/>
          <w:u w:val="none"/>
          <w:vertAlign w:val="baseline"/>
          <w:lang w:val="en-GB"/>
        </w:rPr>
        <w:t>a</w:t>
      </w:r>
      <w:r>
        <w:rPr>
          <w:rStyle w:val="FootnoteCharacters"/>
          <w:rFonts w:eastAsia="Times New Roman" w:cs="Times New Roman" w:ascii="Times New Roman" w:hAnsi="Times New Roman"/>
          <w:b w:val="false"/>
          <w:bCs w:val="false"/>
          <w:i/>
          <w:iCs/>
          <w:position w:val="0"/>
          <w:sz w:val="24"/>
          <w:szCs w:val="24"/>
          <w:u w:val="none"/>
          <w:vertAlign w:val="baseline"/>
          <w:lang w:val="en-GB"/>
        </w:rPr>
        <w:t>n</w:t>
      </w:r>
      <w:r>
        <w:rPr>
          <w:rStyle w:val="FootnoteCharacters"/>
          <w:rFonts w:eastAsia="Times New Roman" w:cs="Times New Roman" w:ascii="Times New Roman" w:hAnsi="Times New Roman"/>
          <w:b w:val="false"/>
          <w:bCs w:val="false"/>
          <w:i/>
          <w:iCs/>
          <w:position w:val="0"/>
          <w:sz w:val="24"/>
          <w:szCs w:val="24"/>
          <w:u w:val="none"/>
          <w:vertAlign w:val="baseline"/>
          <w:lang w:val="en-GB"/>
        </w:rPr>
        <w:t>g</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s </w:t>
      </w:r>
      <w:r>
        <w:rPr>
          <w:rStyle w:val="FootnoteCharacters"/>
          <w:rFonts w:eastAsia="Times New Roman" w:cs="Times New Roman" w:ascii="Times New Roman" w:hAnsi="Times New Roman"/>
          <w:b w:val="false"/>
          <w:bCs w:val="false"/>
          <w:i/>
          <w:iCs/>
          <w:position w:val="0"/>
          <w:sz w:val="24"/>
          <w:szCs w:val="24"/>
          <w:u w:val="none"/>
          <w:vertAlign w:val="baseline"/>
          <w:lang w:val="en-GB"/>
        </w:rPr>
        <w:t>a</w:t>
      </w:r>
      <w:r>
        <w:rPr>
          <w:rStyle w:val="FootnoteCharacters"/>
          <w:rFonts w:eastAsia="Times New Roman" w:cs="Times New Roman" w:ascii="Times New Roman" w:hAnsi="Times New Roman"/>
          <w:b w:val="false"/>
          <w:bCs w:val="false"/>
          <w:i/>
          <w:iCs/>
          <w:position w:val="0"/>
          <w:sz w:val="24"/>
          <w:szCs w:val="24"/>
          <w:u w:val="none"/>
          <w:vertAlign w:val="baseline"/>
          <w:lang w:val="en-GB"/>
        </w:rPr>
        <w:t>n</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d </w:t>
      </w:r>
      <w:r>
        <w:rPr>
          <w:rStyle w:val="FootnoteCharacters"/>
          <w:rFonts w:eastAsia="Times New Roman" w:cs="Times New Roman" w:ascii="Times New Roman" w:hAnsi="Times New Roman"/>
          <w:b w:val="false"/>
          <w:bCs w:val="false"/>
          <w:i/>
          <w:iCs/>
          <w:position w:val="0"/>
          <w:sz w:val="24"/>
          <w:szCs w:val="24"/>
          <w:u w:val="none"/>
          <w:vertAlign w:val="baseline"/>
          <w:lang w:val="en-GB"/>
        </w:rPr>
        <w:t>V</w:t>
      </w:r>
      <w:r>
        <w:rPr>
          <w:rStyle w:val="FootnoteCharacters"/>
          <w:rFonts w:eastAsia="Times New Roman" w:cs="Times New Roman" w:ascii="Times New Roman" w:hAnsi="Times New Roman"/>
          <w:b w:val="false"/>
          <w:bCs w:val="false"/>
          <w:i/>
          <w:iCs/>
          <w:position w:val="0"/>
          <w:sz w:val="24"/>
          <w:szCs w:val="24"/>
          <w:u w:val="none"/>
          <w:vertAlign w:val="baseline"/>
          <w:lang w:val="en-GB"/>
        </w:rPr>
        <w:t>i</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l</w:t>
      </w:r>
      <w:r>
        <w:rPr>
          <w:rStyle w:val="FootnoteCharacters"/>
          <w:rFonts w:eastAsia="Times New Roman" w:cs="Times New Roman" w:ascii="Times New Roman" w:hAnsi="Times New Roman"/>
          <w:b w:val="false"/>
          <w:bCs w:val="false"/>
          <w:i/>
          <w:iCs/>
          <w:position w:val="0"/>
          <w:sz w:val="24"/>
          <w:szCs w:val="24"/>
          <w:u w:val="none"/>
          <w:vertAlign w:val="baseline"/>
          <w:lang w:val="en-GB"/>
        </w:rPr>
        <w:t>e</w:t>
      </w:r>
      <w:r>
        <w:rPr>
          <w:rStyle w:val="FootnoteCharacters"/>
          <w:rFonts w:eastAsia="Times New Roman" w:cs="Times New Roman" w:ascii="Times New Roman" w:hAnsi="Times New Roman"/>
          <w:b w:val="false"/>
          <w:bCs w:val="false"/>
          <w:i/>
          <w:iCs/>
          <w:position w:val="0"/>
          <w:sz w:val="24"/>
          <w:szCs w:val="24"/>
          <w:u w:val="none"/>
          <w:vertAlign w:val="baseline"/>
          <w:lang w:val="en-GB"/>
        </w:rPr>
        <w:t>n</w:t>
      </w:r>
      <w:r>
        <w:rPr>
          <w:rStyle w:val="FootnoteCharacters"/>
          <w:rFonts w:eastAsia="Times New Roman" w:cs="Times New Roman" w:ascii="Times New Roman" w:hAnsi="Times New Roman"/>
          <w:b w:val="false"/>
          <w:bCs w:val="false"/>
          <w:i/>
          <w:iCs/>
          <w:position w:val="0"/>
          <w:sz w:val="24"/>
          <w:szCs w:val="24"/>
          <w:u w:val="none"/>
          <w:vertAlign w:val="baseline"/>
          <w:lang w:val="en-GB"/>
        </w:rPr>
        <w:t>c</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e </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n </w:t>
      </w:r>
      <w:r>
        <w:rPr>
          <w:rStyle w:val="FootnoteCharacters"/>
          <w:rFonts w:eastAsia="Times New Roman" w:cs="Times New Roman" w:ascii="Times New Roman" w:hAnsi="Times New Roman"/>
          <w:b w:val="false"/>
          <w:bCs w:val="false"/>
          <w:i/>
          <w:iCs/>
          <w:position w:val="0"/>
          <w:sz w:val="24"/>
          <w:szCs w:val="24"/>
          <w:u w:val="none"/>
          <w:vertAlign w:val="baseline"/>
          <w:lang w:val="en-GB"/>
        </w:rPr>
        <w:t>C</w:t>
      </w:r>
      <w:r>
        <w:rPr>
          <w:rStyle w:val="FootnoteCharacters"/>
          <w:rFonts w:eastAsia="Times New Roman" w:cs="Times New Roman" w:ascii="Times New Roman" w:hAnsi="Times New Roman"/>
          <w:b w:val="false"/>
          <w:bCs w:val="false"/>
          <w:i/>
          <w:iCs/>
          <w:position w:val="0"/>
          <w:sz w:val="24"/>
          <w:szCs w:val="24"/>
          <w:u w:val="none"/>
          <w:vertAlign w:val="baseline"/>
          <w:lang w:val="en-GB"/>
        </w:rPr>
        <w:t>h</w:t>
      </w:r>
      <w:r>
        <w:rPr>
          <w:rStyle w:val="FootnoteCharacters"/>
          <w:rFonts w:eastAsia="Times New Roman" w:cs="Times New Roman" w:ascii="Times New Roman" w:hAnsi="Times New Roman"/>
          <w:b w:val="false"/>
          <w:bCs w:val="false"/>
          <w:i/>
          <w:iCs/>
          <w:position w:val="0"/>
          <w:sz w:val="24"/>
          <w:szCs w:val="24"/>
          <w:u w:val="none"/>
          <w:vertAlign w:val="baseline"/>
          <w:lang w:val="en-GB"/>
        </w:rPr>
        <w:t>i</w:t>
      </w:r>
      <w:r>
        <w:rPr>
          <w:rStyle w:val="FootnoteCharacters"/>
          <w:rFonts w:eastAsia="Times New Roman" w:cs="Times New Roman" w:ascii="Times New Roman" w:hAnsi="Times New Roman"/>
          <w:b w:val="false"/>
          <w:bCs w:val="false"/>
          <w:i/>
          <w:iCs/>
          <w:position w:val="0"/>
          <w:sz w:val="24"/>
          <w:szCs w:val="24"/>
          <w:u w:val="none"/>
          <w:vertAlign w:val="baseline"/>
          <w:lang w:val="en-GB"/>
        </w:rPr>
        <w:t>c</w:t>
      </w:r>
      <w:r>
        <w:rPr>
          <w:rStyle w:val="FootnoteCharacters"/>
          <w:rFonts w:eastAsia="Times New Roman" w:cs="Times New Roman" w:ascii="Times New Roman" w:hAnsi="Times New Roman"/>
          <w:b w:val="false"/>
          <w:bCs w:val="false"/>
          <w:i/>
          <w:iCs/>
          <w:position w:val="0"/>
          <w:sz w:val="24"/>
          <w:szCs w:val="24"/>
          <w:u w:val="none"/>
          <w:vertAlign w:val="baseline"/>
          <w:lang w:val="en-GB"/>
        </w:rPr>
        <w:t>a</w:t>
      </w:r>
      <w:r>
        <w:rPr>
          <w:rStyle w:val="FootnoteCharacters"/>
          <w:rFonts w:eastAsia="Times New Roman" w:cs="Times New Roman" w:ascii="Times New Roman" w:hAnsi="Times New Roman"/>
          <w:b w:val="false"/>
          <w:bCs w:val="false"/>
          <w:i/>
          <w:iCs/>
          <w:position w:val="0"/>
          <w:sz w:val="24"/>
          <w:szCs w:val="24"/>
          <w:u w:val="none"/>
          <w:vertAlign w:val="baseline"/>
          <w:lang w:val="en-GB"/>
        </w:rPr>
        <w:t>g</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s </w:t>
      </w:r>
      <w:r>
        <w:rPr>
          <w:rStyle w:val="FootnoteCharacters"/>
          <w:rFonts w:eastAsia="Times New Roman" w:cs="Times New Roman" w:ascii="Times New Roman" w:hAnsi="Times New Roman"/>
          <w:b w:val="false"/>
          <w:bCs w:val="false"/>
          <w:i/>
          <w:iCs/>
          <w:position w:val="0"/>
          <w:sz w:val="24"/>
          <w:szCs w:val="24"/>
          <w:u w:val="none"/>
          <w:vertAlign w:val="baseline"/>
          <w:lang w:val="en-GB"/>
        </w:rPr>
        <w:t>S</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u</w:t>
      </w:r>
      <w:r>
        <w:rPr>
          <w:rStyle w:val="FootnoteCharacters"/>
          <w:rFonts w:eastAsia="Times New Roman" w:cs="Times New Roman" w:ascii="Times New Roman" w:hAnsi="Times New Roman"/>
          <w:b w:val="false"/>
          <w:bCs w:val="false"/>
          <w:i/>
          <w:iCs/>
          <w:position w:val="0"/>
          <w:sz w:val="24"/>
          <w:szCs w:val="24"/>
          <w:u w:val="none"/>
          <w:vertAlign w:val="baseline"/>
          <w:lang w:val="en-GB"/>
        </w:rPr>
        <w:t>t</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h </w:t>
      </w:r>
      <w:r>
        <w:rPr>
          <w:rStyle w:val="FootnoteCharacters"/>
          <w:rFonts w:eastAsia="Times New Roman" w:cs="Times New Roman" w:ascii="Times New Roman" w:hAnsi="Times New Roman"/>
          <w:b w:val="false"/>
          <w:bCs w:val="false"/>
          <w:i/>
          <w:iCs/>
          <w:position w:val="0"/>
          <w:sz w:val="24"/>
          <w:szCs w:val="24"/>
          <w:u w:val="none"/>
          <w:vertAlign w:val="baseline"/>
          <w:lang w:val="en-GB"/>
        </w:rPr>
        <w:t>S</w:t>
      </w:r>
      <w:r>
        <w:rPr>
          <w:rStyle w:val="FootnoteCharacters"/>
          <w:rFonts w:eastAsia="Times New Roman" w:cs="Times New Roman" w:ascii="Times New Roman" w:hAnsi="Times New Roman"/>
          <w:b w:val="false"/>
          <w:bCs w:val="false"/>
          <w:i/>
          <w:iCs/>
          <w:position w:val="0"/>
          <w:sz w:val="24"/>
          <w:szCs w:val="24"/>
          <w:u w:val="none"/>
          <w:vertAlign w:val="baseline"/>
          <w:lang w:val="en-GB"/>
        </w:rPr>
        <w:t>i</w:t>
      </w:r>
      <w:r>
        <w:rPr>
          <w:rStyle w:val="FootnoteCharacters"/>
          <w:rFonts w:eastAsia="Times New Roman" w:cs="Times New Roman" w:ascii="Times New Roman" w:hAnsi="Times New Roman"/>
          <w:b w:val="false"/>
          <w:bCs w:val="false"/>
          <w:i/>
          <w:iCs/>
          <w:position w:val="0"/>
          <w:sz w:val="24"/>
          <w:szCs w:val="24"/>
          <w:u w:val="none"/>
          <w:vertAlign w:val="baseline"/>
          <w:lang w:val="en-GB"/>
        </w:rPr>
        <w:t>d</w:t>
      </w:r>
      <w:r>
        <w:rPr>
          <w:rStyle w:val="FootnoteCharacters"/>
          <w:rFonts w:eastAsia="Times New Roman" w:cs="Times New Roman" w:ascii="Times New Roman" w:hAnsi="Times New Roman"/>
          <w:b w:val="false"/>
          <w:bCs w:val="false"/>
          <w:i/>
          <w:iCs/>
          <w:position w:val="0"/>
          <w:sz w:val="24"/>
          <w:szCs w:val="24"/>
          <w:u w:val="none"/>
          <w:vertAlign w:val="baseline"/>
          <w:lang w:val="en-GB"/>
        </w:rPr>
        <w:t>e</w:t>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(New York: Columbia University Press, 2020)</w:t>
      </w:r>
    </w:p>
    <w:p>
      <w:pPr>
        <w:pStyle w:val="BodyText"/>
        <w:spacing w:lineRule="auto" w:line="480" w:before="0" w:after="200"/>
        <w:ind w:hanging="0" w:start="0"/>
        <w:jc w:val="both"/>
        <w:rPr>
          <w:rStyle w:val="FootnoteCharacters"/>
          <w:rFonts w:ascii="Times New Roman" w:hAnsi="Times New Roman" w:eastAsia="Times New Roman" w:cs="Times New Roman"/>
          <w:b w:val="false"/>
          <w:bCs w:val="false"/>
          <w:position w:val="0"/>
          <w:sz w:val="24"/>
          <w:szCs w:val="24"/>
          <w:u w:val="none"/>
          <w:vertAlign w:val="baseline"/>
          <w:lang w:val="en-GB"/>
        </w:rPr>
      </w:pPr>
      <w:r>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Barker, Martin, ‘The Newson Report: A Case Study in Common Sense’, in </w:t>
      </w:r>
      <w:r>
        <w:rPr>
          <w:rStyle w:val="Emphasis"/>
          <w:rFonts w:eastAsia="Times New Roman" w:cs="Times New Roman" w:ascii="Times New Roman" w:hAnsi="Times New Roman"/>
          <w:sz w:val="24"/>
          <w:szCs w:val="24"/>
        </w:rPr>
        <w:t>Ill Effects: The Media/Violence Debate</w:t>
      </w:r>
      <w:r>
        <w:rPr>
          <w:rFonts w:eastAsia="Times New Roman" w:cs="Times New Roman" w:ascii="Times New Roman" w:hAnsi="Times New Roman"/>
          <w:sz w:val="24"/>
          <w:szCs w:val="24"/>
        </w:rPr>
        <w:t>, 2nd edn, ed. by Martin Barker and Julian Petley (London: Routledge, 2001), pp. 25–41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Barker, Martin, and Julian Petley, eds, </w:t>
      </w:r>
      <w:r>
        <w:rPr>
          <w:rStyle w:val="Emphasis"/>
          <w:rFonts w:eastAsia="Times New Roman" w:cs="Times New Roman" w:ascii="Times New Roman" w:hAnsi="Times New Roman"/>
          <w:sz w:val="24"/>
          <w:szCs w:val="24"/>
        </w:rPr>
        <w:t>Ill Effects: The Media/Violence Debate</w:t>
      </w:r>
      <w:r>
        <w:rPr>
          <w:rFonts w:eastAsia="Times New Roman" w:cs="Times New Roman" w:ascii="Times New Roman" w:hAnsi="Times New Roman"/>
          <w:sz w:val="24"/>
          <w:szCs w:val="24"/>
        </w:rPr>
        <w:t>, 2nd edn (London: Routledge, 2001)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Cohen, Stanley, </w:t>
      </w:r>
      <w:r>
        <w:rPr>
          <w:rStyle w:val="Emphasis"/>
          <w:rFonts w:eastAsia="Times New Roman" w:cs="Times New Roman" w:ascii="Times New Roman" w:hAnsi="Times New Roman"/>
          <w:sz w:val="24"/>
          <w:szCs w:val="24"/>
        </w:rPr>
        <w:t>Folk Devils and Moral Panics: The Creation of the Mods and Rockers</w:t>
      </w:r>
      <w:r>
        <w:rPr>
          <w:rFonts w:eastAsia="Times New Roman" w:cs="Times New Roman" w:ascii="Times New Roman" w:hAnsi="Times New Roman"/>
          <w:sz w:val="24"/>
          <w:szCs w:val="24"/>
        </w:rPr>
        <w:t>, 3rd edn (London: Routledge, 2011)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Garland, David, </w:t>
      </w:r>
      <w:r>
        <w:rPr>
          <w:rStyle w:val="Emphasis"/>
          <w:rFonts w:eastAsia="Times New Roman" w:cs="Times New Roman" w:ascii="Times New Roman" w:hAnsi="Times New Roman"/>
          <w:sz w:val="24"/>
          <w:szCs w:val="24"/>
        </w:rPr>
        <w:t>The Culture of Control: Crime and Social Order in Contemporary Society</w:t>
      </w:r>
      <w:r>
        <w:rPr>
          <w:rFonts w:eastAsia="Times New Roman" w:cs="Times New Roman" w:ascii="Times New Roman" w:hAnsi="Times New Roman"/>
          <w:sz w:val="24"/>
          <w:szCs w:val="24"/>
        </w:rPr>
        <w:t xml:space="preserve"> (Oxford: Oxford University Press, 2001)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Hayward, Keith, and Oliver Smith, ‘Crime and Consumer Culture’, in </w:t>
      </w:r>
      <w:r>
        <w:rPr>
          <w:rStyle w:val="Emphasis"/>
          <w:rFonts w:eastAsia="Times New Roman" w:cs="Times New Roman" w:ascii="Times New Roman" w:hAnsi="Times New Roman"/>
          <w:sz w:val="24"/>
          <w:szCs w:val="24"/>
        </w:rPr>
        <w:t>The Oxford Handbook of Criminology</w:t>
      </w:r>
      <w:r>
        <w:rPr>
          <w:rFonts w:eastAsia="Times New Roman" w:cs="Times New Roman" w:ascii="Times New Roman" w:hAnsi="Times New Roman"/>
          <w:sz w:val="24"/>
          <w:szCs w:val="24"/>
        </w:rPr>
        <w:t>, ed. by Alison Liebling, Shadd Maruna and Lesley McAra, 7th edn (Oxford: Oxford University Press, 2023), pp. 542–64</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Osgerby, Bill, </w:t>
      </w:r>
      <w:r>
        <w:rPr>
          <w:rStyle w:val="Emphasis"/>
          <w:rFonts w:eastAsia="Times New Roman" w:cs="Times New Roman" w:ascii="Times New Roman" w:hAnsi="Times New Roman"/>
          <w:sz w:val="24"/>
          <w:szCs w:val="24"/>
        </w:rPr>
        <w:t>Youth in Britain since 1945</w:t>
      </w:r>
      <w:r>
        <w:rPr>
          <w:rFonts w:eastAsia="Times New Roman" w:cs="Times New Roman" w:ascii="Times New Roman" w:hAnsi="Times New Roman"/>
          <w:sz w:val="24"/>
          <w:szCs w:val="24"/>
        </w:rPr>
        <w:t xml:space="preserve"> (Oxford: Blackwell, 1998)</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Pearson, Geoffrey, </w:t>
      </w:r>
      <w:r>
        <w:rPr>
          <w:rStyle w:val="Emphasis"/>
          <w:rFonts w:eastAsia="Times New Roman" w:cs="Times New Roman" w:ascii="Times New Roman" w:hAnsi="Times New Roman"/>
          <w:sz w:val="24"/>
          <w:szCs w:val="24"/>
        </w:rPr>
        <w:t>Hooligan: A History of Respectable Fears</w:t>
      </w:r>
      <w:r>
        <w:rPr>
          <w:rFonts w:eastAsia="Times New Roman" w:cs="Times New Roman" w:ascii="Times New Roman" w:hAnsi="Times New Roman"/>
          <w:sz w:val="24"/>
          <w:szCs w:val="24"/>
        </w:rPr>
        <w:t xml:space="preserve"> (London: Macmillan, 1983)</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Rowbotham, Judith, Kim Stevenson and Samantha Pegg, </w:t>
      </w:r>
      <w:r>
        <w:rPr>
          <w:rStyle w:val="Emphasis"/>
          <w:rFonts w:eastAsia="Times New Roman" w:cs="Times New Roman" w:ascii="Times New Roman" w:hAnsi="Times New Roman"/>
          <w:sz w:val="24"/>
          <w:szCs w:val="24"/>
        </w:rPr>
        <w:t>Crime News in Modern Britain: Press Reporting and Responsibility, 1820–2010</w:t>
      </w:r>
      <w:r>
        <w:rPr>
          <w:rFonts w:eastAsia="Times New Roman" w:cs="Times New Roman" w:ascii="Times New Roman" w:hAnsi="Times New Roman"/>
          <w:sz w:val="24"/>
          <w:szCs w:val="24"/>
        </w:rPr>
        <w:t xml:space="preserve"> (Basingstoke: Palgrave Macmillan, 2013)</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Spergel, Irving A., ‘Youth Gangs: Continuity and Change’, </w:t>
      </w:r>
      <w:r>
        <w:rPr>
          <w:rStyle w:val="Emphasis"/>
          <w:rFonts w:eastAsia="Times New Roman" w:cs="Times New Roman" w:ascii="Times New Roman" w:hAnsi="Times New Roman"/>
          <w:sz w:val="24"/>
          <w:szCs w:val="24"/>
        </w:rPr>
        <w:t>Crime and Justice</w:t>
      </w:r>
      <w:r>
        <w:rPr>
          <w:rFonts w:eastAsia="Times New Roman" w:cs="Times New Roman" w:ascii="Times New Roman" w:hAnsi="Times New Roman"/>
          <w:sz w:val="24"/>
          <w:szCs w:val="24"/>
        </w:rPr>
        <w:t>, 12 (1990), 171–275</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Welshman, John, </w:t>
      </w:r>
      <w:r>
        <w:rPr>
          <w:rStyle w:val="Emphasis"/>
          <w:rFonts w:eastAsia="Times New Roman" w:cs="Times New Roman" w:ascii="Times New Roman" w:hAnsi="Times New Roman"/>
          <w:sz w:val="24"/>
          <w:szCs w:val="24"/>
        </w:rPr>
        <w:t>Underclass: A History of the Excluded, 1880–2000</w:t>
      </w:r>
      <w:r>
        <w:rPr>
          <w:rFonts w:eastAsia="Times New Roman" w:cs="Times New Roman" w:ascii="Times New Roman" w:hAnsi="Times New Roman"/>
          <w:sz w:val="24"/>
          <w:szCs w:val="24"/>
        </w:rPr>
        <w:t xml:space="preserve"> (London: Hambledon Continuum, 2006)</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Williamson, Howard, review of </w:t>
      </w:r>
      <w:r>
        <w:rPr>
          <w:rStyle w:val="Emphasis"/>
          <w:rFonts w:eastAsia="Times New Roman" w:cs="Times New Roman" w:ascii="Times New Roman" w:hAnsi="Times New Roman"/>
          <w:sz w:val="24"/>
          <w:szCs w:val="24"/>
        </w:rPr>
        <w:t>Hooligan: A History of Respectable Fears</w:t>
      </w:r>
      <w:r>
        <w:rPr>
          <w:rFonts w:eastAsia="Times New Roman" w:cs="Times New Roman" w:ascii="Times New Roman" w:hAnsi="Times New Roman"/>
          <w:sz w:val="24"/>
          <w:szCs w:val="24"/>
        </w:rPr>
        <w:t xml:space="preserve">, by Geoffrey Pearson, </w:t>
      </w:r>
      <w:r>
        <w:rPr>
          <w:rStyle w:val="Emphasis"/>
          <w:rFonts w:eastAsia="Times New Roman" w:cs="Times New Roman" w:ascii="Times New Roman" w:hAnsi="Times New Roman"/>
          <w:sz w:val="24"/>
          <w:szCs w:val="24"/>
        </w:rPr>
        <w:t>Sociology</w:t>
      </w:r>
      <w:r>
        <w:rPr>
          <w:rFonts w:eastAsia="Times New Roman" w:cs="Times New Roman" w:ascii="Times New Roman" w:hAnsi="Times New Roman"/>
          <w:sz w:val="24"/>
          <w:szCs w:val="24"/>
        </w:rPr>
        <w:t>, 17.4 (1983), 615–16</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Van Elteren, Mel, review of </w:t>
      </w:r>
      <w:r>
        <w:rPr>
          <w:rStyle w:val="Emphasis"/>
          <w:rFonts w:eastAsia="Times New Roman" w:cs="Times New Roman" w:ascii="Times New Roman" w:hAnsi="Times New Roman"/>
          <w:sz w:val="24"/>
          <w:szCs w:val="24"/>
        </w:rPr>
        <w:t>Youth in Britain since 1945</w:t>
      </w:r>
      <w:r>
        <w:rPr>
          <w:rFonts w:eastAsia="Times New Roman" w:cs="Times New Roman" w:ascii="Times New Roman" w:hAnsi="Times New Roman"/>
          <w:sz w:val="24"/>
          <w:szCs w:val="24"/>
        </w:rPr>
        <w:t xml:space="preserve">, by Bill Osgerby, </w:t>
      </w:r>
      <w:r>
        <w:rPr>
          <w:rStyle w:val="Emphasis"/>
          <w:rFonts w:eastAsia="Times New Roman" w:cs="Times New Roman" w:ascii="Times New Roman" w:hAnsi="Times New Roman"/>
          <w:sz w:val="24"/>
          <w:szCs w:val="24"/>
        </w:rPr>
        <w:t>International Review of Social History</w:t>
      </w:r>
      <w:r>
        <w:rPr>
          <w:rFonts w:eastAsia="Times New Roman" w:cs="Times New Roman" w:ascii="Times New Roman" w:hAnsi="Times New Roman"/>
          <w:sz w:val="24"/>
          <w:szCs w:val="24"/>
        </w:rPr>
        <w:t>, 44.2 (1999), 318–19</w:t>
      </w:r>
    </w:p>
    <w:p>
      <w:pPr>
        <w:pStyle w:val="Normal"/>
        <w:spacing w:lineRule="auto" w:line="480" w:before="0" w:after="200"/>
        <w:ind w:firstLine="708"/>
        <w:jc w:val="both"/>
        <w:rPr>
          <w:rFonts w:ascii="Times New Roman" w:hAnsi="Times New Roman" w:eastAsia="Times New Roman" w:cs="Times New Roman"/>
          <w:b w:val="false"/>
          <w:bCs w:val="false"/>
          <w:sz w:val="24"/>
          <w:szCs w:val="24"/>
          <w:u w:val="none"/>
          <w:lang w:val="en-GB"/>
        </w:rPr>
      </w:pPr>
      <w:r>
        <w:rPr>
          <w:rFonts w:eastAsia="Times New Roman" w:cs="Times New Roman" w:ascii="Times New Roman" w:hAnsi="Times New Roman"/>
          <w:b w:val="false"/>
          <w:bCs w:val="false"/>
          <w:sz w:val="24"/>
          <w:szCs w:val="24"/>
          <w:u w:val="none"/>
          <w:lang w:val="en-GB"/>
        </w:rPr>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9</w:t>
    </w:r>
    <w:r>
      <w:rPr/>
      <w:fldChar w:fldCharType="end"/>
    </w:r>
    <w:r>
      <w:rPr/>
      <w:t xml:space="preserve"> </w:t>
    </w:r>
    <w:r>
      <w:rPr/>
      <w:t xml:space="preserve">/ </w:t>
    </w:r>
    <w:r>
      <w:rPr/>
      <w:fldChar w:fldCharType="begin"/>
    </w:r>
    <w:r>
      <w:rPr/>
      <w:instrText xml:space="preserve"> NUMPAGES </w:instrText>
    </w:r>
    <w:r>
      <w:rPr/>
      <w:fldChar w:fldCharType="separate"/>
    </w:r>
    <w:r>
      <w:rPr/>
      <w:t>9</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9</w:t>
    </w:r>
    <w:r>
      <w:rPr/>
      <w:fldChar w:fldCharType="end"/>
    </w:r>
    <w:r>
      <w:rPr/>
      <w:t xml:space="preserve"> </w:t>
    </w:r>
    <w:r>
      <w:rPr/>
      <w:t xml:space="preserve">/ </w:t>
    </w:r>
    <w:r>
      <w:rPr/>
      <w:fldChar w:fldCharType="begin"/>
    </w:r>
    <w:r>
      <w:rPr/>
      <w:instrText xml:space="preserve"> NUMPAGES </w:instrText>
    </w:r>
    <w:r>
      <w:rPr/>
      <w:fldChar w:fldCharType="separate"/>
    </w:r>
    <w:r>
      <w:rPr/>
      <w:t>9</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sz w:val="20"/>
          <w:szCs w:val="20"/>
        </w:rPr>
        <w:t xml:space="preserve"> </w:t>
      </w:r>
      <w:r>
        <w:rPr>
          <w:rFonts w:eastAsia="Times New Roman" w:cs="Times New Roman"/>
          <w:sz w:val="20"/>
          <w:szCs w:val="20"/>
        </w:rPr>
        <w:t>Barker, M., and J. Petley, eds,</w:t>
      </w:r>
      <w:r>
        <w:rPr>
          <w:rFonts w:eastAsia="Times New Roman" w:cs="Times New Roman"/>
          <w:i/>
          <w:iCs/>
          <w:sz w:val="20"/>
          <w:szCs w:val="20"/>
        </w:rPr>
        <w:t xml:space="preserve"> Ill Effects: The Media/Violence Debate</w:t>
      </w:r>
      <w:r>
        <w:rPr>
          <w:rFonts w:eastAsia="Times New Roman" w:cs="Times New Roman"/>
          <w:sz w:val="20"/>
          <w:szCs w:val="20"/>
        </w:rPr>
        <w:t>, 2nd edn (London: Routledge, 2001)</w:t>
      </w:r>
      <w:r>
        <w:rPr>
          <w:rFonts w:eastAsia="Times New Roman" w:cs="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sz w:val="20"/>
          <w:szCs w:val="20"/>
        </w:rPr>
        <w:t xml:space="preserve"> </w:t>
      </w:r>
      <w:r>
        <w:rPr>
          <w:rFonts w:eastAsia="Times New Roman" w:cs="Times New Roman"/>
          <w:color w:themeColor="text1" w:val="000000"/>
          <w:sz w:val="20"/>
          <w:szCs w:val="20"/>
          <w:lang w:val="en-GB"/>
        </w:rPr>
        <w:t xml:space="preserve">S. Cohen, </w:t>
      </w:r>
      <w:r>
        <w:rPr>
          <w:rFonts w:eastAsia="Times New Roman" w:cs="Times New Roman"/>
          <w:i/>
          <w:iCs/>
          <w:color w:themeColor="text1" w:val="000000"/>
          <w:sz w:val="20"/>
          <w:szCs w:val="20"/>
          <w:lang w:val="en-GB"/>
        </w:rPr>
        <w:t>Folk Devils and Moral Panics: The Creation of the Mods and Rockers</w:t>
      </w:r>
      <w:r>
        <w:rPr>
          <w:rFonts w:eastAsia="Times New Roman" w:cs="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Cohen, </w:t>
      </w:r>
      <w:r>
        <w:rPr>
          <w:rFonts w:eastAsia="Times New Roman" w:cs="Times New Roman"/>
          <w:i/>
          <w:iCs/>
          <w:sz w:val="20"/>
          <w:szCs w:val="20"/>
        </w:rPr>
        <w:t>Folk Devils and Moral Panics</w:t>
      </w:r>
      <w:r>
        <w:rPr>
          <w:rFonts w:eastAsia="Times New Roman" w:cs="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lang w:val="en-US"/>
        </w:rPr>
        <w:t xml:space="preserve"> </w:t>
      </w:r>
      <w:r>
        <w:rPr>
          <w:rFonts w:eastAsia="Times New Roman" w:cs="Times New Roman"/>
          <w:lang w:val="en-US"/>
        </w:rPr>
        <w:t xml:space="preserve">Martin Barker, ‘The Newson Report: A Case Study in Common Sense’, in </w:t>
      </w:r>
      <w:r>
        <w:rPr>
          <w:rFonts w:eastAsia="Times New Roman" w:cs="Times New Roman"/>
          <w:i/>
          <w:iCs/>
          <w:lang w:val="en-US"/>
        </w:rPr>
        <w:t>Ill Effects</w:t>
      </w:r>
      <w:r>
        <w:rPr>
          <w:rFonts w:eastAsia="Times New Roman" w:cs="Times New Roman"/>
          <w:i/>
          <w:iCs/>
          <w:sz w:val="20"/>
          <w:szCs w:val="20"/>
        </w:rPr>
        <w:t>: The Media/Violence Debate</w:t>
      </w:r>
      <w:r>
        <w:rPr>
          <w:rFonts w:eastAsia="Times New Roman" w:cs="Times New Roman"/>
          <w:sz w:val="20"/>
          <w:szCs w:val="20"/>
        </w:rPr>
        <w:t>, 2nd edn (London: Routledge, 2001)</w:t>
      </w:r>
      <w:r>
        <w:rPr>
          <w:rFonts w:eastAsia="Times New Roman" w:cs="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lang w:val="en-US"/>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sz w:val="20"/>
          <w:szCs w:val="20"/>
        </w:rPr>
        <w:t xml:space="preserve">Cohen, </w:t>
      </w:r>
      <w:r>
        <w:rPr>
          <w:rFonts w:eastAsia="Times New Roman" w:cs="Times New Roman"/>
          <w:i/>
          <w:iCs/>
          <w:sz w:val="20"/>
          <w:szCs w:val="20"/>
        </w:rPr>
        <w:t>Folk Devils and Moral Panics</w:t>
      </w:r>
      <w:r>
        <w:rPr>
          <w:rFonts w:eastAsia="Times New Roman" w:cs="Times New Roman"/>
          <w:i w:val="false"/>
          <w:iCs w:val="false"/>
          <w:sz w:val="20"/>
          <w:szCs w:val="20"/>
        </w:rPr>
        <w:t xml:space="preserve">, p. 3. </w:t>
      </w:r>
    </w:p>
  </w:footnote>
  <w:footnote w:id="15">
    <w:p>
      <w:pPr>
        <w:pStyle w:val="FootnoteText"/>
        <w:rPr/>
      </w:pPr>
      <w:r>
        <w:rPr>
          <w:rStyle w:val="FootnoteCharacters"/>
        </w:rPr>
        <w:footnoteRef/>
      </w:r>
      <w:r>
        <w:rPr/>
        <w:t xml:space="preserve"> </w:t>
      </w:r>
      <w:r>
        <w:rPr/>
        <w:t xml:space="preserve">Howard Williamson, review of </w:t>
      </w:r>
      <w:r>
        <w:rPr>
          <w:i/>
          <w:iCs/>
        </w:rPr>
        <w:t xml:space="preserve">Hooligan: A History of Respectable Fears, </w:t>
      </w:r>
      <w:r>
        <w:rPr>
          <w:i w:val="false"/>
          <w:iCs w:val="false"/>
        </w:rPr>
        <w:t xml:space="preserve">by Geoffrey Pearson, </w:t>
      </w:r>
      <w:r>
        <w:rPr>
          <w:i/>
          <w:iCs/>
        </w:rPr>
        <w:t xml:space="preserve">Sociology, </w:t>
      </w:r>
      <w:r>
        <w:rPr>
          <w:i w:val="false"/>
          <w:iCs w:val="false"/>
        </w:rPr>
        <w:t>17.4 (1983), p. 615.</w:t>
      </w:r>
    </w:p>
  </w:footnote>
  <w:footnote w:id="16">
    <w:p>
      <w:pPr>
        <w:pStyle w:val="FootnoteText"/>
        <w:rPr>
          <w:rFonts w:ascii="Times New Roman" w:hAnsi="Times New Roman"/>
        </w:rPr>
      </w:pPr>
      <w:r>
        <w:rPr>
          <w:rStyle w:val="FootnoteCharacters"/>
        </w:rPr>
        <w:footnoteRef/>
      </w:r>
      <w:r>
        <w:rPr/>
        <w:t xml:space="preserve"> </w:t>
      </w:r>
      <w:r>
        <w:rPr/>
        <w:t xml:space="preserve">Williamson, </w:t>
      </w:r>
      <w:r>
        <w:rPr>
          <w:i/>
          <w:iCs/>
        </w:rPr>
        <w:t>Hooligan,</w:t>
      </w:r>
      <w:r>
        <w:rPr>
          <w:i w:val="false"/>
          <w:iCs w:val="false"/>
        </w:rPr>
        <w:t xml:space="preserve"> p. 615. </w:t>
      </w:r>
    </w:p>
  </w:footnote>
  <w:footnote w:id="17">
    <w:p>
      <w:pPr>
        <w:pStyle w:val="FootnoteText"/>
        <w:rPr/>
      </w:pPr>
      <w:r>
        <w:rPr>
          <w:rStyle w:val="FootnoteCharacters"/>
        </w:rPr>
        <w:footnoteRef/>
      </w:r>
      <w:r>
        <w:rPr/>
        <w:t xml:space="preserve"> </w:t>
      </w:r>
      <w:r>
        <w:rPr/>
        <w:t xml:space="preserve">Williamson, </w:t>
      </w:r>
      <w:r>
        <w:rPr>
          <w:i/>
          <w:iCs/>
        </w:rPr>
        <w:t>Hooligan,</w:t>
      </w:r>
      <w:r>
        <w:rPr>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 w:id="28">
    <w:p>
      <w:pPr>
        <w:pStyle w:val="FootnoteText"/>
        <w:rPr/>
      </w:pPr>
      <w:r>
        <w:rPr>
          <w:rStyle w:val="FootnoteCharacters"/>
        </w:rPr>
        <w:footnoteRef/>
      </w:r>
      <w:r>
        <w:rPr/>
        <w:t xml:space="preserve"> </w:t>
      </w:r>
      <w:r>
        <w:rPr/>
        <w:t xml:space="preserve">Welshman, </w:t>
      </w:r>
      <w:r>
        <w:rPr>
          <w:i/>
          <w:iCs/>
        </w:rPr>
        <w:t>Underclass</w:t>
      </w:r>
      <w:r>
        <w:rPr>
          <w:i w:val="false"/>
          <w:iCs w:val="false"/>
        </w:rPr>
        <w:t>, p. 141.</w:t>
      </w:r>
    </w:p>
  </w:footnote>
  <w:footnote w:id="29">
    <w:p>
      <w:pPr>
        <w:pStyle w:val="FootnoteText"/>
        <w:rPr/>
      </w:pPr>
      <w:r>
        <w:rPr>
          <w:rStyle w:val="FootnoteCharacters"/>
        </w:rPr>
        <w:footnoteRef/>
      </w:r>
      <w:r>
        <w:rPr/>
        <w:t xml:space="preserve">Welshman, </w:t>
      </w:r>
      <w:r>
        <w:rPr>
          <w:i/>
          <w:iCs/>
        </w:rPr>
        <w:t>Underclass</w:t>
      </w:r>
      <w:r>
        <w:rPr>
          <w:i w:val="false"/>
          <w:iCs w:val="false"/>
        </w:rPr>
        <w:t xml:space="preserve">, p. 134-136. </w:t>
      </w:r>
    </w:p>
  </w:footnote>
  <w:footnote w:id="30">
    <w:p>
      <w:pPr>
        <w:pStyle w:val="FootnoteText"/>
        <w:rPr/>
      </w:pPr>
      <w:r>
        <w:rPr>
          <w:rStyle w:val="FootnoteCharacters"/>
        </w:rPr>
        <w:footnoteRef/>
      </w:r>
      <w:r>
        <w:rPr/>
        <w:t xml:space="preserve"> </w:t>
      </w:r>
      <w:r>
        <w:rPr/>
        <w:t xml:space="preserve">David Garland, </w:t>
      </w:r>
      <w:r>
        <w:rPr>
          <w:i/>
          <w:iCs/>
        </w:rPr>
        <w:t>The Culture of Control: Crime and Social Order in Contemporary Society</w:t>
      </w:r>
      <w:r>
        <w:rPr>
          <w:i w:val="false"/>
          <w:iCs w:val="false"/>
        </w:rPr>
        <w:t xml:space="preserve"> (Oxford: Oxford University Press, 2001), p. 102.</w:t>
      </w:r>
    </w:p>
  </w:footnote>
  <w:footnote w:id="31">
    <w:p>
      <w:pPr>
        <w:pStyle w:val="FootnoteText"/>
        <w:rPr/>
      </w:pPr>
      <w:r>
        <w:rPr>
          <w:rStyle w:val="FootnoteCharacters"/>
        </w:rPr>
        <w:footnoteRef/>
      </w:r>
      <w:r>
        <w:rPr/>
        <w:t xml:space="preserve"> </w:t>
      </w:r>
      <w:r>
        <w:rPr/>
        <w:t xml:space="preserve">Garland, </w:t>
      </w:r>
      <w:r>
        <w:rPr>
          <w:i/>
          <w:iCs/>
        </w:rPr>
        <w:t>The Culture of Control</w:t>
      </w:r>
      <w:r>
        <w:rPr>
          <w:i w:val="false"/>
          <w:iCs w:val="false"/>
        </w:rPr>
        <w:t>, p. 82.</w:t>
      </w:r>
    </w:p>
  </w:footnote>
  <w:footnote w:id="32">
    <w:p>
      <w:pPr>
        <w:pStyle w:val="FootnoteText"/>
        <w:rPr/>
      </w:pPr>
      <w:r>
        <w:rPr>
          <w:rStyle w:val="FootnoteCharacters"/>
        </w:rPr>
        <w:footnoteRef/>
      </w:r>
      <w:r>
        <w:rPr/>
        <w:t xml:space="preserve"> </w:t>
      </w:r>
      <w:r>
        <w:rPr/>
        <w:t xml:space="preserve">Garland, </w:t>
      </w:r>
      <w:r>
        <w:rPr>
          <w:i/>
          <w:iCs/>
        </w:rPr>
        <w:t xml:space="preserve">The Culture of Control, </w:t>
      </w:r>
      <w:r>
        <w:rPr>
          <w:i w:val="false"/>
          <w:iCs w:val="false"/>
        </w:rPr>
        <w:t>p. 82.</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502</TotalTime>
  <Application>LibreOffice/25.8.4.2$Linux_X86_64 LibreOffice_project/580$Build-2</Application>
  <AppVersion>15.0000</AppVersion>
  <Pages>9</Pages>
  <Words>2723</Words>
  <Characters>14698</Characters>
  <CharactersWithSpaces>17399</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2026-01-21T20:03:38Z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file>