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America?(post 1950)</w:t>
      </w:r>
    </w:p>
    <w:p>
      <w:pPr>
        <w:pStyle w:val="Normal"/>
        <w:spacing w:lineRule="auto" w:line="480"/>
        <w:jc w:val="center"/>
        <w:rPr>
          <w:rFonts w:ascii="Times New Roman" w:hAnsi="Times New Roman" w:eastAsia="Times New Roman" w:cs="Times New Roman"/>
          <w:b/>
          <w:bCs/>
          <w:sz w:val="32"/>
          <w:szCs w:val="32"/>
          <w:highlight w:val="none"/>
          <w:u w:val="single"/>
          <w:shd w:fill="FFFF00" w:val="clear"/>
          <w:lang w:val="en-GB"/>
        </w:rPr>
      </w:pPr>
      <w:r>
        <w:rPr>
          <w:rFonts w:eastAsia="Times New Roman" w:cs="Times New Roman" w:ascii="Times New Roman" w:hAnsi="Times New Roman"/>
          <w:b/>
          <w:bCs/>
          <w:sz w:val="32"/>
          <w:szCs w:val="32"/>
          <w:u w:val="singl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w:t>
      </w:r>
      <w:r>
        <w:rPr>
          <w:rFonts w:eastAsia="Times New Roman" w:cs="Times New Roman" w:ascii="Times New Roman" w:hAnsi="Times New Roman"/>
          <w:b w:val="false"/>
          <w:bCs w:val="false"/>
          <w:sz w:val="24"/>
          <w:szCs w:val="24"/>
          <w:u w:val="none"/>
          <w:lang w:val="en-GB"/>
        </w:rPr>
        <w:t xml:space="preserve"> </w:t>
      </w:r>
      <w:r>
        <w:rPr>
          <w:rFonts w:ascii="Times New Roman" w:hAnsi="Times New Roman"/>
          <w:sz w:val="24"/>
          <w:szCs w:val="24"/>
        </w:rPr>
        <w:t>A more nuanced analysis instead highlights the role of structural factors such as economic exclusion, inequality, and state neglect as the true drivers of disorder.</w:t>
      </w:r>
      <w:r>
        <w:rPr>
          <w:rFonts w:eastAsia="Times New Roman" w:cs="Times New Roman" w:ascii="Times New Roman" w:hAnsi="Times New Roman"/>
          <w:b w:val="false"/>
          <w:bCs w:val="false"/>
          <w:sz w:val="24"/>
          <w:szCs w:val="24"/>
          <w:u w:val="none"/>
          <w:lang w:val="en-GB"/>
        </w:rPr>
        <w:t xml:space="preserve">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Analysing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influential cultural explanations for rising disorder focused on cinema and mass media, which were widely accused of corrupting youth and encouraging violence.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 xml:space="preserve">This functions as a mechanism of social control to divert attention away from the true causes of criminal behaviour. </w:t>
      </w:r>
      <w:r>
        <w:rPr>
          <w:rFonts w:ascii="Times New Roman" w:hAnsi="Times New Roman"/>
          <w:sz w:val="24"/>
          <w:szCs w:val="24"/>
        </w:rPr>
        <w:t>By repeatedly circulating images of dangerous youth and their consumption of American-made entertainment, the media positioned these groups as convenient scapegoats.</w:t>
      </w:r>
      <w:r>
        <w:rPr>
          <w:rFonts w:eastAsia="Times New Roman" w:cs="Times New Roman" w:ascii="Times New Roman" w:hAnsi="Times New Roman"/>
          <w:b w:val="false"/>
          <w:bCs w:val="false"/>
          <w:sz w:val="24"/>
          <w:szCs w:val="24"/>
          <w:u w:val="none"/>
          <w:lang w:val="en-GB"/>
        </w:rPr>
        <w:t xml:space="preserve"> </w:t>
      </w:r>
      <w:r>
        <w:rPr>
          <w:rFonts w:eastAsia="Times New Roman" w:cs="Times New Roman" w:ascii="Times New Roman" w:hAnsi="Times New Roman"/>
          <w:b w:val="false"/>
          <w:bCs w:val="false"/>
          <w:sz w:val="24"/>
          <w:szCs w:val="24"/>
          <w:u w:val="none"/>
          <w:lang w:val="en-GB"/>
        </w:rPr>
        <w:t>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A second major site of cultural blame centred on youth street cultures, particularly hooliganism and gangs, which were portrayed as self-generating sources of violence in both Britain and the United States.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.Examining the UK experience more closely, reveals that </w:t>
      </w:r>
      <w:r>
        <w:rPr>
          <w:rStyle w:val="FootnoteCharacters"/>
          <w:rFonts w:eastAsia="Times New Roman" w:cs="Times New Roman" w:ascii="Times New Roman" w:hAnsi="Times New Roman"/>
          <w:b w:val="false"/>
          <w:bCs w:val="false"/>
          <w:position w:val="0"/>
          <w:sz w:val="24"/>
          <w:szCs w:val="24"/>
          <w:u w:val="none"/>
          <w:vertAlign w:val="baseline"/>
          <w:lang w:val="en-GB"/>
        </w:rPr>
        <w:t>British society has repeatedly constructed new ‘folk devils’ to embody perceived social decline, resulting in what Cohen terms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w:t>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
          <w:rFonts w:eastAsia="Times New Roman" w:cs="Times New Roman" w:ascii="Times New Roman" w:hAnsi="Times New Roman"/>
          <w:b w:val="false"/>
          <w:bCs w:val="false"/>
          <w:position w:val="0"/>
          <w:sz w:val="24"/>
          <w:szCs w:val="24"/>
          <w:u w:val="none"/>
          <w:shd w:fill="auto" w:val="clear"/>
          <w:vertAlign w:val="baseline"/>
          <w:lang w:val="en-GB"/>
        </w:rPr>
        <w:t xml:space="preserve">This shifting focus is clearly illustrated by the transition from the Mod as a symbol of deviance in the 1960s to the football hooligan in the late twentieth century. </w:t>
      </w:r>
      <w:r>
        <w:rPr>
          <w:rStyle w:val="FootnoteCharactersuser"/>
          <w:rFonts w:eastAsia="Times New Roman" w:cs="Times New Roman" w:ascii="Times New Roman" w:hAnsi="Times New Roman"/>
          <w:b w:val="false"/>
          <w:bCs w:val="false"/>
          <w:position w:val="0"/>
          <w:sz w:val="24"/>
          <w:szCs w:val="24"/>
          <w:u w:val="none"/>
          <w:vertAlign w:val="baseline"/>
          <w:lang w:val="en-GB"/>
        </w:rPr>
        <w:t>It also serves as a robust defence against the "media effects" argument; because hooliganism is far from a new phenomenon caused by cinema, it must be understood as a “stable feature of a changing society”</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The state focuses on these groups on purpose, to find a “convenient metaphor for wider social tensions”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As with the earlier mentioned media panics, these responses often reflected heightened fear and overt focus rather than a demonstratable increase in violence itself.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A final cultural explanation for rising anti-social behaviour emerged through the notion of an ‘underclass’, which framed poverty and disorder as products of flawed values rather than structural exclusion. In the British context, this cultural blame is most evident in the adoption of the term “underclass”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for branded designs, where for young people not having the ‘right’ fashion was not merely an annoyance, it was shameful. Consequently the inability to participate in consumerism is made to feel like a “state of humiliation”</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r>
        <w:rPr>
          <w:rStyle w:val="FootnoteCharactersuser"/>
          <w:rFonts w:eastAsia="Times New Roman" w:cs="Times New Roman" w:ascii="Times New Roman" w:hAnsi="Times New Roman"/>
          <w:b w:val="false"/>
          <w:bCs w:val="false"/>
          <w:position w:val="0"/>
          <w:sz w:val="24"/>
          <w:szCs w:val="24"/>
          <w:u w:val="none"/>
          <w:vertAlign w:val="baseline"/>
          <w:lang w:val="en-GB"/>
        </w:rPr>
        <w:t>, a feeling which erupted in 2011 as “consumer riots”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6"/>
      </w:r>
      <w:r>
        <w:rPr>
          <w:rStyle w:val="FootnoteCharactersuser"/>
          <w:rFonts w:eastAsia="Times New Roman" w:cs="Times New Roman" w:ascii="Times New Roman" w:hAnsi="Times New Roman"/>
          <w:b w:val="false"/>
          <w:bCs w:val="false"/>
          <w:position w:val="0"/>
          <w:sz w:val="24"/>
          <w:szCs w:val="24"/>
          <w:u w:val="none"/>
          <w:vertAlign w:val="baseline"/>
          <w:lang w:val="en-GB"/>
        </w:rPr>
        <w:t>. These riots were far from a display of political display or an outbreak of hooligan culture, they were a reaction to the deep-set anti-social behaviour among young people surrounding fashion, but on a deeper level economic worth. The actions of the rioters, targeting high-end trainers and electronics, signalled that the rioters were illustrating a “deep commitment to the ideology of consumer capitalism”</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which they had been economically excluded. In the United States, the argument shifts from a focus on consumer envy to the labour market, yet the tendency to blame ‘culture’ remains the same. Here, it is commonly argued in political discourse that the “underclass”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exists because of moral failure. The popular argument among social historians such as Murray frame poverty as “rational choices [where] […] the poor were encouraged to behave in ways that were advantageous in the short term but destructive in the long term”</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9"/>
      </w:r>
      <w:r>
        <w:rPr>
          <w:rStyle w:val="FootnoteCharactersuser"/>
          <w:rFonts w:eastAsia="Times New Roman" w:cs="Times New Roman" w:ascii="Times New Roman" w:hAnsi="Times New Roman"/>
          <w:b w:val="false"/>
          <w:bCs w:val="false"/>
          <w:position w:val="0"/>
          <w:sz w:val="24"/>
          <w:szCs w:val="24"/>
          <w:u w:val="none"/>
          <w:vertAlign w:val="baseline"/>
          <w:lang w:val="en-GB"/>
        </w:rPr>
        <w:t>. This suggests that the poorer in society actively make the decision to rely on welfare rather than to work, effectively arguing that a culture of dependency is the root cause of their poverty. This serves as a powerful narrative “through which to view the poor – as undeserving, deviant [and], dangerous”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30"/>
      </w:r>
      <w:r>
        <w:rPr>
          <w:rStyle w:val="FootnoteCharactersuser"/>
          <w:rFonts w:eastAsia="Times New Roman" w:cs="Times New Roman" w:ascii="Times New Roman" w:hAnsi="Times New Roman"/>
          <w:b w:val="false"/>
          <w:bCs w:val="false"/>
          <w:position w:val="0"/>
          <w:sz w:val="24"/>
          <w:szCs w:val="24"/>
          <w:u w:val="none"/>
          <w:vertAlign w:val="baseline"/>
          <w:lang w:val="en-GB"/>
        </w:rPr>
        <w:t>, allowing the state to justify cutting support systems. However the collapse of inner city work is not due to laziness, but due to a “sharply stratified labour market”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3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that emerged in the late twentieth century. In this new economy, secure jobs for low-skilled workers effectively vanished. Therefore the rise in crime and poverty is not the result of a bad culture, but the consequence of an economic reality where whole sectors of the population have been “systemically excluded”</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32"/>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the workforce. Thus, what the state labels as a cultural refusal to work is, in reality, a structural inability to access the legitimate economy. Crucially, this exclusion does not remove the pressure to consume. In a society where status is defined by brand ownership and fashion, those locked out of the labour market are left in a bind. They possess the desire for these cultural symbols but lack the legal means to acquire them. Therefore, the crime that follows is often a desperate attempt to bridge the gap between their economic exclusion and their consumerist aspirations.</w:t>
      </w:r>
    </w:p>
    <w:p>
      <w:pPr>
        <w:pStyle w:val="Normal"/>
        <w:spacing w:lineRule="auto" w:line="48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On the surface it does appear that cultural phenomena can be blamed for the perceived rise in anti-social and criminal behaviour in post-1950 Britain and America. Whilst it seems as though cinema, youth subcultures, and consumer fashion are sources of disorder, it becomes clear upon further inspection that these are merely scapegoats, and by products of the true causes of a rise in disorder and criminal behaviour. The cultural forms have served primarily as symbols through which social anxieties are expressed rather than independent drivers of crime. In each case examined in this case reveal how cultural blame obscured deeper structural realities including economic exclusion, labour market collapse and the retreat of state support. The persistence of cultural explanations reflects their political convenience as they offer clear targets for moral condemnation while diverting attention away from the systemic inequality which they are unwilling to acknowledge. Ultimately whilst it at first appears to be cultural phenomena that drives disorder, it is in reality a response to structural failures and those structural failures are the true drivers of disorder, revealing more about society’s unwillingness to confront inequality than about the effect on crime itself.</w:t>
      </w:r>
    </w:p>
    <w:p>
      <w:pPr>
        <w:pStyle w:val="Normal"/>
        <w:spacing w:lineRule="auto" w:line="480"/>
        <w:ind w:firstLine="708"/>
        <w:jc w:val="both"/>
        <w:rPr>
          <w:rStyle w:val="FootnoteCharactersuser"/>
          <w:rFonts w:ascii="Times New Roman" w:hAnsi="Times New Roman" w:eastAsia="Times New Roman" w:cs="Times New Roman"/>
          <w:b w:val="false"/>
          <w:bCs w:val="false"/>
          <w:position w:val="0"/>
          <w:sz w:val="24"/>
          <w:szCs w:val="24"/>
          <w:u w:val="none"/>
          <w:vertAlign w:val="baseline"/>
          <w:lang w:val="en-GB"/>
        </w:rPr>
      </w:pPr>
      <w:r>
        <w:rPr>
          <w:rFonts w:eastAsia="Times New Roman" w:cs="Times New Roman" w:ascii="Times New Roman" w:hAnsi="Times New Roman"/>
          <w:b w:val="false"/>
          <w:bCs w:val="false"/>
          <w:position w:val="0"/>
          <w:sz w:val="24"/>
          <w:szCs w:val="24"/>
          <w:u w:val="none"/>
          <w:vertAlign w:val="baseline"/>
          <w:lang w:val="en-GB"/>
        </w:rPr>
      </w:r>
    </w:p>
    <w:p>
      <w:pPr>
        <w:pStyle w:val="Normal"/>
        <w:spacing w:lineRule="auto" w:line="480"/>
        <w:ind w:firstLine="708"/>
        <w:jc w:val="center"/>
        <w:rPr/>
      </w:pPr>
      <w:r>
        <w:rPr>
          <w:rStyle w:val="FootnoteCharactersuser"/>
          <w:rFonts w:eastAsia="Times New Roman" w:cs="Times New Roman" w:ascii="Times New Roman" w:hAnsi="Times New Roman"/>
          <w:b/>
          <w:bCs/>
          <w:position w:val="0"/>
          <w:sz w:val="28"/>
          <w:szCs w:val="28"/>
          <w:u w:val="single"/>
          <w:vertAlign w:val="baseline"/>
          <w:lang w:val="en-GB"/>
        </w:rPr>
        <w:t>Bibliography</w:t>
      </w:r>
    </w:p>
    <w:p>
      <w:pPr>
        <w:pStyle w:val="BodyText"/>
        <w:spacing w:lineRule="auto" w:line="480" w:before="0" w:after="200"/>
        <w:ind w:hanging="0" w:start="0"/>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Aspholm, Roberto R., </w:t>
      </w:r>
      <w:r>
        <w:rPr>
          <w:rStyle w:val="FootnoteCharactersuser"/>
          <w:rFonts w:eastAsia="Times New Roman" w:cs="Times New Roman" w:ascii="Times New Roman" w:hAnsi="Times New Roman"/>
          <w:b w:val="false"/>
          <w:bCs w:val="false"/>
          <w:i/>
          <w:iCs/>
          <w:position w:val="0"/>
          <w:sz w:val="24"/>
          <w:szCs w:val="24"/>
          <w:u w:val="none"/>
          <w:vertAlign w:val="baseline"/>
          <w:lang w:val="en-GB"/>
        </w:rPr>
        <w:t>Views from the Streets: The Transformation of Gangs and Violence on Chicago’s South Side</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(New York: Columbia University Press, 2020)</w:t>
      </w:r>
    </w:p>
    <w:p>
      <w:pPr>
        <w:pStyle w:val="BodyText"/>
        <w:spacing w:lineRule="auto" w:line="480" w:before="0" w:after="200"/>
        <w:ind w:hanging="0" w:start="0"/>
        <w:jc w:val="both"/>
        <w:rPr>
          <w:rStyle w:val="FootnoteCharactersuser"/>
          <w:rFonts w:ascii="Times New Roman" w:hAnsi="Times New Roman" w:eastAsia="Times New Roman" w:cs="Times New Roman"/>
          <w:b w:val="false"/>
          <w:bCs w:val="false"/>
          <w:position w:val="0"/>
          <w:sz w:val="24"/>
          <w:szCs w:val="24"/>
          <w:u w:val="none"/>
          <w:vertAlign w:val="baseline"/>
          <w:lang w:val="en-GB"/>
        </w:rPr>
      </w:pPr>
      <w:r>
        <w:rPr>
          <w:rFonts w:eastAsia="Times New Roman" w:cs="Times New Roman" w:ascii="Times New Roman" w:hAnsi="Times New Roman"/>
          <w:b w:val="false"/>
          <w:bCs w:val="false"/>
          <w:position w:val="0"/>
          <w:sz w:val="24"/>
          <w:szCs w:val="24"/>
          <w:u w:val="none"/>
          <w:vertAlign w:val="baseline"/>
          <w:lang w:val="en-GB"/>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Barker, Martin, ‘The Newson Report: A Case Study in Common Sense’, in </w:t>
      </w:r>
      <w:r>
        <w:rPr>
          <w:rStyle w:val="Emphasis"/>
          <w:rFonts w:eastAsia="Times New Roman" w:cs="Times New Roman" w:ascii="Times New Roman" w:hAnsi="Times New Roman"/>
          <w:sz w:val="24"/>
          <w:szCs w:val="24"/>
        </w:rPr>
        <w:t>Ill Effects: The Media/Violence Debate</w:t>
      </w:r>
      <w:r>
        <w:rPr>
          <w:rFonts w:eastAsia="Times New Roman" w:cs="Times New Roman" w:ascii="Times New Roman" w:hAnsi="Times New Roman"/>
          <w:sz w:val="24"/>
          <w:szCs w:val="24"/>
        </w:rPr>
        <w:t>, 2nd edn, ed. by Martin Barker and Julian Petley (London: Routledge, 2001), pp. 25–41</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Barker, Martin, and Julian Petley, eds, </w:t>
      </w:r>
      <w:r>
        <w:rPr>
          <w:rStyle w:val="Emphasis"/>
          <w:rFonts w:eastAsia="Times New Roman" w:cs="Times New Roman" w:ascii="Times New Roman" w:hAnsi="Times New Roman"/>
          <w:sz w:val="24"/>
          <w:szCs w:val="24"/>
        </w:rPr>
        <w:t>Ill Effects: The Media/Violence Debate</w:t>
      </w:r>
      <w:r>
        <w:rPr>
          <w:rFonts w:eastAsia="Times New Roman" w:cs="Times New Roman" w:ascii="Times New Roman" w:hAnsi="Times New Roman"/>
          <w:sz w:val="24"/>
          <w:szCs w:val="24"/>
        </w:rPr>
        <w:t>, 2nd edn (London: Routledge, 2001)</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Cohen, Stanley, </w:t>
      </w:r>
      <w:r>
        <w:rPr>
          <w:rStyle w:val="Emphasis"/>
          <w:rFonts w:eastAsia="Times New Roman" w:cs="Times New Roman" w:ascii="Times New Roman" w:hAnsi="Times New Roman"/>
          <w:sz w:val="24"/>
          <w:szCs w:val="24"/>
        </w:rPr>
        <w:t>Folk Devils and Moral Panics: The Creation of the Mods and Rockers</w:t>
      </w:r>
      <w:r>
        <w:rPr>
          <w:rFonts w:eastAsia="Times New Roman" w:cs="Times New Roman" w:ascii="Times New Roman" w:hAnsi="Times New Roman"/>
          <w:sz w:val="24"/>
          <w:szCs w:val="24"/>
        </w:rPr>
        <w:t>, 3rd edn (London: Routledge, 2011)</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Garland, David, </w:t>
      </w:r>
      <w:r>
        <w:rPr>
          <w:rStyle w:val="Emphasis"/>
          <w:rFonts w:eastAsia="Times New Roman" w:cs="Times New Roman" w:ascii="Times New Roman" w:hAnsi="Times New Roman"/>
          <w:sz w:val="24"/>
          <w:szCs w:val="24"/>
        </w:rPr>
        <w:t>The Culture of Control: Crime and Social Order in Contemporary Society</w:t>
      </w:r>
      <w:r>
        <w:rPr>
          <w:rFonts w:eastAsia="Times New Roman" w:cs="Times New Roman" w:ascii="Times New Roman" w:hAnsi="Times New Roman"/>
          <w:sz w:val="24"/>
          <w:szCs w:val="24"/>
        </w:rPr>
        <w:t xml:space="preserve"> (Oxford: Oxford University Press, 2001)</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Hayward, Keith, and Oliver Smith, ‘Crime and Consumer Culture’, in </w:t>
      </w:r>
      <w:r>
        <w:rPr>
          <w:rStyle w:val="Emphasis"/>
          <w:rFonts w:eastAsia="Times New Roman" w:cs="Times New Roman" w:ascii="Times New Roman" w:hAnsi="Times New Roman"/>
          <w:sz w:val="24"/>
          <w:szCs w:val="24"/>
        </w:rPr>
        <w:t>The Oxford Handbook of Criminology</w:t>
      </w:r>
      <w:r>
        <w:rPr>
          <w:rFonts w:eastAsia="Times New Roman" w:cs="Times New Roman" w:ascii="Times New Roman" w:hAnsi="Times New Roman"/>
          <w:sz w:val="24"/>
          <w:szCs w:val="24"/>
        </w:rPr>
        <w:t>, ed. by Alison Liebling, Shadd Maruna and Lesley McAra, 7th edn (Oxford: Oxford University Press, 2023), pp. 542–64</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Osgerby, Bill, </w:t>
      </w:r>
      <w:r>
        <w:rPr>
          <w:rStyle w:val="Emphasis"/>
          <w:rFonts w:eastAsia="Times New Roman" w:cs="Times New Roman" w:ascii="Times New Roman" w:hAnsi="Times New Roman"/>
          <w:sz w:val="24"/>
          <w:szCs w:val="24"/>
        </w:rPr>
        <w:t>Youth in Britain since 1945</w:t>
      </w:r>
      <w:r>
        <w:rPr>
          <w:rFonts w:eastAsia="Times New Roman" w:cs="Times New Roman" w:ascii="Times New Roman" w:hAnsi="Times New Roman"/>
          <w:sz w:val="24"/>
          <w:szCs w:val="24"/>
        </w:rPr>
        <w:t xml:space="preserve"> (Oxford: Blackwell, 1998)</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Pearson, Geoffrey, </w:t>
      </w:r>
      <w:r>
        <w:rPr>
          <w:rStyle w:val="Emphasis"/>
          <w:rFonts w:eastAsia="Times New Roman" w:cs="Times New Roman" w:ascii="Times New Roman" w:hAnsi="Times New Roman"/>
          <w:sz w:val="24"/>
          <w:szCs w:val="24"/>
        </w:rPr>
        <w:t>Hooligan: A History of Respectable Fears</w:t>
      </w:r>
      <w:r>
        <w:rPr>
          <w:rFonts w:eastAsia="Times New Roman" w:cs="Times New Roman" w:ascii="Times New Roman" w:hAnsi="Times New Roman"/>
          <w:sz w:val="24"/>
          <w:szCs w:val="24"/>
        </w:rPr>
        <w:t xml:space="preserve"> (London: Macmillan, 1983)</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Rowbotham, Judith, Kim Stevenson and Samantha Pegg, </w:t>
      </w:r>
      <w:r>
        <w:rPr>
          <w:rStyle w:val="Emphasis"/>
          <w:rFonts w:eastAsia="Times New Roman" w:cs="Times New Roman" w:ascii="Times New Roman" w:hAnsi="Times New Roman"/>
          <w:sz w:val="24"/>
          <w:szCs w:val="24"/>
        </w:rPr>
        <w:t>Crime News in Modern Britain: Press Reporting and Responsibility, 1820–2010</w:t>
      </w:r>
      <w:r>
        <w:rPr>
          <w:rFonts w:eastAsia="Times New Roman" w:cs="Times New Roman" w:ascii="Times New Roman" w:hAnsi="Times New Roman"/>
          <w:sz w:val="24"/>
          <w:szCs w:val="24"/>
        </w:rPr>
        <w:t xml:space="preserve"> (Basingstoke: Palgrave Macmillan, 2013)</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Spergel, Irving A., ‘Youth Gangs: Continuity and Change’, </w:t>
      </w:r>
      <w:r>
        <w:rPr>
          <w:rStyle w:val="Emphasis"/>
          <w:rFonts w:eastAsia="Times New Roman" w:cs="Times New Roman" w:ascii="Times New Roman" w:hAnsi="Times New Roman"/>
          <w:sz w:val="24"/>
          <w:szCs w:val="24"/>
        </w:rPr>
        <w:t>Crime and Justice</w:t>
      </w:r>
      <w:r>
        <w:rPr>
          <w:rFonts w:eastAsia="Times New Roman" w:cs="Times New Roman" w:ascii="Times New Roman" w:hAnsi="Times New Roman"/>
          <w:sz w:val="24"/>
          <w:szCs w:val="24"/>
        </w:rPr>
        <w:t>, 12 (1990), 171–275</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Welshman, John, </w:t>
      </w:r>
      <w:r>
        <w:rPr>
          <w:rStyle w:val="Emphasis"/>
          <w:rFonts w:eastAsia="Times New Roman" w:cs="Times New Roman" w:ascii="Times New Roman" w:hAnsi="Times New Roman"/>
          <w:sz w:val="24"/>
          <w:szCs w:val="24"/>
        </w:rPr>
        <w:t>Underclass: A History of the Excluded, 1880–2000</w:t>
      </w:r>
      <w:r>
        <w:rPr>
          <w:rFonts w:eastAsia="Times New Roman" w:cs="Times New Roman" w:ascii="Times New Roman" w:hAnsi="Times New Roman"/>
          <w:sz w:val="24"/>
          <w:szCs w:val="24"/>
        </w:rPr>
        <w:t xml:space="preserve"> (London: Hambledon Continuum, 2006)</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Williamson, Howard, review of </w:t>
      </w:r>
      <w:r>
        <w:rPr>
          <w:rStyle w:val="Emphasis"/>
          <w:rFonts w:eastAsia="Times New Roman" w:cs="Times New Roman" w:ascii="Times New Roman" w:hAnsi="Times New Roman"/>
          <w:sz w:val="24"/>
          <w:szCs w:val="24"/>
        </w:rPr>
        <w:t>Hooligan: A History of Respectable Fears</w:t>
      </w:r>
      <w:r>
        <w:rPr>
          <w:rFonts w:eastAsia="Times New Roman" w:cs="Times New Roman" w:ascii="Times New Roman" w:hAnsi="Times New Roman"/>
          <w:sz w:val="24"/>
          <w:szCs w:val="24"/>
        </w:rPr>
        <w:t xml:space="preserve">, by Geoffrey Pearson, </w:t>
      </w:r>
      <w:r>
        <w:rPr>
          <w:rStyle w:val="Emphasis"/>
          <w:rFonts w:eastAsia="Times New Roman" w:cs="Times New Roman" w:ascii="Times New Roman" w:hAnsi="Times New Roman"/>
          <w:sz w:val="24"/>
          <w:szCs w:val="24"/>
        </w:rPr>
        <w:t>Sociology</w:t>
      </w:r>
      <w:r>
        <w:rPr>
          <w:rFonts w:eastAsia="Times New Roman" w:cs="Times New Roman" w:ascii="Times New Roman" w:hAnsi="Times New Roman"/>
          <w:sz w:val="24"/>
          <w:szCs w:val="24"/>
        </w:rPr>
        <w:t>, 17.4 (1983), 615–16</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Van Elteren, Mel, review of </w:t>
      </w:r>
      <w:r>
        <w:rPr>
          <w:rStyle w:val="Emphasis"/>
          <w:rFonts w:eastAsia="Times New Roman" w:cs="Times New Roman" w:ascii="Times New Roman" w:hAnsi="Times New Roman"/>
          <w:sz w:val="24"/>
          <w:szCs w:val="24"/>
        </w:rPr>
        <w:t>Youth in Britain since 1945</w:t>
      </w:r>
      <w:r>
        <w:rPr>
          <w:rFonts w:eastAsia="Times New Roman" w:cs="Times New Roman" w:ascii="Times New Roman" w:hAnsi="Times New Roman"/>
          <w:sz w:val="24"/>
          <w:szCs w:val="24"/>
        </w:rPr>
        <w:t xml:space="preserve">, by Bill Osgerby, </w:t>
      </w:r>
      <w:r>
        <w:rPr>
          <w:rStyle w:val="Emphasis"/>
          <w:rFonts w:eastAsia="Times New Roman" w:cs="Times New Roman" w:ascii="Times New Roman" w:hAnsi="Times New Roman"/>
          <w:sz w:val="24"/>
          <w:szCs w:val="24"/>
        </w:rPr>
        <w:t>International Review of Social History</w:t>
      </w:r>
      <w:r>
        <w:rPr>
          <w:rFonts w:eastAsia="Times New Roman" w:cs="Times New Roman" w:ascii="Times New Roman" w:hAnsi="Times New Roman"/>
          <w:sz w:val="24"/>
          <w:szCs w:val="24"/>
        </w:rPr>
        <w:t>, 44.2 (1999), 318–19</w:t>
      </w:r>
    </w:p>
    <w:p>
      <w:pPr>
        <w:pStyle w:val="Normal"/>
        <w:spacing w:lineRule="auto" w:line="480" w:before="0" w:after="200"/>
        <w:ind w:firstLine="708"/>
        <w:jc w:val="both"/>
        <w:rPr>
          <w:rFonts w:ascii="Times New Roman" w:hAnsi="Times New Roman" w:eastAsia="Times New Roman" w:cs="Times New Roman"/>
          <w:b w:val="false"/>
          <w:bCs w:val="false"/>
          <w:sz w:val="24"/>
          <w:szCs w:val="24"/>
          <w:u w:val="none"/>
          <w:lang w:val="en-GB"/>
        </w:rPr>
      </w:pPr>
      <w:r>
        <w:rPr>
          <w:rFonts w:eastAsia="Times New Roman" w:cs="Times New Roman" w:ascii="Times New Roman" w:hAnsi="Times New Roman"/>
          <w:b w:val="false"/>
          <w:bCs w:val="false"/>
          <w:sz w:val="24"/>
          <w:szCs w:val="24"/>
          <w:u w:val="none"/>
          <w:lang w:val="en-GB"/>
        </w:rPr>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9</w:t>
    </w:r>
    <w:r>
      <w:rPr/>
      <w:fldChar w:fldCharType="end"/>
    </w:r>
    <w:r>
      <w:rPr/>
      <w:t xml:space="preserve"> </w:t>
    </w:r>
    <w:r>
      <w:rPr/>
      <w:t xml:space="preserve">/ </w:t>
    </w:r>
    <w:r>
      <w:rPr/>
      <w:fldChar w:fldCharType="begin"/>
    </w:r>
    <w:r>
      <w:rPr/>
      <w:instrText xml:space="preserve"> NUMPAGES </w:instrText>
    </w:r>
    <w:r>
      <w:rPr/>
      <w:fldChar w:fldCharType="separate"/>
    </w:r>
    <w:r>
      <w:rPr/>
      <w:t>9</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9</w:t>
    </w:r>
    <w:r>
      <w:rPr/>
      <w:fldChar w:fldCharType="end"/>
    </w:r>
    <w:r>
      <w:rPr/>
      <w:t xml:space="preserve"> </w:t>
    </w:r>
    <w:r>
      <w:rPr/>
      <w:t xml:space="preserve">/ </w:t>
    </w:r>
    <w:r>
      <w:rPr/>
      <w:fldChar w:fldCharType="begin"/>
    </w:r>
    <w:r>
      <w:rPr/>
      <w:instrText xml:space="preserve"> NUMPAGES </w:instrText>
    </w:r>
    <w:r>
      <w:rPr/>
      <w:fldChar w:fldCharType="separate"/>
    </w:r>
    <w:r>
      <w:rPr/>
      <w:t>9</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sz w:val="20"/>
          <w:szCs w:val="20"/>
        </w:rPr>
        <w:t xml:space="preserve"> </w:t>
      </w:r>
      <w:r>
        <w:rPr>
          <w:rFonts w:eastAsia="Times New Roman" w:cs="Times New Roman"/>
          <w:sz w:val="20"/>
          <w:szCs w:val="20"/>
        </w:rPr>
        <w:t>Barker, M., and J. Petley, eds,</w:t>
      </w:r>
      <w:r>
        <w:rPr>
          <w:rFonts w:eastAsia="Times New Roman" w:cs="Times New Roman"/>
          <w:i/>
          <w:iCs/>
          <w:sz w:val="20"/>
          <w:szCs w:val="20"/>
        </w:rPr>
        <w:t xml:space="preserve"> Ill Effects: The Media/Violence Debate</w:t>
      </w:r>
      <w:r>
        <w:rPr>
          <w:rFonts w:eastAsia="Times New Roman" w:cs="Times New Roman"/>
          <w:sz w:val="20"/>
          <w:szCs w:val="20"/>
        </w:rPr>
        <w:t>, 2nd edn (London: Routledge, 2001)</w:t>
      </w:r>
      <w:r>
        <w:rPr>
          <w:rFonts w:eastAsia="Times New Roman" w:cs="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sz w:val="20"/>
          <w:szCs w:val="20"/>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sz w:val="20"/>
          <w:szCs w:val="20"/>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sz w:val="20"/>
          <w:szCs w:val="20"/>
        </w:rPr>
        <w:t xml:space="preserve"> </w:t>
      </w:r>
      <w:r>
        <w:rPr>
          <w:rFonts w:eastAsia="Times New Roman" w:cs="Times New Roman"/>
          <w:color w:themeColor="text1" w:val="000000"/>
          <w:sz w:val="20"/>
          <w:szCs w:val="20"/>
          <w:lang w:val="en-GB"/>
        </w:rPr>
        <w:t xml:space="preserve">S. Cohen, </w:t>
      </w:r>
      <w:r>
        <w:rPr>
          <w:rFonts w:eastAsia="Times New Roman" w:cs="Times New Roman"/>
          <w:i/>
          <w:iCs/>
          <w:color w:themeColor="text1" w:val="000000"/>
          <w:sz w:val="20"/>
          <w:szCs w:val="20"/>
          <w:lang w:val="en-GB"/>
        </w:rPr>
        <w:t>Folk Devils and Moral Panics: The Creation of the Mods and Rockers</w:t>
      </w:r>
      <w:r>
        <w:rPr>
          <w:rFonts w:eastAsia="Times New Roman" w:cs="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sz w:val="20"/>
          <w:szCs w:val="20"/>
        </w:rPr>
        <w:t xml:space="preserve"> </w:t>
      </w:r>
      <w:r>
        <w:rPr>
          <w:rFonts w:eastAsia="Times New Roman" w:cs="Times New Roman"/>
          <w:sz w:val="20"/>
          <w:szCs w:val="20"/>
        </w:rPr>
        <w:t xml:space="preserve">Cohen, </w:t>
      </w:r>
      <w:r>
        <w:rPr>
          <w:rFonts w:eastAsia="Times New Roman" w:cs="Times New Roman"/>
          <w:i/>
          <w:iCs/>
          <w:sz w:val="20"/>
          <w:szCs w:val="20"/>
        </w:rPr>
        <w:t>Folk Devils and Moral Panics</w:t>
      </w:r>
      <w:r>
        <w:rPr>
          <w:rFonts w:eastAsia="Times New Roman" w:cs="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w:t>
      </w:r>
      <w:r>
        <w:rPr>
          <w:rFonts w:eastAsia="Times New Roman" w:cs="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lang w:val="en-US"/>
        </w:rPr>
        <w:t xml:space="preserve"> </w:t>
      </w:r>
      <w:r>
        <w:rPr>
          <w:rFonts w:eastAsia="Times New Roman" w:cs="Times New Roman"/>
          <w:lang w:val="en-US"/>
        </w:rPr>
        <w:t xml:space="preserve">Martin Barker, ‘The Newson Report: A Case Study in Common Sense’, in </w:t>
      </w:r>
      <w:r>
        <w:rPr>
          <w:rFonts w:eastAsia="Times New Roman" w:cs="Times New Roman"/>
          <w:i/>
          <w:iCs/>
          <w:lang w:val="en-US"/>
        </w:rPr>
        <w:t>Ill Effects</w:t>
      </w:r>
      <w:r>
        <w:rPr>
          <w:rFonts w:eastAsia="Times New Roman" w:cs="Times New Roman"/>
          <w:i/>
          <w:iCs/>
          <w:sz w:val="20"/>
          <w:szCs w:val="20"/>
        </w:rPr>
        <w:t>: The Media/Violence Debate</w:t>
      </w:r>
      <w:r>
        <w:rPr>
          <w:rFonts w:eastAsia="Times New Roman" w:cs="Times New Roman"/>
          <w:sz w:val="20"/>
          <w:szCs w:val="20"/>
        </w:rPr>
        <w:t>, 2nd edn (London: Routledge, 2001)</w:t>
      </w:r>
      <w:r>
        <w:rPr>
          <w:rFonts w:eastAsia="Times New Roman" w:cs="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w:t>
      </w:r>
      <w:r>
        <w:rPr>
          <w:rFonts w:eastAsia="Times New Roman" w:cs="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lang w:val="en-US"/>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w:t>
      </w:r>
      <w:r>
        <w:rPr>
          <w:rFonts w:eastAsia="Times New Roman" w:cs="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rPr>
        <w:t xml:space="preserve"> </w:t>
      </w:r>
      <w:r>
        <w:rPr>
          <w:rFonts w:eastAsia="Times New Roman" w:cs="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sz w:val="20"/>
          <w:szCs w:val="20"/>
        </w:rPr>
        <w:t xml:space="preserve">Cohen, </w:t>
      </w:r>
      <w:r>
        <w:rPr>
          <w:rFonts w:eastAsia="Times New Roman" w:cs="Times New Roman"/>
          <w:i/>
          <w:iCs/>
          <w:sz w:val="20"/>
          <w:szCs w:val="20"/>
        </w:rPr>
        <w:t>Folk Devils and Moral Panics</w:t>
      </w:r>
      <w:r>
        <w:rPr>
          <w:rFonts w:eastAsia="Times New Roman" w:cs="Times New Roman"/>
          <w:i w:val="false"/>
          <w:iCs w:val="false"/>
          <w:sz w:val="20"/>
          <w:szCs w:val="20"/>
        </w:rPr>
        <w:t xml:space="preserve">, p. 3. </w:t>
      </w:r>
    </w:p>
  </w:footnote>
  <w:footnote w:id="15">
    <w:p>
      <w:pPr>
        <w:pStyle w:val="FootnoteText"/>
        <w:rPr/>
      </w:pPr>
      <w:r>
        <w:rPr>
          <w:rStyle w:val="FootnoteCharacters"/>
        </w:rPr>
        <w:footnoteRef/>
      </w:r>
      <w:r>
        <w:rPr/>
        <w:t xml:space="preserve"> </w:t>
      </w:r>
      <w:r>
        <w:rPr/>
        <w:t xml:space="preserve">Howard Williamson, review of </w:t>
      </w:r>
      <w:r>
        <w:rPr>
          <w:i/>
          <w:iCs/>
        </w:rPr>
        <w:t xml:space="preserve">Hooligan: A History of Respectable Fears, </w:t>
      </w:r>
      <w:r>
        <w:rPr>
          <w:i w:val="false"/>
          <w:iCs w:val="false"/>
        </w:rPr>
        <w:t xml:space="preserve">by Geoffrey Pearson, </w:t>
      </w:r>
      <w:r>
        <w:rPr>
          <w:i/>
          <w:iCs/>
        </w:rPr>
        <w:t xml:space="preserve">Sociology, </w:t>
      </w:r>
      <w:r>
        <w:rPr>
          <w:i w:val="false"/>
          <w:iCs w:val="false"/>
        </w:rPr>
        <w:t>17.4 (1983), p. 615.</w:t>
      </w:r>
    </w:p>
  </w:footnote>
  <w:footnote w:id="16">
    <w:p>
      <w:pPr>
        <w:pStyle w:val="FootnoteText"/>
        <w:rPr>
          <w:rFonts w:ascii="Times New Roman" w:hAnsi="Times New Roman"/>
        </w:rPr>
      </w:pPr>
      <w:r>
        <w:rPr>
          <w:rStyle w:val="FootnoteCharacters"/>
        </w:rPr>
        <w:footnoteRef/>
      </w:r>
      <w:r>
        <w:rPr/>
        <w:t xml:space="preserve"> </w:t>
      </w:r>
      <w:r>
        <w:rPr/>
        <w:t xml:space="preserve">Williamson, </w:t>
      </w:r>
      <w:r>
        <w:rPr>
          <w:i/>
          <w:iCs/>
        </w:rPr>
        <w:t>Hooligan,</w:t>
      </w:r>
      <w:r>
        <w:rPr>
          <w:i w:val="false"/>
          <w:iCs w:val="false"/>
        </w:rPr>
        <w:t xml:space="preserve"> p. 615. </w:t>
      </w:r>
    </w:p>
  </w:footnote>
  <w:footnote w:id="17">
    <w:p>
      <w:pPr>
        <w:pStyle w:val="FootnoteText"/>
        <w:rPr/>
      </w:pPr>
      <w:r>
        <w:rPr>
          <w:rStyle w:val="FootnoteCharacters"/>
        </w:rPr>
        <w:footnoteRef/>
      </w:r>
      <w:r>
        <w:rPr/>
        <w:t xml:space="preserve"> </w:t>
      </w:r>
      <w:r>
        <w:rPr/>
        <w:t xml:space="preserve">Williamson, </w:t>
      </w:r>
      <w:r>
        <w:rPr>
          <w:i/>
          <w:iCs/>
        </w:rPr>
        <w:t>Hooligan,</w:t>
      </w:r>
      <w:r>
        <w:rPr>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 w:id="26">
    <w:p>
      <w:pPr>
        <w:pStyle w:val="FootnoteText"/>
        <w:rPr/>
      </w:pPr>
      <w:r>
        <w:rPr>
          <w:rStyle w:val="FootnoteCharacters"/>
        </w:rPr>
        <w:footnoteRef/>
      </w:r>
      <w:r>
        <w:rPr/>
        <w:t xml:space="preserve"> </w:t>
      </w:r>
      <w:r>
        <w:rPr/>
        <w:t>Hayward, ‘Crime and consumer culture’, p. 554.</w:t>
      </w:r>
    </w:p>
  </w:footnote>
  <w:footnote w:id="27">
    <w:p>
      <w:pPr>
        <w:pStyle w:val="FootnoteText"/>
        <w:rPr/>
      </w:pPr>
      <w:r>
        <w:rPr>
          <w:rStyle w:val="FootnoteCharacters"/>
        </w:rPr>
        <w:footnoteRef/>
      </w:r>
      <w:r>
        <w:rPr/>
        <w:t>Hayward, ‘Crime and consumer culture’, p. 554.</w:t>
      </w:r>
    </w:p>
  </w:footnote>
  <w:footnote w:id="28">
    <w:p>
      <w:pPr>
        <w:pStyle w:val="FootnoteText"/>
        <w:rPr/>
      </w:pPr>
      <w:r>
        <w:rPr>
          <w:rStyle w:val="FootnoteCharacters"/>
        </w:rPr>
        <w:footnoteRef/>
      </w:r>
      <w:r>
        <w:rPr/>
        <w:t xml:space="preserve"> </w:t>
      </w:r>
      <w:r>
        <w:rPr/>
        <w:t xml:space="preserve">Welshman, </w:t>
      </w:r>
      <w:r>
        <w:rPr>
          <w:i/>
          <w:iCs/>
        </w:rPr>
        <w:t>Underclass</w:t>
      </w:r>
      <w:r>
        <w:rPr>
          <w:i w:val="false"/>
          <w:iCs w:val="false"/>
        </w:rPr>
        <w:t>, p. 141.</w:t>
      </w:r>
    </w:p>
  </w:footnote>
  <w:footnote w:id="29">
    <w:p>
      <w:pPr>
        <w:pStyle w:val="FootnoteText"/>
        <w:rPr/>
      </w:pPr>
      <w:r>
        <w:rPr>
          <w:rStyle w:val="FootnoteCharacters"/>
        </w:rPr>
        <w:footnoteRef/>
      </w:r>
      <w:r>
        <w:rPr/>
        <w:t xml:space="preserve">Welshman, </w:t>
      </w:r>
      <w:r>
        <w:rPr>
          <w:i/>
          <w:iCs/>
        </w:rPr>
        <w:t>Underclass</w:t>
      </w:r>
      <w:r>
        <w:rPr>
          <w:i w:val="false"/>
          <w:iCs w:val="false"/>
        </w:rPr>
        <w:t xml:space="preserve">, p. 134-136. </w:t>
      </w:r>
    </w:p>
  </w:footnote>
  <w:footnote w:id="30">
    <w:p>
      <w:pPr>
        <w:pStyle w:val="FootnoteText"/>
        <w:rPr/>
      </w:pPr>
      <w:r>
        <w:rPr>
          <w:rStyle w:val="FootnoteCharacters"/>
        </w:rPr>
        <w:footnoteRef/>
      </w:r>
      <w:r>
        <w:rPr/>
        <w:t xml:space="preserve"> </w:t>
      </w:r>
      <w:r>
        <w:rPr/>
        <w:t xml:space="preserve">David Garland, </w:t>
      </w:r>
      <w:r>
        <w:rPr>
          <w:i/>
          <w:iCs/>
        </w:rPr>
        <w:t>The Culture of Control: Crime and Social Order in Contemporary Society</w:t>
      </w:r>
      <w:r>
        <w:rPr>
          <w:i w:val="false"/>
          <w:iCs w:val="false"/>
        </w:rPr>
        <w:t xml:space="preserve"> (Oxford: Oxford University Press, 2001), p. 102.</w:t>
      </w:r>
    </w:p>
  </w:footnote>
  <w:footnote w:id="31">
    <w:p>
      <w:pPr>
        <w:pStyle w:val="FootnoteText"/>
        <w:rPr/>
      </w:pPr>
      <w:r>
        <w:rPr>
          <w:rStyle w:val="FootnoteCharacters"/>
        </w:rPr>
        <w:footnoteRef/>
      </w:r>
      <w:r>
        <w:rPr/>
        <w:t xml:space="preserve"> </w:t>
      </w:r>
      <w:r>
        <w:rPr/>
        <w:t xml:space="preserve">Garland, </w:t>
      </w:r>
      <w:r>
        <w:rPr>
          <w:i/>
          <w:iCs/>
        </w:rPr>
        <w:t>The Culture of Control</w:t>
      </w:r>
      <w:r>
        <w:rPr>
          <w:i w:val="false"/>
          <w:iCs w:val="false"/>
        </w:rPr>
        <w:t>, p. 82.</w:t>
      </w:r>
    </w:p>
  </w:footnote>
  <w:footnote w:id="32">
    <w:p>
      <w:pPr>
        <w:pStyle w:val="FootnoteText"/>
        <w:rPr/>
      </w:pPr>
      <w:r>
        <w:rPr>
          <w:rStyle w:val="FootnoteCharacters"/>
        </w:rPr>
        <w:footnoteRef/>
      </w:r>
      <w:r>
        <w:rPr/>
        <w:t xml:space="preserve"> </w:t>
      </w:r>
      <w:r>
        <w:rPr/>
        <w:t xml:space="preserve">Garland, </w:t>
      </w:r>
      <w:r>
        <w:rPr>
          <w:i/>
          <w:iCs/>
        </w:rPr>
        <w:t xml:space="preserve">The Culture of Control, </w:t>
      </w:r>
      <w:r>
        <w:rPr>
          <w:i w:val="false"/>
          <w:iCs w:val="false"/>
        </w:rPr>
        <w:t>p. 82.</w:t>
      </w:r>
    </w:p>
  </w:footnote>
</w:footnotes>
</file>

<file path=word/settings.xml><?xml version="1.0" encoding="utf-8"?>
<w:settings xmlns:w="http://schemas.openxmlformats.org/wordprocessingml/2006/main">
  <w:zoom w:percent="9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614</TotalTime>
  <Application>LibreOffice/25.8.4.2$Linux_X86_64 LibreOffice_project/580$Build-2</Application>
  <AppVersion>15.0000</AppVersion>
  <Pages>9</Pages>
  <Words>2732</Words>
  <Characters>14758</Characters>
  <CharactersWithSpaces>17468</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2026-01-22T10:36:07Z</dcterms:modified>
  <cp:revision>75</cp:revision>
  <dc:subject/>
  <dc:title/>
</cp:coreProperties>
</file>

<file path=docProps/custom.xml><?xml version="1.0" encoding="utf-8"?>
<Properties xmlns="http://schemas.openxmlformats.org/officeDocument/2006/custom-properties" xmlns:vt="http://schemas.openxmlformats.org/officeDocument/2006/docPropsVTypes"/>
</file>