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w:t>
      </w:r>
      <w:r>
        <w:rPr>
          <w:rFonts w:ascii="Verdana" w:hAnsi="Verdana"/>
          <w:b w:val="false"/>
          <w:bCs w:val="false"/>
          <w:i w:val="false"/>
          <w:iCs w:val="false"/>
          <w:u w:val="none"/>
        </w:rPr>
        <w:t>(PR)</w:t>
      </w:r>
      <w:r>
        <w:rPr>
          <w:rFonts w:ascii="Verdana" w:hAnsi="Verdana"/>
          <w:b w:val="false"/>
          <w:bCs w:val="false"/>
          <w:i w:val="false"/>
          <w:iCs w:val="false"/>
          <w:u w:val="none"/>
        </w:rPr>
        <w:t xml:space="preserve">.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w:t>
      </w:r>
      <w:r>
        <w:rPr>
          <w:rFonts w:ascii="Verdana" w:hAnsi="Verdana"/>
          <w:b w:val="false"/>
          <w:bCs w:val="false"/>
          <w:i w:val="false"/>
          <w:iCs w:val="false"/>
          <w:u w:val="none"/>
        </w:rPr>
        <w:t xml:space="preserve">s </w:t>
      </w:r>
      <w:r>
        <w:rPr>
          <w:rFonts w:ascii="Verdana" w:hAnsi="Verdana"/>
          <w:b w:val="false"/>
          <w:bCs w:val="false"/>
          <w:i w:val="false"/>
          <w:iCs w:val="false"/>
          <w:u w:val="none"/>
        </w:rPr>
        <w:t xml:space="preserve">for thorough analysis whilst providing a </w:t>
      </w:r>
      <w:r>
        <w:rPr>
          <w:rFonts w:ascii="Verdana" w:hAnsi="Verdana"/>
          <w:b w:val="false"/>
          <w:bCs w:val="false"/>
          <w:i w:val="false"/>
          <w:iCs w:val="false"/>
          <w:u w:val="none"/>
        </w:rPr>
        <w:t>strong base</w:t>
      </w:r>
      <w:r>
        <w:rPr>
          <w:rFonts w:ascii="Verdana" w:hAnsi="Verdana"/>
          <w:b w:val="false"/>
          <w:bCs w:val="false"/>
          <w:i w:val="false"/>
          <w:iCs w:val="false"/>
          <w:u w:val="none"/>
        </w:rPr>
        <w:t xml:space="preserve"> to analyse key developments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ab/>
      </w:r>
      <w:r>
        <w:rPr>
          <w:rFonts w:ascii="Verdana" w:hAnsi="Verdana"/>
          <w:b w:val="false"/>
          <w:bCs w:val="false"/>
          <w:i w:val="false"/>
          <w:iCs w:val="false"/>
          <w:u w:val="none"/>
        </w:rPr>
        <w:t>It is important to engage with relevant historiography (studies of how history is interpreted) as it enables us to undertsand how other historians have approached the relationship between military technology and intelligence systems during the Second World War.</w:t>
      </w:r>
    </w:p>
    <w:p>
      <w:pPr>
        <w:pStyle w:val="Normal"/>
        <w:spacing w:lineRule="auto" w:line="480"/>
        <w:jc w:val="both"/>
        <w:rPr>
          <w:rFonts w:ascii="Verdana" w:hAnsi="Verdana"/>
        </w:rPr>
      </w:pPr>
      <w:r>
        <w:rPr>
          <w:rFonts w:ascii="Verdana" w:hAnsi="Verdana"/>
        </w:rPr>
        <w:tab/>
      </w:r>
      <w:r>
        <w:rPr>
          <w:rFonts w:ascii="Verdana" w:hAnsi="Verdana"/>
        </w:rPr>
        <w:t>The most substantial body of literature concerns British wartime intelligence as a whole. Christopher Andrew’s “</w:t>
      </w:r>
      <w:r>
        <w:rPr>
          <w:rFonts w:ascii="Verdana" w:hAnsi="Verdana"/>
        </w:rPr>
        <w:t>The defence of the Realm”</w:t>
      </w:r>
      <w:r>
        <w:rPr>
          <w:rStyle w:val="FootnoteReference"/>
          <w:rFonts w:ascii="Verdana" w:hAnsi="Verdana"/>
        </w:rPr>
        <w:footnoteReference w:id="2"/>
      </w:r>
      <w:r>
        <w:rPr>
          <w:rFonts w:ascii="Verdana" w:hAnsi="Verdana"/>
        </w:rPr>
        <w:t xml:space="preserve"> </w:t>
      </w:r>
      <w:r>
        <w:rPr>
          <w:rFonts w:ascii="Verdana" w:hAnsi="Verdana"/>
        </w:rPr>
        <w:t xml:space="preserve">and </w:t>
      </w:r>
      <w:r>
        <w:rPr>
          <w:rFonts w:ascii="Verdana" w:hAnsi="Verdana"/>
        </w:rPr>
        <w:t>Michael Goodman’s “The official History of the Joint Intelligence Committee”</w:t>
      </w:r>
      <w:r>
        <w:rPr>
          <w:rStyle w:val="FootnoteReference"/>
          <w:rFonts w:ascii="Verdana" w:hAnsi="Verdana"/>
        </w:rPr>
        <w:footnoteReference w:id="3"/>
      </w:r>
      <w:r>
        <w:rPr>
          <w:rFonts w:ascii="Verdana" w:hAnsi="Verdana"/>
        </w:rPr>
        <w:t xml:space="preserve"> </w:t>
      </w:r>
      <w:r>
        <w:rPr>
          <w:rFonts w:ascii="Verdana" w:hAnsi="Verdana"/>
        </w:rPr>
        <w:t xml:space="preserve">are some big names in this area. </w:t>
      </w:r>
      <w:r>
        <w:rPr>
          <w:rFonts w:ascii="Verdana" w:hAnsi="Verdana"/>
        </w:rPr>
        <w:t xml:space="preserve">This historiography emphasises an increase in professionalisation and strategic influence </w:t>
      </w:r>
      <w:r>
        <w:rPr>
          <w:rFonts w:ascii="Verdana" w:hAnsi="Verdana"/>
        </w:rPr>
        <w:t xml:space="preserve">of intelligence serviced during the war. It focuses on signals intelligence (SIGINT) and codebreaking rather than imagery intelligence (IMINT) or aerial reconnaissance arguing that intelligence rarely determined victory. </w:t>
      </w:r>
      <w:r>
        <w:rPr>
          <w:rFonts w:ascii="Verdana" w:hAnsi="Verdana"/>
        </w:rPr>
        <w:t>These approaches are often top down and politically centered, useful for offering more of a contextual input to build understanding of intelligence as a whole.</w:t>
      </w:r>
    </w:p>
    <w:p>
      <w:pPr>
        <w:pStyle w:val="Normal"/>
        <w:spacing w:lineRule="auto" w:line="480"/>
        <w:jc w:val="both"/>
        <w:rPr>
          <w:rFonts w:ascii="Verdana" w:hAnsi="Verdana"/>
        </w:rPr>
      </w:pPr>
      <w:r>
        <w:rPr>
          <w:rFonts w:ascii="Verdana" w:hAnsi="Verdana"/>
        </w:rPr>
        <w:tab/>
      </w:r>
      <w:r>
        <w:rPr>
          <w:rFonts w:ascii="Verdana" w:hAnsi="Verdana"/>
        </w:rPr>
        <w:t xml:space="preserve">In contrast historians of aerial reconnaissance and air power have begun to restore the significance of photographic intelligence. </w:t>
      </w:r>
      <w:r>
        <w:rPr>
          <w:rFonts w:ascii="Verdana" w:hAnsi="Verdana"/>
        </w:rPr>
        <w:t>Downing’s “Spies in the Sky”</w:t>
      </w:r>
      <w:r>
        <w:rPr>
          <w:rStyle w:val="FootnoteReference"/>
          <w:rFonts w:ascii="Verdana" w:hAnsi="Verdana"/>
        </w:rPr>
        <w:footnoteReference w:id="4"/>
      </w:r>
      <w:r>
        <w:rPr>
          <w:rFonts w:ascii="Verdana" w:hAnsi="Verdana"/>
        </w:rPr>
        <w:t xml:space="preserve"> </w:t>
      </w:r>
      <w:r>
        <w:rPr>
          <w:rFonts w:ascii="Verdana" w:hAnsi="Verdana"/>
        </w:rPr>
        <w:t xml:space="preserve">is central to offering a detailed history of photo-reconnaissance (PR) units and the work at RAF Medmenham. </w:t>
      </w:r>
      <w:r>
        <w:rPr>
          <w:rFonts w:ascii="Verdana" w:hAnsi="Verdana"/>
        </w:rPr>
        <w:t xml:space="preserve">This area often focuses on bombing campaigns and the role that aerial intelligence played arguing that successful campaigns depended on accurate reconnaissance. </w:t>
      </w:r>
      <w:r>
        <w:rPr>
          <w:rFonts w:ascii="Verdana" w:hAnsi="Verdana"/>
        </w:rPr>
        <w:t>The work of this area often places reconnaissance as a top priority and a turning point but their work remains broad in scope and theme and rarely bridging the gap between aircraft development and reconnaissance.</w:t>
      </w:r>
    </w:p>
    <w:p>
      <w:pPr>
        <w:pStyle w:val="Normal"/>
        <w:spacing w:lineRule="auto" w:line="480"/>
        <w:jc w:val="both"/>
        <w:rPr>
          <w:rFonts w:ascii="Verdana" w:hAnsi="Verdana"/>
        </w:rPr>
      </w:pPr>
      <w:r>
        <w:rPr>
          <w:rFonts w:ascii="Verdana" w:hAnsi="Verdana"/>
        </w:rPr>
        <w:tab/>
      </w:r>
      <w:r>
        <w:rPr>
          <w:rFonts w:ascii="Verdana" w:hAnsi="Verdana"/>
        </w:rPr>
        <w:t>Specialist works that focus soley on the Mosquito itself provide invaluable technical context with Bowman’s “Mosquito Missions”</w:t>
      </w:r>
      <w:r>
        <w:rPr>
          <w:rStyle w:val="FootnoteReference"/>
          <w:rFonts w:ascii="Verdana" w:hAnsi="Verdana"/>
        </w:rPr>
        <w:footnoteReference w:id="5"/>
      </w:r>
      <w:r>
        <w:rPr>
          <w:rFonts w:ascii="Verdana" w:hAnsi="Verdana"/>
        </w:rPr>
        <w:t xml:space="preserve"> </w:t>
      </w:r>
      <w:r>
        <w:rPr>
          <w:rFonts w:ascii="Verdana" w:hAnsi="Verdana"/>
        </w:rPr>
        <w:t xml:space="preserve">detailing the aircrafts versatility, charting evolution from bomber to reconnaissance to special operations. </w:t>
      </w:r>
      <w:r>
        <w:rPr>
          <w:rFonts w:ascii="Verdana" w:hAnsi="Verdana"/>
        </w:rPr>
        <w:t>These texts provide the necessary structural changes that made reconnaissance possible linking the two themes.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 xml:space="preserve">This dissertation aims to place itself directly in the centre of this discourse arguing historians have yet to fully explore how aircraft design allowed for intelligence systems to improve and the impact that had on the wars outcome. </w:t>
      </w:r>
      <w:r>
        <w:rPr>
          <w:rFonts w:ascii="Verdana" w:hAnsi="Verdana"/>
          <w:b w:val="false"/>
          <w:bCs w:val="false"/>
          <w:i w:val="false"/>
          <w:iCs w:val="false"/>
          <w:u w:val="none"/>
        </w:rPr>
        <w:t>T</w:t>
      </w:r>
      <w:r>
        <w:rPr>
          <w:rFonts w:ascii="Verdana" w:hAnsi="Verdana"/>
          <w:b w:val="false"/>
          <w:bCs w:val="false"/>
          <w:i w:val="false"/>
          <w:iCs w:val="false"/>
          <w:u w:val="none"/>
        </w:rPr>
        <w:t>his paper will extend recent efforts to reassess the scope of British intelligence beyond SIGINT and highlight the role of the aircraft and its impact in intelligence systems.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Where Are the Gaps and/or What Are the Weaknesses in This Historiography</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existing historiography focus either on the intelligence institution or the technical developments of aircraft, but the two are rarely linked. Historians such as Andrew and Goodman explore the evolution of British intelligence but chose to prioritise SIGINT over IMINT, giving little attention to how intelligence collection was shaped by aircraft capabilities.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Downing does centre on aerial reconnaissance, however he places little importance on the aircraft treating them as tools instead of the root of evolution and improvements. However, aircraft focused works by Birtles and Bowman offer detailed accounts of the Mosquito including PR, but they stop short of fully analysing how these changes influenced intelligence-gathering strategy.</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Similarly, air power historians such as Cox and Ehler focus on the importance of intelligence in planning, focusing mainly on bombing raids, rather than the systems that enabled the effective and accurate targeting. Writers like Hennessy outline the political structures but neglect the technologies that made intelligence work possible.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shows there is a gap in the connection between aircraft innovation and wider evolution of British intelligence practices which this dissertation aims to bridge.</w:t>
      </w:r>
    </w:p>
    <w:sectPr>
      <w:footnotePr>
        <w:pos w:val="sectEnd"/>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M, Andrews, </w:t>
      </w:r>
      <w:r>
        <w:rPr>
          <w:i/>
          <w:iCs/>
        </w:rPr>
        <w:t xml:space="preserve">The Defence of the Realm: The Authorized History of MI5, </w:t>
      </w:r>
      <w:r>
        <w:rPr>
          <w:i w:val="false"/>
          <w:iCs w:val="false"/>
        </w:rPr>
        <w:t xml:space="preserve">(Penguin, 2010). </w:t>
      </w:r>
    </w:p>
  </w:footnote>
  <w:footnote w:id="3">
    <w:p>
      <w:pPr>
        <w:pStyle w:val="FootnoteText"/>
        <w:rPr/>
      </w:pPr>
      <w:r>
        <w:rPr>
          <w:rStyle w:val="FootnoteCharacters"/>
        </w:rPr>
        <w:footnoteRef/>
      </w:r>
      <w:r>
        <w:rPr/>
        <w:tab/>
        <w:t xml:space="preserve">Michael S, </w:t>
      </w:r>
      <w:r>
        <w:rPr/>
        <w:t xml:space="preserve">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Taylor Downing, </w:t>
      </w:r>
      <w:r>
        <w:rPr>
          <w:i/>
          <w:iCs/>
        </w:rPr>
        <w:t>Spies in the Sky: the Secret Battle of Aerial Intelligence during World War II,</w:t>
      </w:r>
      <w:r>
        <w:rPr>
          <w:i w:val="false"/>
          <w:iCs w:val="false"/>
        </w:rPr>
        <w:t xml:space="preserve"> (Abacus, 2012). </w:t>
      </w:r>
    </w:p>
  </w:footnote>
  <w:footnote w:id="5">
    <w:p>
      <w:pPr>
        <w:pStyle w:val="FootnoteText"/>
        <w:rPr/>
      </w:pPr>
      <w:r>
        <w:rPr>
          <w:rStyle w:val="FootnoteCharacters"/>
        </w:rPr>
        <w:footnoteRef/>
      </w:r>
      <w:r>
        <w:rPr/>
        <w:tab/>
        <w:t xml:space="preserve">Martin W Bowman, </w:t>
      </w:r>
      <w:r>
        <w:rPr>
          <w:i/>
          <w:iCs/>
        </w:rPr>
        <w:t>Mosquito Missions: RAF and Commonwealth de Havilland Mosquitoes</w:t>
      </w:r>
      <w:r>
        <w:rPr>
          <w:i w:val="false"/>
          <w:iCs w:val="false"/>
        </w:rPr>
        <w:t>, (Pen &amp; Sword Aviation, 2012).</w:t>
      </w:r>
    </w:p>
  </w:footnote>
</w:footnotes>
</file>

<file path=word/settings.xml><?xml version="1.0" encoding="utf-8"?>
<w:settings xmlns:w="http://schemas.openxmlformats.org/wordprocessingml/2006/main">
  <w:zoom w:percent="100"/>
  <w:defaultTabStop w:val="709"/>
  <w:autoHyphenation w:val="true"/>
  <w:hyphenationZone w:val="0"/>
  <w:footnotePr>
    <w:pos w:val="sectEnd"/>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2515</TotalTime>
  <Application>LibreOffice/25.2.3.2$Linux_X86_64 LibreOffice_project/520$Build-2</Application>
  <AppVersion>15.0000</AppVersion>
  <Pages>4</Pages>
  <Words>893</Words>
  <Characters>5174</Characters>
  <CharactersWithSpaces>6065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2025-05-21T21:06:12Z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