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Verdana" w:hAnsi="Verdana"/>
          <w:b/>
          <w:bCs/>
          <w:u w:val="single"/>
        </w:rPr>
      </w:pPr>
      <w:r>
        <w:rPr>
          <w:rFonts w:ascii="Verdana" w:hAnsi="Verdana"/>
          <w:b/>
          <w:bCs/>
          <w:u w:val="single"/>
        </w:rPr>
        <w:t>Dissertation Proposal</w:t>
      </w:r>
    </w:p>
    <w:p>
      <w:pPr>
        <w:pStyle w:val="Normal"/>
        <w:bidi w:val="0"/>
        <w:spacing w:lineRule="auto" w:line="480"/>
        <w:jc w:val="both"/>
        <w:rPr>
          <w:rFonts w:ascii="Verdana" w:hAnsi="Verdana"/>
          <w:b/>
          <w:bCs/>
          <w:u w:val="single"/>
        </w:rPr>
      </w:pPr>
      <w:r>
        <w:rPr>
          <w:rFonts w:ascii="Verdana" w:hAnsi="Verdana"/>
          <w:b/>
          <w:bCs/>
          <w:u w:val="singl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What is the Key Question You Want to Answer?</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The key question proposed for this dissertation is “How did modifications to the de Havilland Mosquito between 1942 and 1945 shape the development and effectiveness of British aerial intelligence during the Second World War?”. The paper would aim to unpack the relationship between technological innovation and the evolution of wartime intelligence, focusing on one of the most versatile and important aircraft of the period.</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Mosquito was unique in its adaptability, initially conceived as a fast, unarmed bomber. It was then rapidly modified into several specified roles, including photographic reconnaissance </w:t>
      </w:r>
      <w:r>
        <w:rPr>
          <w:rFonts w:ascii="Verdana" w:hAnsi="Verdana"/>
          <w:b w:val="false"/>
          <w:bCs w:val="false"/>
          <w:i w:val="false"/>
          <w:iCs w:val="false"/>
          <w:u w:val="none"/>
        </w:rPr>
        <w:t>(PR)</w:t>
      </w:r>
      <w:r>
        <w:rPr>
          <w:rFonts w:ascii="Verdana" w:hAnsi="Verdana"/>
          <w:b w:val="false"/>
          <w:bCs w:val="false"/>
          <w:i w:val="false"/>
          <w:iCs w:val="false"/>
          <w:u w:val="none"/>
        </w:rPr>
        <w:t xml:space="preserve">. Its speed, coupled with its high-altitude capability due to its pressurized cabin, made it an ideal candidate for penetrating deep into enemy territory undetected. This dissertation will examine how the technical modifications enabled improvements to the methods of intelligence and the extent to which the Mosquito altered British understanding of enemy movements, defences and infrastructure.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question is important as it positions the Mosquito not merely as a technological success, but as a tool that shaped wider wartime strategy. The focus on the 1942-45 period allowed for thorough analysis whilst providing a proper base to analyse key developments and the changes to planning that followed as a result of improved aerial intelligence capabilities. Ultimately, this question invites reflection of how technology drove changes in war, not just in combat but in how wars are understood and fought through intelligence. It will contribute to ongoing historiographical debates about the role intelligence played in Allied victory, and how aerial improvements like the Mosquito played a central role in shaping success.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To Answer This Question What Historiography Will You Need to Engage With?</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 xml:space="preserve">To answer my proposed question I will need to engage with a wide variety </w:t>
      </w:r>
      <w:r>
        <w:rPr>
          <w:rFonts w:ascii="Verdana" w:hAnsi="Verdana"/>
          <w:b w:val="false"/>
          <w:bCs w:val="false"/>
          <w:i w:val="false"/>
          <w:iCs w:val="false"/>
          <w:u w:val="none"/>
        </w:rPr>
        <w:t xml:space="preserve">of historiography to properly unpack and approach this topic. Historiography is the study of how history is written and interpreted, and properly examining this historiography enable us to understand how other historians have approached the relationship between military technology and intelligence systems in the Second World War.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The most substantial body of literature concerns British wartime intelligence as a whole. Christopher Andrew’s “The defence of the Realm”</w:t>
      </w:r>
      <w:r>
        <w:rPr>
          <w:rStyle w:val="FootnoteReference"/>
          <w:rFonts w:ascii="Verdana" w:hAnsi="Verdana"/>
          <w:b w:val="false"/>
          <w:bCs w:val="false"/>
          <w:i w:val="false"/>
          <w:iCs w:val="false"/>
          <w:u w:val="none"/>
        </w:rPr>
        <w:footnoteReference w:id="2"/>
      </w:r>
      <w:r>
        <w:rPr>
          <w:rFonts w:ascii="Verdana" w:hAnsi="Verdana"/>
          <w:b w:val="false"/>
          <w:bCs w:val="false"/>
          <w:i w:val="false"/>
          <w:iCs w:val="false"/>
          <w:u w:val="none"/>
        </w:rPr>
        <w:t xml:space="preserve"> </w:t>
      </w:r>
      <w:r>
        <w:rPr>
          <w:rFonts w:ascii="Verdana" w:hAnsi="Verdana"/>
          <w:b w:val="false"/>
          <w:bCs w:val="false"/>
          <w:i w:val="false"/>
          <w:iCs w:val="false"/>
          <w:u w:val="none"/>
        </w:rPr>
        <w:t>and Michael Goodman’s “The Official History of the Joint Intelligence Committee”</w:t>
      </w:r>
      <w:r>
        <w:rPr>
          <w:rStyle w:val="FootnoteReference"/>
          <w:rFonts w:ascii="Verdana" w:hAnsi="Verdana"/>
          <w:b w:val="false"/>
          <w:bCs w:val="false"/>
          <w:i w:val="false"/>
          <w:iCs w:val="false"/>
          <w:u w:val="none"/>
        </w:rPr>
        <w:footnoteReference w:id="3"/>
      </w:r>
      <w:r>
        <w:rPr>
          <w:rFonts w:ascii="Verdana" w:hAnsi="Verdana"/>
          <w:b w:val="false"/>
          <w:bCs w:val="false"/>
          <w:i w:val="false"/>
          <w:iCs w:val="false"/>
          <w:u w:val="none"/>
        </w:rPr>
        <w:t xml:space="preserve"> provide authoritative institutional histories of MI5 and the Joint Intelligence Committee. Both authors emphasise the increasing professionalisation and strategic  influence of intelligence services during the war. </w:t>
      </w:r>
      <w:r>
        <w:rPr>
          <w:rFonts w:ascii="Verdana" w:hAnsi="Verdana"/>
          <w:b w:val="false"/>
          <w:bCs w:val="false"/>
          <w:i w:val="false"/>
          <w:iCs w:val="false"/>
          <w:u w:val="none"/>
        </w:rPr>
        <w:t>Both authors focus largely on signals intelligence (SIGINT) and codebreaking, especially the operations at Bletchley Park, rather than imagery intelligence (IMINT) or aerial reconnaissance. John Keegan’s “Intelligence in War”</w:t>
      </w:r>
      <w:r>
        <w:rPr>
          <w:rStyle w:val="FootnoteReference"/>
          <w:rFonts w:ascii="Verdana" w:hAnsi="Verdana"/>
          <w:b w:val="false"/>
          <w:bCs w:val="false"/>
          <w:i w:val="false"/>
          <w:iCs w:val="false"/>
          <w:u w:val="none"/>
        </w:rPr>
        <w:footnoteReference w:id="4"/>
      </w:r>
      <w:r>
        <w:rPr>
          <w:rFonts w:ascii="Verdana" w:hAnsi="Verdana"/>
          <w:b w:val="false"/>
          <w:bCs w:val="false"/>
          <w:i w:val="false"/>
          <w:iCs w:val="false"/>
          <w:u w:val="none"/>
        </w:rPr>
        <w:t xml:space="preserve"> is more sceptical about the utility of intelligence overall, arguing that it rarely determines victory on its own. </w:t>
      </w:r>
      <w:r>
        <w:rPr>
          <w:rFonts w:ascii="Verdana" w:hAnsi="Verdana"/>
          <w:b w:val="false"/>
          <w:bCs w:val="false"/>
          <w:i w:val="false"/>
          <w:iCs w:val="false"/>
          <w:u w:val="none"/>
        </w:rPr>
        <w:t>Peter Hennessy’s “The British Secret State Old and New”</w:t>
      </w:r>
      <w:r>
        <w:rPr>
          <w:rStyle w:val="FootnoteReference"/>
          <w:rFonts w:ascii="Verdana" w:hAnsi="Verdana"/>
          <w:b w:val="false"/>
          <w:bCs w:val="false"/>
          <w:i w:val="false"/>
          <w:iCs w:val="false"/>
          <w:u w:val="none"/>
        </w:rPr>
        <w:footnoteReference w:id="5"/>
      </w:r>
      <w:r>
        <w:rPr>
          <w:rFonts w:ascii="Verdana" w:hAnsi="Verdana"/>
          <w:b w:val="false"/>
          <w:bCs w:val="false"/>
          <w:i w:val="false"/>
          <w:iCs w:val="false"/>
          <w:u w:val="none"/>
        </w:rPr>
        <w:t xml:space="preserve"> is particularly valuable for understanding how intelligence became embedded within British governance structures. Howver, like Andrew and Goodman, his approach is top down and politically centered, offering more of a contextual input to build my understanding of intelligence as a whole.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In contrast, historians of aerial reconnaissance and air power have begun to restore the significance of photographic intelligence. Taylor Downing’s “Spies in the Sky”</w:t>
      </w:r>
      <w:r>
        <w:rPr>
          <w:rStyle w:val="FootnoteReference"/>
          <w:rFonts w:ascii="Verdana" w:hAnsi="Verdana"/>
          <w:b w:val="false"/>
          <w:bCs w:val="false"/>
          <w:i w:val="false"/>
          <w:iCs w:val="false"/>
          <w:u w:val="none"/>
        </w:rPr>
        <w:footnoteReference w:id="6"/>
      </w:r>
      <w:r>
        <w:rPr>
          <w:rFonts w:ascii="Verdana" w:hAnsi="Verdana"/>
          <w:b w:val="false"/>
          <w:bCs w:val="false"/>
          <w:i w:val="false"/>
          <w:iCs w:val="false"/>
          <w:u w:val="none"/>
        </w:rPr>
        <w:t xml:space="preserve"> is central, offering a detailed history of photo-reconnaissance units and the secret work at RAF Medmenham. It specifically identifies the Mosquito for its speed and altitude as decisive for gathering intelligence over enemy territory that would be used for raid planning. Robert Ehler’s “Targeting the Third Reich”</w:t>
      </w:r>
      <w:r>
        <w:rPr>
          <w:rStyle w:val="FootnoteReference"/>
          <w:rFonts w:ascii="Verdana" w:hAnsi="Verdana"/>
          <w:b w:val="false"/>
          <w:bCs w:val="false"/>
          <w:i w:val="false"/>
          <w:iCs w:val="false"/>
          <w:u w:val="none"/>
        </w:rPr>
        <w:footnoteReference w:id="7"/>
      </w:r>
      <w:r>
        <w:rPr>
          <w:rFonts w:ascii="Verdana" w:hAnsi="Verdana"/>
          <w:b w:val="false"/>
          <w:bCs w:val="false"/>
          <w:i w:val="false"/>
          <w:iCs w:val="false"/>
          <w:u w:val="none"/>
        </w:rPr>
        <w:t xml:space="preserve"> broadens the focus of bombing campaigns and the role that aerial intelligence played arguing that successful targeting depended on accurate and efficient reconnaissance. In a similar vein, Sebastian Cox’s “Air Power History”</w:t>
      </w:r>
      <w:r>
        <w:rPr>
          <w:rStyle w:val="FootnoteReference"/>
          <w:rFonts w:ascii="Verdana" w:hAnsi="Verdana"/>
          <w:b w:val="false"/>
          <w:bCs w:val="false"/>
          <w:i w:val="false"/>
          <w:iCs w:val="false"/>
          <w:u w:val="none"/>
        </w:rPr>
        <w:footnoteReference w:id="8"/>
      </w:r>
      <w:r>
        <w:rPr>
          <w:rFonts w:ascii="Verdana" w:hAnsi="Verdana"/>
          <w:b w:val="false"/>
          <w:bCs w:val="false"/>
          <w:i w:val="false"/>
          <w:iCs w:val="false"/>
          <w:u w:val="none"/>
        </w:rPr>
        <w:t xml:space="preserve"> places reconnaissance among the most important factors and a turning point in 20</w:t>
      </w:r>
      <w:r>
        <w:rPr>
          <w:rFonts w:ascii="Verdana" w:hAnsi="Verdana"/>
          <w:b w:val="false"/>
          <w:bCs w:val="false"/>
          <w:i w:val="false"/>
          <w:iCs w:val="false"/>
          <w:u w:val="none"/>
          <w:vertAlign w:val="superscript"/>
        </w:rPr>
        <w:t>th</w:t>
      </w:r>
      <w:r>
        <w:rPr>
          <w:rFonts w:ascii="Verdana" w:hAnsi="Verdana"/>
          <w:b w:val="false"/>
          <w:bCs w:val="false"/>
          <w:i w:val="false"/>
          <w:iCs w:val="false"/>
          <w:u w:val="none"/>
        </w:rPr>
        <w:t xml:space="preserve"> century warfare, though their work remains broad in scope and theme. John Stewman’s “Bomber Crew”</w:t>
      </w:r>
      <w:r>
        <w:rPr>
          <w:rStyle w:val="FootnoteReference"/>
          <w:rFonts w:ascii="Verdana" w:hAnsi="Verdana"/>
          <w:b w:val="false"/>
          <w:bCs w:val="false"/>
          <w:i w:val="false"/>
          <w:iCs w:val="false"/>
          <w:u w:val="none"/>
        </w:rPr>
        <w:footnoteReference w:id="9"/>
      </w:r>
      <w:r>
        <w:rPr>
          <w:rFonts w:ascii="Verdana" w:hAnsi="Verdana"/>
          <w:b w:val="false"/>
          <w:bCs w:val="false"/>
          <w:i w:val="false"/>
          <w:iCs w:val="false"/>
          <w:u w:val="none"/>
        </w:rPr>
        <w:t xml:space="preserve"> offers crucial insight into the inner workings of the operation of air campaigns, fully showcasing how intelligence shaped and in some cases was shaped by frontline experiences.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Finally, specialist works that focus soley on the Mosquito itself provide invaluable technical context. Philip Birtles’s “De Havillan Mosquito”</w:t>
      </w:r>
      <w:r>
        <w:rPr>
          <w:rStyle w:val="FootnoteReference"/>
          <w:rFonts w:ascii="Verdana" w:hAnsi="Verdana"/>
          <w:b w:val="false"/>
          <w:bCs w:val="false"/>
          <w:i w:val="false"/>
          <w:iCs w:val="false"/>
          <w:u w:val="none"/>
        </w:rPr>
        <w:footnoteReference w:id="10"/>
      </w:r>
      <w:r>
        <w:rPr>
          <w:rFonts w:ascii="Verdana" w:hAnsi="Verdana"/>
          <w:b w:val="false"/>
          <w:bCs w:val="false"/>
          <w:i w:val="false"/>
          <w:iCs w:val="false"/>
          <w:u w:val="none"/>
        </w:rPr>
        <w:t xml:space="preserve"> and Martin Bowman’s “Mosquito Missions”</w:t>
      </w:r>
      <w:r>
        <w:rPr>
          <w:rStyle w:val="FootnoteReference"/>
          <w:rFonts w:ascii="Verdana" w:hAnsi="Verdana"/>
          <w:b w:val="false"/>
          <w:bCs w:val="false"/>
          <w:i w:val="false"/>
          <w:iCs w:val="false"/>
          <w:u w:val="none"/>
        </w:rPr>
        <w:footnoteReference w:id="11"/>
      </w:r>
      <w:r>
        <w:rPr>
          <w:rFonts w:ascii="Verdana" w:hAnsi="Verdana"/>
          <w:b w:val="false"/>
          <w:bCs w:val="false"/>
          <w:i w:val="false"/>
          <w:iCs w:val="false"/>
          <w:u w:val="none"/>
        </w:rPr>
        <w:t xml:space="preserve"> detail the aircraft versatility, charting its evolution from bomber to reconnaissance to special operations craft. These texts offer the structural changes (swapping out weaponry for cameras etc.) linking the Mosquito’s technological adaptability and the intelligence structures.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This dissertation will place itself at the centre of these works arguing that historians have yet to fully explore how aircraft design and intelligence systems evolved particularly in reference to the Mosquito. By examining the aircraft changes and its operational implementations this paper will contribute to a more complete understanding of wartime innovation. In doing so this paper will extend recent efforts to reassess the scope of British intelligence beyond SIGINT and highlight the role of the aircraft and its impact in intelligence systems.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Where Are the Gaps and/or What Are the Weaknesses in This Historiography</w:t>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existing historiography focus either on the intelligence institution or the technical developments of aircraft, but the two are rarely linked. Historians such as Andrew and Goodman explore the evolution of British intelligence but chose to prioritise SIGINT over IMINT, giving little attention to how intelligence collection was shaped by aircraft capabilities.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Downing does centre on aerial reconnaissance, however he places little importance on the aircraft treating them as tools instead of the root of evolution and improvements. However, aircraft focused works by Birtles and Bowman offer detailed accounts of the Mosquito including PR, but they stop short of fully analysing how these changes influenced intelligence-gathering strategy.</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Similarly, air power historians such as Cox and Ehler focus on the importance of intelligence in planning, focusing mainly on bombing raids, rather than the systems that enabled the effective and accurate targeting. Writers like Hennessy outline the political structures but neglect the technologies that made intelligence work possible.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shows there is a gap in the connection between aircraft innovation and wider evolution of British intelligence practices which this dissertation aims to bridge.</w:t>
      </w:r>
    </w:p>
    <w:sectPr>
      <w:footnotePr>
        <w:pos w:val="sectEnd"/>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Verdana">
    <w:charset w:val="01" w:characterSet="utf-8"/>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 xml:space="preserve">Christopher. </w:t>
      </w:r>
      <w:r>
        <w:rPr/>
        <w:t>M,</w:t>
      </w:r>
      <w:r>
        <w:rPr/>
        <w:t xml:space="preserve"> Andrews, </w:t>
      </w:r>
      <w:r>
        <w:rPr>
          <w:i/>
          <w:iCs/>
        </w:rPr>
        <w:t>The Defence of the Realm: The Authorized History of MI5,</w:t>
      </w:r>
      <w:r>
        <w:rPr>
          <w:i w:val="false"/>
          <w:iCs w:val="false"/>
        </w:rPr>
        <w:t xml:space="preserve"> (Penguin, 2010).</w:t>
      </w:r>
    </w:p>
  </w:footnote>
  <w:footnote w:id="3">
    <w:p>
      <w:pPr>
        <w:pStyle w:val="FootnoteText"/>
        <w:rPr/>
      </w:pPr>
      <w:r>
        <w:rPr>
          <w:rStyle w:val="FootnoteCharacters"/>
        </w:rPr>
        <w:footnoteRef/>
      </w:r>
      <w:r>
        <w:rPr/>
        <w:tab/>
        <w:t xml:space="preserve">Michael S, </w:t>
      </w:r>
      <w:r>
        <w:rPr/>
        <w:t xml:space="preserve">Goodman. </w:t>
      </w:r>
      <w:r>
        <w:rPr>
          <w:i/>
          <w:iCs/>
        </w:rPr>
        <w:t xml:space="preserve">The Official History of the Joint Intelligence Committee. Volume I, From the Approach of the Second World War to the Suez Crisis </w:t>
      </w:r>
      <w:r>
        <w:rPr/>
        <w:t>(Routledge, 2014).</w:t>
      </w:r>
    </w:p>
  </w:footnote>
  <w:footnote w:id="4">
    <w:p>
      <w:pPr>
        <w:pStyle w:val="FootnoteText"/>
        <w:rPr/>
      </w:pPr>
      <w:r>
        <w:rPr>
          <w:rStyle w:val="FootnoteCharacters"/>
        </w:rPr>
        <w:footnoteRef/>
      </w:r>
      <w:r>
        <w:rPr/>
        <w:tab/>
        <w:t xml:space="preserve">John Keegan, </w:t>
      </w:r>
      <w:r>
        <w:rPr>
          <w:i/>
          <w:iCs/>
        </w:rPr>
        <w:t>Intelligence in War: Knowledge of the Enemy From Napoleon to Al-Qaeda,</w:t>
      </w:r>
      <w:r>
        <w:rPr>
          <w:i w:val="false"/>
          <w:iCs w:val="false"/>
        </w:rPr>
        <w:t xml:space="preserve"> (Random House, 2010).</w:t>
      </w:r>
    </w:p>
  </w:footnote>
  <w:footnote w:id="5">
    <w:p>
      <w:pPr>
        <w:pStyle w:val="FootnoteText"/>
        <w:rPr/>
      </w:pPr>
      <w:r>
        <w:rPr>
          <w:rStyle w:val="FootnoteCharacters"/>
        </w:rPr>
        <w:footnoteRef/>
      </w:r>
      <w:r>
        <w:rPr/>
        <w:tab/>
        <w:t xml:space="preserve">Peter Hennessy, ‘The British Secret State Old and New’. </w:t>
      </w:r>
      <w:r>
        <w:rPr>
          <w:i/>
          <w:iCs/>
        </w:rPr>
        <w:t>RUSI Journal</w:t>
      </w:r>
      <w:r>
        <w:rPr>
          <w:i w:val="false"/>
          <w:iCs w:val="false"/>
        </w:rPr>
        <w:t>, 150.3 (2005), pp.16-22.</w:t>
      </w:r>
    </w:p>
  </w:footnote>
  <w:footnote w:id="6">
    <w:p>
      <w:pPr>
        <w:pStyle w:val="FootnoteText"/>
        <w:rPr/>
      </w:pPr>
      <w:r>
        <w:rPr>
          <w:rStyle w:val="FootnoteCharacters"/>
        </w:rPr>
        <w:footnoteRef/>
      </w:r>
      <w:r>
        <w:rPr/>
        <w:tab/>
        <w:t xml:space="preserve">Taylor Downing, </w:t>
      </w:r>
      <w:r>
        <w:rPr>
          <w:i/>
          <w:iCs/>
        </w:rPr>
        <w:t>Spies in the Sky: the Secret Battle of Aerial Intelligence during World War II,</w:t>
      </w:r>
      <w:r>
        <w:rPr>
          <w:i w:val="false"/>
          <w:iCs w:val="false"/>
        </w:rPr>
        <w:t xml:space="preserve"> (Abacus, 2012).</w:t>
      </w:r>
    </w:p>
  </w:footnote>
  <w:footnote w:id="7">
    <w:p>
      <w:pPr>
        <w:pStyle w:val="FootnoteText"/>
        <w:rPr/>
      </w:pPr>
      <w:r>
        <w:rPr>
          <w:rStyle w:val="FootnoteCharacters"/>
        </w:rPr>
        <w:footnoteRef/>
      </w:r>
      <w:r>
        <w:rPr/>
        <w:tab/>
        <w:t xml:space="preserve">Robert Ehler, </w:t>
      </w:r>
      <w:r>
        <w:rPr>
          <w:i/>
          <w:iCs/>
        </w:rPr>
        <w:t>Targeting the Third Reich: Air Intelligence and the Allied Bombing Campaigns,</w:t>
      </w:r>
      <w:r>
        <w:rPr>
          <w:i w:val="false"/>
          <w:iCs w:val="false"/>
        </w:rPr>
        <w:t xml:space="preserve"> (University Press of Kansas, 2009).</w:t>
      </w:r>
    </w:p>
  </w:footnote>
  <w:footnote w:id="8">
    <w:p>
      <w:pPr>
        <w:pStyle w:val="FootnoteText"/>
        <w:rPr/>
      </w:pPr>
      <w:r>
        <w:rPr>
          <w:rStyle w:val="FootnoteCharacters"/>
        </w:rPr>
        <w:footnoteRef/>
      </w:r>
      <w:r>
        <w:rPr/>
        <w:tab/>
        <w:t xml:space="preserve">Sebastian Cox, and Peter W, Gray, </w:t>
      </w:r>
      <w:r>
        <w:rPr>
          <w:i/>
          <w:iCs/>
        </w:rPr>
        <w:t>Air Power History: Turning Points from Kitty Hawk to Kosovo,</w:t>
      </w:r>
      <w:r>
        <w:rPr>
          <w:i w:val="false"/>
          <w:iCs w:val="false"/>
        </w:rPr>
        <w:t xml:space="preserve"> (Frank Cass, 2002).</w:t>
      </w:r>
    </w:p>
  </w:footnote>
  <w:footnote w:id="9">
    <w:p>
      <w:pPr>
        <w:pStyle w:val="FootnoteText"/>
        <w:rPr/>
      </w:pPr>
      <w:r>
        <w:rPr>
          <w:rStyle w:val="FootnoteCharacters"/>
        </w:rPr>
        <w:footnoteRef/>
      </w:r>
      <w:r>
        <w:rPr/>
        <w:tab/>
        <w:t xml:space="preserve">John Stewman, </w:t>
      </w:r>
      <w:r>
        <w:rPr>
          <w:i/>
          <w:iCs/>
        </w:rPr>
        <w:t xml:space="preserve">Bomber Crew: Taking on the Reich, </w:t>
      </w:r>
      <w:r>
        <w:rPr>
          <w:i w:val="false"/>
          <w:iCs w:val="false"/>
        </w:rPr>
        <w:t>(Abacus, 2005).</w:t>
      </w:r>
    </w:p>
  </w:footnote>
  <w:footnote w:id="10">
    <w:p>
      <w:pPr>
        <w:pStyle w:val="FootnoteText"/>
        <w:rPr/>
      </w:pPr>
      <w:r>
        <w:rPr>
          <w:rStyle w:val="FootnoteCharacters"/>
        </w:rPr>
        <w:footnoteRef/>
      </w:r>
      <w:r>
        <w:rPr/>
        <w:tab/>
        <w:t xml:space="preserve">Philip Birtles, </w:t>
      </w:r>
      <w:r>
        <w:rPr>
          <w:i/>
          <w:iCs/>
        </w:rPr>
        <w:t xml:space="preserve">De Havilland Mosquito: the Original Multirole Combat Aircraft, </w:t>
      </w:r>
      <w:r>
        <w:rPr>
          <w:i w:val="false"/>
          <w:iCs w:val="false"/>
        </w:rPr>
        <w:t>(Fonthill Media, 2017).</w:t>
      </w:r>
    </w:p>
  </w:footnote>
  <w:footnote w:id="11">
    <w:p>
      <w:pPr>
        <w:pStyle w:val="FootnoteText"/>
        <w:rPr/>
      </w:pPr>
      <w:r>
        <w:rPr>
          <w:rStyle w:val="FootnoteCharacters"/>
        </w:rPr>
        <w:footnoteRef/>
      </w:r>
      <w:r>
        <w:rPr/>
        <w:tab/>
        <w:t xml:space="preserve">Martin W Bowman, </w:t>
      </w:r>
      <w:r>
        <w:rPr>
          <w:i/>
          <w:iCs/>
        </w:rPr>
        <w:t>Mosquito Missions: RAF and Commonwealth de Havilland Mosquitoes</w:t>
      </w:r>
      <w:r>
        <w:rPr>
          <w:i w:val="false"/>
          <w:iCs w:val="false"/>
        </w:rPr>
        <w:t>, (Pen &amp; Sword Aviation, 2012).</w:t>
      </w:r>
    </w:p>
  </w:footnote>
</w:footnotes>
</file>

<file path=word/settings.xml><?xml version="1.0" encoding="utf-8"?>
<w:settings xmlns:w="http://schemas.openxmlformats.org/wordprocessingml/2006/main">
  <w:zoom w:percent="100"/>
  <w:defaultTabStop w:val="709"/>
  <w:autoHyphenation w:val="true"/>
  <w:hyphenationZone w:val="0"/>
  <w:footnotePr>
    <w:pos w:val="sectEnd"/>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oto Serif CJK SC" w:cs="Noto Sans Devanagari"/>
      <w:color w:val="auto"/>
      <w:kern w:val="2"/>
      <w:sz w:val="24"/>
      <w:szCs w:val="24"/>
      <w:lang w:val="en-GB" w:eastAsia="zh-CN" w:bidi="hi-IN"/>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pPr>
      <w:suppressLineNumbers/>
      <w:ind w:hanging="340" w:start="340"/>
    </w:pPr>
    <w:rPr>
      <w:sz w:val="20"/>
      <w:szCs w:val="20"/>
    </w:rPr>
  </w:style>
  <w:style w:type="paragraph" w:styleId="EndnoteText">
    <w:name w:val="end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1183</TotalTime>
  <Application>LibreOffice/25.2.3.2$Linux_X86_64 LibreOffice_project/520$Build-2</Application>
  <AppVersion>15.0000</AppVersion>
  <Pages>5</Pages>
  <Words>1158</Words>
  <Characters>6774</Characters>
  <CharactersWithSpaces>7925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2025-05-19T19:53:32Z</dcterms:created>
  <dc:creator/>
  <dc:description/>
  <dc:language>en-GB</dc:language>
  <cp:lastModifiedBy/>
  <dcterms:modified xsi:type="dcterms:W3CDTF">2025-05-20T21:50:59Z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